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7.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10.xml" ContentType="application/vnd.openxmlformats-officedocument.wordprocessingml.header+xml"/>
  <Override PartName="/word/footer30.xml" ContentType="application/vnd.openxmlformats-officedocument.wordprocessingml.footer+xml"/>
  <Override PartName="/word/header1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2.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3.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5806" w:val="left" w:leader="none"/>
          <w:tab w:pos="8856" w:val="left" w:leader="none"/>
        </w:tabs>
        <w:spacing w:before="23"/>
        <w:ind w:left="1603" w:right="0" w:firstLine="0"/>
        <w:jc w:val="left"/>
        <w:rPr>
          <w:rFonts w:ascii="宋体" w:hAnsi="宋体" w:cs="宋体" w:eastAsia="宋体" w:hint="default"/>
          <w:sz w:val="21"/>
          <w:szCs w:val="21"/>
        </w:rPr>
      </w:pPr>
      <w:r>
        <w:rPr>
          <w:rFonts w:ascii="宋体" w:hAnsi="宋体" w:cs="宋体" w:eastAsia="宋体" w:hint="default"/>
          <w:spacing w:val="-2"/>
          <w:sz w:val="21"/>
          <w:szCs w:val="21"/>
        </w:rPr>
        <w:t>北京超图软件股份有限公司</w:t>
        <w:tab/>
      </w:r>
      <w:r>
        <w:rPr>
          <w:rFonts w:ascii="Calibri" w:hAnsi="Calibri" w:cs="Calibri" w:eastAsia="Calibri" w:hint="default"/>
          <w:spacing w:val="-1"/>
          <w:sz w:val="21"/>
          <w:szCs w:val="21"/>
        </w:rPr>
        <w:t>300036</w:t>
        <w:tab/>
      </w:r>
      <w:r>
        <w:rPr>
          <w:rFonts w:ascii="Calibri" w:hAnsi="Calibri" w:cs="Calibri" w:eastAsia="Calibri" w:hint="default"/>
          <w:sz w:val="21"/>
          <w:szCs w:val="21"/>
        </w:rPr>
        <w:t>2012</w:t>
      </w:r>
      <w:r>
        <w:rPr>
          <w:rFonts w:ascii="Calibri" w:hAnsi="Calibri" w:cs="Calibri" w:eastAsia="Calibri" w:hint="default"/>
          <w:spacing w:val="14"/>
          <w:sz w:val="21"/>
          <w:szCs w:val="21"/>
        </w:rPr>
        <w:t> </w:t>
      </w:r>
      <w:r>
        <w:rPr>
          <w:rFonts w:ascii="宋体" w:hAnsi="宋体" w:cs="宋体" w:eastAsia="宋体" w:hint="default"/>
          <w:spacing w:val="-1"/>
          <w:sz w:val="21"/>
          <w:szCs w:val="21"/>
        </w:rPr>
        <w:t>年度报告</w:t>
      </w:r>
    </w:p>
    <w:p>
      <w:pPr>
        <w:spacing w:line="20" w:lineRule="exact"/>
        <w:ind w:left="115" w:right="0" w:firstLine="0"/>
        <w:rPr>
          <w:rFonts w:ascii="宋体" w:hAnsi="宋体" w:cs="宋体" w:eastAsia="宋体" w:hint="default"/>
          <w:sz w:val="2"/>
          <w:szCs w:val="2"/>
        </w:rPr>
      </w:pPr>
      <w:r>
        <w:rPr>
          <w:rFonts w:ascii="宋体" w:hAnsi="宋体" w:cs="宋体" w:eastAsia="宋体" w:hint="default"/>
          <w:sz w:val="2"/>
          <w:szCs w:val="2"/>
        </w:rPr>
        <w:pict>
          <v:group style="width:577.8pt;height:.75pt;mso-position-horizontal-relative:char;mso-position-vertical-relative:line" coordorigin="0,0" coordsize="11556,15">
            <v:group style="position:absolute;left:7;top:7;width:11542;height:2" coordorigin="7,7" coordsize="11542,2">
              <v:shape style="position:absolute;left:7;top:7;width:11542;height:2" coordorigin="7,7" coordsize="11542,0" path="m7,7l11549,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line="820" w:lineRule="exact" w:before="0"/>
        <w:ind w:left="1572" w:right="0" w:firstLine="0"/>
        <w:jc w:val="left"/>
        <w:rPr>
          <w:rFonts w:ascii="宋体" w:hAnsi="宋体" w:cs="宋体" w:eastAsia="宋体" w:hint="default"/>
          <w:sz w:val="72"/>
          <w:szCs w:val="72"/>
        </w:rPr>
      </w:pPr>
      <w:r>
        <w:rPr>
          <w:rFonts w:ascii="宋体" w:hAnsi="宋体" w:cs="宋体" w:eastAsia="宋体" w:hint="default"/>
          <w:sz w:val="72"/>
          <w:szCs w:val="72"/>
        </w:rPr>
        <w:t>北京超图软件股份有限公司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spacing w:line="1117" w:lineRule="exact"/>
        <w:ind w:left="3890" w:right="0" w:firstLine="0"/>
        <w:rPr>
          <w:rFonts w:ascii="宋体" w:hAnsi="宋体" w:cs="宋体" w:eastAsia="宋体" w:hint="default"/>
          <w:sz w:val="20"/>
          <w:szCs w:val="20"/>
        </w:rPr>
      </w:pPr>
      <w:r>
        <w:rPr>
          <w:rFonts w:ascii="宋体" w:hAnsi="宋体" w:cs="宋体" w:eastAsia="宋体" w:hint="default"/>
          <w:position w:val="-21"/>
          <w:sz w:val="20"/>
          <w:szCs w:val="20"/>
        </w:rPr>
        <w:drawing>
          <wp:inline distT="0" distB="0" distL="0" distR="0">
            <wp:extent cx="2526267" cy="709802"/>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526267" cy="709802"/>
                    </a:xfrm>
                    <a:prstGeom prst="rect">
                      <a:avLst/>
                    </a:prstGeom>
                  </pic:spPr>
                </pic:pic>
              </a:graphicData>
            </a:graphic>
          </wp:inline>
        </w:drawing>
      </w:r>
      <w:r>
        <w:rPr>
          <w:rFonts w:ascii="宋体" w:hAnsi="宋体" w:cs="宋体" w:eastAsia="宋体" w:hint="default"/>
          <w:position w:val="-21"/>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spacing w:line="874" w:lineRule="exact" w:before="0"/>
        <w:ind w:left="3262" w:right="3263" w:firstLine="0"/>
        <w:jc w:val="center"/>
        <w:rPr>
          <w:rFonts w:ascii="宋体" w:hAnsi="宋体" w:cs="宋体" w:eastAsia="宋体" w:hint="default"/>
          <w:sz w:val="72"/>
          <w:szCs w:val="72"/>
        </w:rPr>
      </w:pPr>
      <w:r>
        <w:rPr>
          <w:rFonts w:ascii="Times New Roman" w:hAnsi="Times New Roman" w:cs="Times New Roman" w:eastAsia="Times New Roman" w:hint="default"/>
          <w:sz w:val="72"/>
          <w:szCs w:val="72"/>
        </w:rPr>
        <w:t>2012 </w:t>
      </w:r>
      <w:r>
        <w:rPr>
          <w:rFonts w:ascii="宋体" w:hAnsi="宋体" w:cs="宋体" w:eastAsia="宋体" w:hint="default"/>
          <w:sz w:val="72"/>
          <w:szCs w:val="72"/>
        </w:rPr>
        <w:t>年年度报告</w:t>
      </w:r>
    </w:p>
    <w:p>
      <w:pPr>
        <w:spacing w:line="240" w:lineRule="auto" w:before="0"/>
        <w:rPr>
          <w:rFonts w:ascii="宋体" w:hAnsi="宋体" w:cs="宋体" w:eastAsia="宋体" w:hint="default"/>
          <w:sz w:val="76"/>
          <w:szCs w:val="76"/>
        </w:rPr>
      </w:pPr>
    </w:p>
    <w:p>
      <w:pPr>
        <w:spacing w:line="240" w:lineRule="auto" w:before="0"/>
        <w:rPr>
          <w:rFonts w:ascii="宋体" w:hAnsi="宋体" w:cs="宋体" w:eastAsia="宋体" w:hint="default"/>
          <w:sz w:val="76"/>
          <w:szCs w:val="76"/>
        </w:rPr>
      </w:pPr>
    </w:p>
    <w:p>
      <w:pPr>
        <w:spacing w:line="240" w:lineRule="auto" w:before="13"/>
        <w:rPr>
          <w:rFonts w:ascii="宋体" w:hAnsi="宋体" w:cs="宋体" w:eastAsia="宋体" w:hint="default"/>
          <w:sz w:val="112"/>
          <w:szCs w:val="112"/>
        </w:rPr>
      </w:pPr>
    </w:p>
    <w:p>
      <w:pPr>
        <w:pStyle w:val="Heading2"/>
        <w:spacing w:line="427" w:lineRule="auto"/>
        <w:ind w:left="3258" w:right="3263"/>
        <w:jc w:val="center"/>
        <w:rPr>
          <w:rFonts w:ascii="Times New Roman" w:hAnsi="Times New Roman" w:cs="Times New Roman" w:eastAsia="Times New Roman" w:hint="default"/>
          <w:b w:val="0"/>
          <w:bCs w:val="0"/>
        </w:rPr>
      </w:pPr>
      <w:r>
        <w:rPr>
          <w:w w:val="95"/>
        </w:rPr>
        <w:t>股票简称：超图软件</w:t>
      </w:r>
      <w:r>
        <w:rPr>
          <w:spacing w:val="-18"/>
          <w:w w:val="95"/>
        </w:rPr>
        <w:t> </w:t>
      </w:r>
      <w:r>
        <w:rPr>
          <w:spacing w:val="-18"/>
          <w:w w:val="95"/>
        </w:rPr>
      </w:r>
      <w:r>
        <w:rPr/>
        <w:t>股票代码：</w:t>
      </w:r>
      <w:r>
        <w:rPr>
          <w:rFonts w:ascii="Times New Roman" w:hAnsi="Times New Roman" w:cs="Times New Roman" w:eastAsia="Times New Roman" w:hint="default"/>
        </w:rPr>
        <w:t>300036</w:t>
      </w:r>
      <w:r>
        <w:rPr>
          <w:rFonts w:ascii="Times New Roman" w:hAnsi="Times New Roman" w:cs="Times New Roman" w:eastAsia="Times New Roman" w:hint="default"/>
          <w:b w:val="0"/>
          <w:bCs w:val="0"/>
        </w:rPr>
      </w:r>
    </w:p>
    <w:p>
      <w:pPr>
        <w:spacing w:line="240" w:lineRule="auto" w:before="0"/>
        <w:rPr>
          <w:rFonts w:ascii="Times New Roman" w:hAnsi="Times New Roman" w:cs="Times New Roman" w:eastAsia="Times New Roman" w:hint="default"/>
          <w:b/>
          <w:bCs/>
          <w:sz w:val="34"/>
          <w:szCs w:val="34"/>
        </w:rPr>
      </w:pPr>
    </w:p>
    <w:p>
      <w:pPr>
        <w:spacing w:before="257"/>
        <w:ind w:left="3262" w:right="32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日</w:t>
      </w:r>
      <w:r>
        <w:rPr>
          <w:rFonts w:ascii="宋体" w:hAnsi="宋体" w:cs="宋体" w:eastAsia="宋体" w:hint="default"/>
          <w:sz w:val="32"/>
          <w:szCs w:val="32"/>
        </w:rPr>
      </w:r>
    </w:p>
    <w:p>
      <w:pPr>
        <w:spacing w:after="0"/>
        <w:jc w:val="center"/>
        <w:rPr>
          <w:rFonts w:ascii="宋体" w:hAnsi="宋体" w:cs="宋体" w:eastAsia="宋体" w:hint="default"/>
          <w:sz w:val="32"/>
          <w:szCs w:val="32"/>
        </w:rPr>
        <w:sectPr>
          <w:type w:val="continuous"/>
          <w:pgSz w:w="11910" w:h="16840"/>
          <w:pgMar w:top="440" w:bottom="280" w:left="60" w:right="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1"/>
        <w:spacing w:line="460" w:lineRule="exact"/>
        <w:ind w:right="0"/>
        <w:jc w:val="left"/>
        <w:rPr>
          <w:b w:val="0"/>
          <w:bCs w:val="0"/>
        </w:rPr>
      </w:pPr>
      <w:bookmarkStart w:name="_bookmark0" w:id="1"/>
      <w:bookmarkEnd w:id="1"/>
      <w:r>
        <w:rPr>
          <w:b w:val="0"/>
          <w:bCs w:val="0"/>
        </w:rPr>
      </w:r>
      <w:r>
        <w:rPr>
          <w:spacing w:val="3"/>
        </w:rPr>
        <w:t>第一节</w:t>
      </w:r>
      <w:r>
        <w:rPr>
          <w:spacing w:val="-30"/>
        </w:rPr>
        <w:t> </w:t>
      </w:r>
      <w:r>
        <w:rPr>
          <w:spacing w:val="5"/>
        </w:rPr>
        <w:t>重要提示、目录和释义</w:t>
      </w:r>
      <w:r>
        <w:rPr>
          <w:b w:val="0"/>
          <w:bCs w:val="0"/>
        </w:rPr>
      </w: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37"/>
          <w:szCs w:val="37"/>
        </w:rPr>
      </w:pPr>
    </w:p>
    <w:p>
      <w:pPr>
        <w:pStyle w:val="BodyText"/>
        <w:spacing w:line="348" w:lineRule="auto"/>
        <w:ind w:left="152" w:right="215" w:firstLine="480"/>
        <w:jc w:val="both"/>
      </w:pPr>
      <w:r>
        <w:rPr>
          <w:rFonts w:ascii="Times New Roman" w:hAnsi="Times New Roman" w:cs="Times New Roman" w:eastAsia="Times New Roman" w:hint="default"/>
          <w:spacing w:val="2"/>
        </w:rPr>
        <w:t>1</w:t>
      </w:r>
      <w:r>
        <w:rPr>
          <w:spacing w:val="2"/>
        </w:rPr>
        <w:t>、本公司董事会、监事会及董事、监事、高级管理人员保证本报告所载资料不存在任</w:t>
      </w:r>
      <w:r>
        <w:rPr/>
        <w:t> </w:t>
      </w:r>
      <w:r>
        <w:rPr>
          <w:spacing w:val="-7"/>
        </w:rPr>
        <w:t>何虚假记载、误导性陈述或者重大遗漏，并对其内容的真实性、准确性和完整性承担个别及连</w:t>
      </w:r>
      <w:r>
        <w:rPr>
          <w:spacing w:val="-100"/>
        </w:rPr>
        <w:t> </w:t>
      </w:r>
      <w:r>
        <w:rPr>
          <w:spacing w:val="-100"/>
        </w:rPr>
      </w:r>
      <w:r>
        <w:rPr/>
        <w:t>带责任。</w:t>
      </w:r>
    </w:p>
    <w:p>
      <w:pPr>
        <w:pStyle w:val="BodyText"/>
        <w:spacing w:line="338" w:lineRule="auto" w:before="46"/>
        <w:ind w:left="152" w:right="218" w:firstLine="480"/>
        <w:jc w:val="both"/>
      </w:pPr>
      <w:r>
        <w:rPr>
          <w:rFonts w:ascii="Times New Roman" w:hAnsi="Times New Roman" w:cs="Times New Roman" w:eastAsia="Times New Roman" w:hint="default"/>
          <w:spacing w:val="2"/>
        </w:rPr>
        <w:t>2</w:t>
      </w:r>
      <w:r>
        <w:rPr>
          <w:spacing w:val="2"/>
        </w:rPr>
        <w:t>、没有董事、监事、高级管理人员声明对年度报告内容的真实性、准确性和完整性无 </w:t>
      </w:r>
      <w:r>
        <w:rPr/>
        <w:t>法保证或存在异议。</w:t>
      </w:r>
    </w:p>
    <w:p>
      <w:pPr>
        <w:pStyle w:val="BodyText"/>
        <w:spacing w:line="240" w:lineRule="auto" w:before="55"/>
        <w:ind w:left="633" w:right="0"/>
        <w:jc w:val="left"/>
      </w:pPr>
      <w:r>
        <w:rPr>
          <w:rFonts w:ascii="Times New Roman" w:hAnsi="Times New Roman" w:cs="Times New Roman" w:eastAsia="Times New Roman" w:hint="default"/>
        </w:rPr>
        <w:t>3</w:t>
      </w:r>
      <w:r>
        <w:rPr/>
        <w:t>、所有董事均已亲自出席审议本次年报的董事会会议。</w:t>
      </w:r>
    </w:p>
    <w:p>
      <w:pPr>
        <w:pStyle w:val="BodyText"/>
        <w:spacing w:line="338" w:lineRule="auto" w:before="135"/>
        <w:ind w:left="152" w:right="221" w:firstLine="480"/>
        <w:jc w:val="both"/>
      </w:pPr>
      <w:r>
        <w:rPr>
          <w:rFonts w:ascii="Times New Roman" w:hAnsi="Times New Roman" w:cs="Times New Roman" w:eastAsia="Times New Roman" w:hint="default"/>
          <w:spacing w:val="2"/>
        </w:rPr>
        <w:t>4</w:t>
      </w:r>
      <w:r>
        <w:rPr>
          <w:spacing w:val="2"/>
        </w:rPr>
        <w:t>、致同会计师事务所（特殊普通合伙）为本公司 </w:t>
      </w:r>
      <w:r>
        <w:rPr>
          <w:rFonts w:ascii="Times New Roman" w:hAnsi="Times New Roman" w:cs="Times New Roman" w:eastAsia="Times New Roman" w:hint="default"/>
        </w:rPr>
        <w:t>2012</w:t>
      </w:r>
      <w:r>
        <w:rPr>
          <w:rFonts w:ascii="Times New Roman" w:hAnsi="Times New Roman" w:cs="Times New Roman" w:eastAsia="Times New Roman" w:hint="default"/>
          <w:spacing w:val="31"/>
        </w:rPr>
        <w:t> </w:t>
      </w:r>
      <w:r>
        <w:rPr/>
        <w:t>年度财务报告出具了标准无保 留意见的审计报告。</w:t>
      </w:r>
    </w:p>
    <w:p>
      <w:pPr>
        <w:pStyle w:val="BodyText"/>
        <w:spacing w:line="338" w:lineRule="auto" w:before="55"/>
        <w:ind w:left="152" w:right="218" w:firstLine="480"/>
        <w:jc w:val="both"/>
      </w:pPr>
      <w:r>
        <w:rPr>
          <w:rFonts w:ascii="Times New Roman" w:hAnsi="Times New Roman" w:cs="Times New Roman" w:eastAsia="Times New Roman" w:hint="default"/>
          <w:spacing w:val="2"/>
        </w:rPr>
        <w:t>5</w:t>
      </w:r>
      <w:r>
        <w:rPr>
          <w:spacing w:val="2"/>
        </w:rPr>
        <w:t>、公司负责人钟耳顺先生、主管会计工作负责人鹿麒先生及会计机构负责人（会计主 </w:t>
      </w:r>
      <w:r>
        <w:rPr/>
        <w:t>管人员）鹿麒先生声明：保证年度报告中财务报告的真实、完整。</w:t>
      </w:r>
    </w:p>
    <w:p>
      <w:pPr>
        <w:pStyle w:val="BodyText"/>
        <w:spacing w:line="348" w:lineRule="auto" w:before="56"/>
        <w:ind w:left="152" w:right="219" w:firstLine="480"/>
        <w:jc w:val="both"/>
      </w:pPr>
      <w:r>
        <w:rPr>
          <w:rFonts w:ascii="Times New Roman" w:hAnsi="Times New Roman" w:cs="Times New Roman" w:eastAsia="Times New Roman" w:hint="default"/>
        </w:rPr>
        <w:t>6</w:t>
      </w:r>
      <w:r>
        <w:rPr/>
        <w:t>、本报告中如有涉及未来的计划、业绩预测等方面的内容，均不构成本公司对任何投</w:t>
      </w:r>
      <w:r>
        <w:rPr>
          <w:spacing w:val="2"/>
        </w:rPr>
        <w:t> </w:t>
      </w:r>
      <w:r>
        <w:rPr>
          <w:spacing w:val="-1"/>
        </w:rPr>
        <w:t>资者及相关人士的承诺，投资者及相关人士均应对此保持足够的风险认识，并且应当理解计</w:t>
      </w:r>
      <w:r>
        <w:rPr>
          <w:spacing w:val="-110"/>
        </w:rPr>
        <w:t> </w:t>
      </w:r>
      <w:r>
        <w:rPr>
          <w:spacing w:val="-110"/>
        </w:rPr>
      </w:r>
      <w:r>
        <w:rPr/>
        <w:t>划、预测与承诺之间的差异。</w:t>
      </w:r>
    </w:p>
    <w:p>
      <w:pPr>
        <w:spacing w:after="0" w:line="348" w:lineRule="auto"/>
        <w:jc w:val="both"/>
        <w:sectPr>
          <w:headerReference w:type="default" r:id="rId6"/>
          <w:footerReference w:type="default" r:id="rId7"/>
          <w:pgSz w:w="11910" w:h="16840"/>
          <w:pgMar w:header="884" w:footer="1007" w:top="1100" w:bottom="1200" w:left="980" w:right="980"/>
          <w:pgNumType w:start="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spacing w:line="539" w:lineRule="exact" w:before="0"/>
        <w:ind w:left="4353" w:right="4353"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p>
      <w:pPr>
        <w:spacing w:line="240" w:lineRule="auto" w:before="0"/>
        <w:rPr>
          <w:rFonts w:ascii="宋体" w:hAnsi="宋体" w:cs="宋体" w:eastAsia="宋体" w:hint="default"/>
          <w:b/>
          <w:bCs/>
          <w:sz w:val="44"/>
          <w:szCs w:val="44"/>
        </w:rPr>
      </w:pPr>
    </w:p>
    <w:p>
      <w:pPr>
        <w:spacing w:line="240" w:lineRule="auto" w:before="4"/>
        <w:rPr>
          <w:rFonts w:ascii="宋体" w:hAnsi="宋体" w:cs="宋体" w:eastAsia="宋体" w:hint="default"/>
          <w:b/>
          <w:bCs/>
          <w:sz w:val="63"/>
          <w:szCs w:val="63"/>
        </w:rPr>
      </w:pPr>
    </w:p>
    <w:p>
      <w:pPr>
        <w:spacing w:after="0" w:line="240" w:lineRule="auto"/>
        <w:rPr>
          <w:rFonts w:ascii="宋体" w:hAnsi="宋体" w:cs="宋体" w:eastAsia="宋体" w:hint="default"/>
          <w:sz w:val="63"/>
          <w:szCs w:val="63"/>
        </w:rPr>
        <w:sectPr>
          <w:pgSz w:w="11910" w:h="16840"/>
          <w:pgMar w:header="884" w:footer="1007" w:top="1140" w:bottom="1519" w:left="980" w:right="980"/>
        </w:sectPr>
      </w:pPr>
    </w:p>
    <w:sdt>
      <w:sdtPr>
        <w:docPartObj>
          <w:docPartGallery w:val="Table of Contents"/>
          <w:docPartUnique/>
        </w:docPartObj>
      </w:sdtPr>
      <w:sdtEndPr/>
      <w:sdtContent>
        <w:p>
          <w:pPr>
            <w:pStyle w:val="TOC1"/>
            <w:tabs>
              <w:tab w:pos="1005" w:val="left" w:leader="none"/>
              <w:tab w:pos="9784" w:val="right" w:leader="dot"/>
            </w:tabs>
            <w:spacing w:line="240" w:lineRule="auto" w:before="0"/>
            <w:ind w:right="0"/>
            <w:jc w:val="left"/>
            <w:rPr>
              <w:rFonts w:ascii="Calibri" w:hAnsi="Calibri" w:cs="Calibri" w:eastAsia="Calibri" w:hint="default"/>
            </w:rPr>
          </w:pPr>
          <w:hyperlink w:history="true" w:anchor="_bookmark0">
            <w:r>
              <w:rPr/>
              <w:t>第一节</w:t>
              <w:tab/>
              <w:t>重要提示、目录和释义</w:t>
            </w:r>
            <w:r>
              <w:rPr>
                <w:rFonts w:ascii="Calibri" w:hAnsi="Calibri" w:cs="Calibri" w:eastAsia="Calibri" w:hint="default"/>
              </w:rPr>
              <w:tab/>
              <w:t>2</w:t>
            </w:r>
          </w:hyperlink>
        </w:p>
        <w:p>
          <w:pPr>
            <w:pStyle w:val="TOC1"/>
            <w:tabs>
              <w:tab w:pos="9784" w:val="right" w:leader="dot"/>
            </w:tabs>
            <w:spacing w:line="240" w:lineRule="auto"/>
            <w:ind w:right="0"/>
            <w:jc w:val="left"/>
            <w:rPr>
              <w:rFonts w:ascii="Calibri" w:hAnsi="Calibri" w:cs="Calibri" w:eastAsia="Calibri" w:hint="default"/>
            </w:rPr>
          </w:pPr>
          <w:hyperlink w:history="true" w:anchor="_bookmark1">
            <w:r>
              <w:rPr/>
              <w:t>第二节</w:t>
            </w:r>
            <w:r>
              <w:rPr>
                <w:spacing w:val="6"/>
              </w:rPr>
              <w:t> </w:t>
            </w:r>
            <w:r>
              <w:rPr/>
              <w:t>公司基本情况简介</w:t>
            </w:r>
            <w:r>
              <w:rPr>
                <w:rFonts w:ascii="Calibri" w:hAnsi="Calibri" w:cs="Calibri" w:eastAsia="Calibri" w:hint="default"/>
              </w:rPr>
              <w:tab/>
              <w:t>7</w:t>
            </w:r>
          </w:hyperlink>
        </w:p>
        <w:p>
          <w:pPr>
            <w:pStyle w:val="TOC2"/>
            <w:tabs>
              <w:tab w:pos="9784" w:val="right" w:leader="dot"/>
            </w:tabs>
            <w:spacing w:line="240" w:lineRule="auto" w:before="11"/>
            <w:ind w:right="0"/>
            <w:jc w:val="left"/>
            <w:rPr>
              <w:rFonts w:ascii="Calibri" w:hAnsi="Calibri" w:cs="Calibri" w:eastAsia="Calibri" w:hint="default"/>
            </w:rPr>
          </w:pPr>
          <w:hyperlink w:history="true" w:anchor="_bookmark2">
            <w:r>
              <w:rPr/>
              <w:t>一、公司信息</w:t>
            </w:r>
            <w:r>
              <w:rPr>
                <w:rFonts w:ascii="Calibri" w:hAnsi="Calibri" w:cs="Calibri" w:eastAsia="Calibri" w:hint="default"/>
              </w:rPr>
              <w:tab/>
              <w:t>7</w:t>
            </w:r>
          </w:hyperlink>
        </w:p>
        <w:p>
          <w:pPr>
            <w:pStyle w:val="TOC2"/>
            <w:tabs>
              <w:tab w:pos="9784" w:val="right" w:leader="dot"/>
            </w:tabs>
            <w:spacing w:line="240" w:lineRule="auto"/>
            <w:ind w:right="0"/>
            <w:jc w:val="left"/>
            <w:rPr>
              <w:rFonts w:ascii="Calibri" w:hAnsi="Calibri" w:cs="Calibri" w:eastAsia="Calibri" w:hint="default"/>
            </w:rPr>
          </w:pPr>
          <w:hyperlink w:history="true" w:anchor="_bookmark3">
            <w:r>
              <w:rPr/>
              <w:t>二、联系人和联系方式</w:t>
            </w:r>
            <w:r>
              <w:rPr>
                <w:rFonts w:ascii="Calibri" w:hAnsi="Calibri" w:cs="Calibri" w:eastAsia="Calibri" w:hint="default"/>
              </w:rPr>
              <w:tab/>
              <w:t>7</w:t>
            </w:r>
          </w:hyperlink>
        </w:p>
        <w:p>
          <w:pPr>
            <w:pStyle w:val="TOC2"/>
            <w:tabs>
              <w:tab w:pos="9784" w:val="right" w:leader="dot"/>
            </w:tabs>
            <w:spacing w:line="240" w:lineRule="auto"/>
            <w:ind w:right="0"/>
            <w:jc w:val="left"/>
            <w:rPr>
              <w:rFonts w:ascii="Calibri" w:hAnsi="Calibri" w:cs="Calibri" w:eastAsia="Calibri" w:hint="default"/>
            </w:rPr>
          </w:pPr>
          <w:hyperlink w:history="true" w:anchor="_bookmark4">
            <w:r>
              <w:rPr/>
              <w:t>三、信息披露及备置地点</w:t>
            </w:r>
            <w:r>
              <w:rPr>
                <w:rFonts w:ascii="Calibri" w:hAnsi="Calibri" w:cs="Calibri" w:eastAsia="Calibri" w:hint="default"/>
              </w:rPr>
              <w:tab/>
              <w:t>7</w:t>
            </w:r>
          </w:hyperlink>
        </w:p>
        <w:p>
          <w:pPr>
            <w:pStyle w:val="TOC2"/>
            <w:tabs>
              <w:tab w:pos="9784" w:val="right" w:leader="dot"/>
            </w:tabs>
            <w:spacing w:line="240" w:lineRule="auto"/>
            <w:ind w:right="0"/>
            <w:jc w:val="left"/>
            <w:rPr>
              <w:rFonts w:ascii="Calibri" w:hAnsi="Calibri" w:cs="Calibri" w:eastAsia="Calibri" w:hint="default"/>
            </w:rPr>
          </w:pPr>
          <w:hyperlink w:history="true" w:anchor="_bookmark5">
            <w:r>
              <w:rPr/>
              <w:t>四、公司历史沿革</w:t>
            </w:r>
            <w:r>
              <w:rPr>
                <w:rFonts w:ascii="Calibri" w:hAnsi="Calibri" w:cs="Calibri" w:eastAsia="Calibri" w:hint="default"/>
              </w:rPr>
              <w:tab/>
              <w:t>8</w:t>
            </w:r>
          </w:hyperlink>
        </w:p>
        <w:p>
          <w:pPr>
            <w:pStyle w:val="TOC1"/>
            <w:tabs>
              <w:tab w:pos="9784" w:val="right" w:leader="dot"/>
            </w:tabs>
            <w:spacing w:line="240" w:lineRule="auto"/>
            <w:ind w:right="0"/>
            <w:jc w:val="left"/>
            <w:rPr>
              <w:rFonts w:ascii="Calibri" w:hAnsi="Calibri" w:cs="Calibri" w:eastAsia="Calibri" w:hint="default"/>
            </w:rPr>
          </w:pPr>
          <w:hyperlink w:history="true" w:anchor="_bookmark6">
            <w:r>
              <w:rPr/>
              <w:t>第三节</w:t>
            </w:r>
            <w:r>
              <w:rPr>
                <w:spacing w:val="-2"/>
              </w:rPr>
              <w:t> </w:t>
            </w:r>
            <w:r>
              <w:rPr/>
              <w:t>会计数据和财务指标摘要</w:t>
            </w:r>
            <w:r>
              <w:rPr>
                <w:rFonts w:ascii="Calibri" w:hAnsi="Calibri" w:cs="Calibri" w:eastAsia="Calibri" w:hint="default"/>
              </w:rPr>
              <w:tab/>
              <w:t>9</w:t>
            </w:r>
          </w:hyperlink>
        </w:p>
        <w:p>
          <w:pPr>
            <w:pStyle w:val="TOC2"/>
            <w:tabs>
              <w:tab w:pos="9784" w:val="right" w:leader="dot"/>
            </w:tabs>
            <w:spacing w:line="240" w:lineRule="auto"/>
            <w:ind w:right="0"/>
            <w:jc w:val="left"/>
            <w:rPr>
              <w:rFonts w:ascii="Calibri" w:hAnsi="Calibri" w:cs="Calibri" w:eastAsia="Calibri" w:hint="default"/>
            </w:rPr>
          </w:pPr>
          <w:hyperlink w:history="true" w:anchor="_bookmark7">
            <w:r>
              <w:rPr/>
              <w:t>一、主要会计数据和财务指标</w:t>
            </w:r>
            <w:r>
              <w:rPr>
                <w:rFonts w:ascii="Calibri" w:hAnsi="Calibri" w:cs="Calibri" w:eastAsia="Calibri" w:hint="default"/>
              </w:rPr>
              <w:tab/>
              <w:t>9</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8">
            <w:r>
              <w:rPr/>
              <w:t>二、境内外会计准则下会计数据差异</w:t>
            </w:r>
            <w:r>
              <w:rPr>
                <w:rFonts w:ascii="Calibri" w:hAnsi="Calibri" w:cs="Calibri" w:eastAsia="Calibri" w:hint="default"/>
              </w:rPr>
              <w:tab/>
              <w:t>10</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9">
            <w:r>
              <w:rPr/>
              <w:t>三、报告期内非经常性损益的项目及金额</w:t>
            </w:r>
            <w:r>
              <w:rPr>
                <w:rFonts w:ascii="Calibri" w:hAnsi="Calibri" w:cs="Calibri" w:eastAsia="Calibri" w:hint="default"/>
              </w:rPr>
              <w:tab/>
              <w:t>10</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10">
            <w:r>
              <w:rPr/>
              <w:t>四、重大风险提示</w:t>
            </w:r>
            <w:r>
              <w:rPr>
                <w:rFonts w:ascii="Calibri" w:hAnsi="Calibri" w:cs="Calibri" w:eastAsia="Calibri" w:hint="default"/>
              </w:rPr>
              <w:tab/>
              <w:t>11</w:t>
            </w:r>
          </w:hyperlink>
        </w:p>
        <w:p>
          <w:pPr>
            <w:pStyle w:val="TOC1"/>
            <w:tabs>
              <w:tab w:pos="1005" w:val="left" w:leader="none"/>
              <w:tab w:pos="9785" w:val="right" w:leader="dot"/>
            </w:tabs>
            <w:spacing w:line="240" w:lineRule="auto"/>
            <w:ind w:right="0"/>
            <w:jc w:val="left"/>
            <w:rPr>
              <w:rFonts w:ascii="Calibri" w:hAnsi="Calibri" w:cs="Calibri" w:eastAsia="Calibri" w:hint="default"/>
            </w:rPr>
          </w:pPr>
          <w:hyperlink w:history="true" w:anchor="_bookmark11">
            <w:r>
              <w:rPr/>
              <w:t>第四节</w:t>
              <w:tab/>
              <w:t>董事会报告</w:t>
            </w:r>
            <w:r>
              <w:rPr>
                <w:rFonts w:ascii="Calibri" w:hAnsi="Calibri" w:cs="Calibri" w:eastAsia="Calibri" w:hint="default"/>
              </w:rPr>
              <w:tab/>
              <w:t>13</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12">
            <w:r>
              <w:rPr/>
              <w:t>一、管理层讨论与分析</w:t>
            </w:r>
            <w:r>
              <w:rPr>
                <w:rFonts w:ascii="Calibri" w:hAnsi="Calibri" w:cs="Calibri" w:eastAsia="Calibri" w:hint="default"/>
              </w:rPr>
              <w:tab/>
              <w:t>13</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13">
            <w:r>
              <w:rPr>
                <w:spacing w:val="2"/>
              </w:rPr>
              <w:t>二、报告期内主要经营情况</w:t>
            </w:r>
            <w:r>
              <w:rPr>
                <w:rFonts w:ascii="Calibri" w:hAnsi="Calibri" w:cs="Calibri" w:eastAsia="Calibri" w:hint="default"/>
                <w:spacing w:val="2"/>
              </w:rPr>
              <w:tab/>
            </w:r>
            <w:r>
              <w:rPr>
                <w:rFonts w:ascii="Calibri" w:hAnsi="Calibri" w:cs="Calibri" w:eastAsia="Calibri" w:hint="default"/>
              </w:rPr>
              <w:t>14</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14">
            <w:r>
              <w:rPr>
                <w:rFonts w:ascii="Calibri" w:hAnsi="Calibri" w:cs="Calibri" w:eastAsia="Calibri" w:hint="default"/>
              </w:rPr>
              <w:t>1</w:t>
            </w:r>
            <w:r>
              <w:rPr/>
              <w:t>、主营业务分析</w:t>
            </w:r>
            <w:r>
              <w:rPr>
                <w:rFonts w:ascii="Calibri" w:hAnsi="Calibri" w:cs="Calibri" w:eastAsia="Calibri" w:hint="default"/>
              </w:rPr>
              <w:tab/>
              <w:t>14</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15">
            <w:r>
              <w:rPr>
                <w:rFonts w:ascii="Calibri" w:hAnsi="Calibri" w:cs="Calibri" w:eastAsia="Calibri" w:hint="default"/>
              </w:rPr>
              <w:t>2</w:t>
            </w:r>
            <w:r>
              <w:rPr/>
              <w:t>、主营业务分部报告</w:t>
            </w:r>
            <w:r>
              <w:rPr>
                <w:rFonts w:ascii="Calibri" w:hAnsi="Calibri" w:cs="Calibri" w:eastAsia="Calibri" w:hint="default"/>
              </w:rPr>
              <w:tab/>
              <w:t>22</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16">
            <w:r>
              <w:rPr>
                <w:rFonts w:ascii="Calibri" w:hAnsi="Calibri" w:cs="Calibri" w:eastAsia="Calibri" w:hint="default"/>
              </w:rPr>
              <w:t>3</w:t>
            </w:r>
            <w:r>
              <w:rPr/>
              <w:t>、资产、负债状况分析</w:t>
            </w:r>
            <w:r>
              <w:rPr>
                <w:rFonts w:ascii="Calibri" w:hAnsi="Calibri" w:cs="Calibri" w:eastAsia="Calibri" w:hint="default"/>
              </w:rPr>
              <w:tab/>
              <w:t>23</w:t>
            </w:r>
          </w:hyperlink>
        </w:p>
        <w:p>
          <w:pPr>
            <w:pStyle w:val="TOC3"/>
            <w:tabs>
              <w:tab w:pos="9783" w:val="right" w:leader="dot"/>
            </w:tabs>
            <w:spacing w:line="240" w:lineRule="auto"/>
            <w:ind w:right="0"/>
            <w:jc w:val="left"/>
            <w:rPr>
              <w:rFonts w:ascii="Calibri" w:hAnsi="Calibri" w:cs="Calibri" w:eastAsia="Calibri" w:hint="default"/>
            </w:rPr>
          </w:pPr>
          <w:hyperlink w:history="true" w:anchor="_bookmark17">
            <w:r>
              <w:rPr>
                <w:rFonts w:ascii="Calibri" w:hAnsi="Calibri" w:cs="Calibri" w:eastAsia="Calibri" w:hint="default"/>
              </w:rPr>
              <w:t>4</w:t>
            </w:r>
            <w:r>
              <w:rPr/>
              <w:t>、公司竞争能力重大变化分析</w:t>
            </w:r>
            <w:r>
              <w:rPr>
                <w:rFonts w:ascii="Calibri" w:hAnsi="Calibri" w:cs="Calibri" w:eastAsia="Calibri" w:hint="default"/>
              </w:rPr>
              <w:tab/>
              <w:t>25</w:t>
            </w:r>
          </w:hyperlink>
        </w:p>
        <w:p>
          <w:pPr>
            <w:pStyle w:val="TOC3"/>
            <w:tabs>
              <w:tab w:pos="9783" w:val="right" w:leader="dot"/>
            </w:tabs>
            <w:spacing w:line="240" w:lineRule="auto"/>
            <w:ind w:right="0"/>
            <w:jc w:val="left"/>
            <w:rPr>
              <w:rFonts w:ascii="Calibri" w:hAnsi="Calibri" w:cs="Calibri" w:eastAsia="Calibri" w:hint="default"/>
            </w:rPr>
          </w:pPr>
          <w:hyperlink w:history="true" w:anchor="_bookmark18">
            <w:r>
              <w:rPr>
                <w:rFonts w:ascii="Calibri" w:hAnsi="Calibri" w:cs="Calibri" w:eastAsia="Calibri" w:hint="default"/>
              </w:rPr>
              <w:t>5</w:t>
            </w:r>
            <w:r>
              <w:rPr/>
              <w:t>、投资状况分析</w:t>
            </w:r>
            <w:r>
              <w:rPr>
                <w:rFonts w:ascii="Calibri" w:hAnsi="Calibri" w:cs="Calibri" w:eastAsia="Calibri" w:hint="default"/>
              </w:rPr>
              <w:tab/>
              <w:t>25</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19">
            <w:r>
              <w:rPr>
                <w:rFonts w:ascii="Calibri" w:hAnsi="Calibri" w:cs="Calibri" w:eastAsia="Calibri" w:hint="default"/>
              </w:rPr>
              <w:t>6</w:t>
            </w:r>
            <w:r>
              <w:rPr/>
              <w:t>、主要控股参股公司分析</w:t>
            </w:r>
            <w:r>
              <w:rPr>
                <w:rFonts w:ascii="Calibri" w:hAnsi="Calibri" w:cs="Calibri" w:eastAsia="Calibri" w:hint="default"/>
              </w:rPr>
              <w:tab/>
              <w:t>30</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20">
            <w:r>
              <w:rPr>
                <w:rFonts w:ascii="Calibri" w:hAnsi="Calibri" w:cs="Calibri" w:eastAsia="Calibri" w:hint="default"/>
              </w:rPr>
              <w:t>7</w:t>
            </w:r>
            <w:r>
              <w:rPr/>
              <w:t>、公司控制的特殊目的主体情况</w:t>
            </w:r>
            <w:r>
              <w:rPr>
                <w:rFonts w:ascii="Calibri" w:hAnsi="Calibri" w:cs="Calibri" w:eastAsia="Calibri" w:hint="default"/>
              </w:rPr>
              <w:tab/>
              <w:t>32</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21">
            <w:r>
              <w:rPr>
                <w:rFonts w:ascii="Calibri" w:hAnsi="Calibri" w:cs="Calibri" w:eastAsia="Calibri" w:hint="default"/>
              </w:rPr>
              <w:t>8</w:t>
            </w:r>
            <w:r>
              <w:rPr/>
              <w:t>、公司主要无形资产情况</w:t>
            </w:r>
            <w:r>
              <w:rPr>
                <w:rFonts w:ascii="Calibri" w:hAnsi="Calibri" w:cs="Calibri" w:eastAsia="Calibri" w:hint="default"/>
              </w:rPr>
              <w:tab/>
              <w:t>33</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22">
            <w:r>
              <w:rPr/>
              <w:t>三、公司未来发展的展望</w:t>
            </w:r>
            <w:r>
              <w:rPr>
                <w:rFonts w:ascii="Calibri" w:hAnsi="Calibri" w:cs="Calibri" w:eastAsia="Calibri" w:hint="default"/>
              </w:rPr>
              <w:tab/>
              <w:t>34</w:t>
            </w:r>
          </w:hyperlink>
        </w:p>
        <w:p>
          <w:pPr>
            <w:pStyle w:val="TOC3"/>
            <w:tabs>
              <w:tab w:pos="9785" w:val="right" w:leader="dot"/>
            </w:tabs>
            <w:spacing w:line="240" w:lineRule="auto" w:before="11"/>
            <w:ind w:right="0"/>
            <w:jc w:val="left"/>
            <w:rPr>
              <w:rFonts w:ascii="Calibri" w:hAnsi="Calibri" w:cs="Calibri" w:eastAsia="Calibri" w:hint="default"/>
            </w:rPr>
          </w:pPr>
          <w:hyperlink w:history="true" w:anchor="_bookmark23">
            <w:r>
              <w:rPr>
                <w:rFonts w:ascii="Calibri" w:hAnsi="Calibri" w:cs="Calibri" w:eastAsia="Calibri" w:hint="default"/>
              </w:rPr>
              <w:t>1</w:t>
            </w:r>
            <w:r>
              <w:rPr/>
              <w:t>、地理信息产业发展趋势和预测</w:t>
            </w:r>
            <w:r>
              <w:rPr>
                <w:rFonts w:ascii="Calibri" w:hAnsi="Calibri" w:cs="Calibri" w:eastAsia="Calibri" w:hint="default"/>
              </w:rPr>
              <w:tab/>
              <w:t>34</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24">
            <w:r>
              <w:rPr>
                <w:rFonts w:ascii="Calibri" w:hAnsi="Calibri" w:cs="Calibri" w:eastAsia="Calibri" w:hint="default"/>
              </w:rPr>
              <w:t>2</w:t>
            </w:r>
            <w:r>
              <w:rPr/>
              <w:t>、公司面临的机遇和挑战</w:t>
            </w:r>
            <w:r>
              <w:rPr>
                <w:rFonts w:ascii="Calibri" w:hAnsi="Calibri" w:cs="Calibri" w:eastAsia="Calibri" w:hint="default"/>
              </w:rPr>
              <w:tab/>
              <w:t>35</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25">
            <w:r>
              <w:rPr>
                <w:rFonts w:ascii="Calibri" w:hAnsi="Calibri" w:cs="Calibri" w:eastAsia="Calibri" w:hint="default"/>
              </w:rPr>
              <w:t>3</w:t>
            </w:r>
            <w:r>
              <w:rPr/>
              <w:t>、公司未来发展战略规划及</w:t>
            </w:r>
            <w:r>
              <w:rPr>
                <w:spacing w:val="-56"/>
              </w:rPr>
              <w:t> </w:t>
            </w:r>
            <w:r>
              <w:rPr>
                <w:rFonts w:ascii="Calibri" w:hAnsi="Calibri" w:cs="Calibri" w:eastAsia="Calibri" w:hint="default"/>
              </w:rPr>
              <w:t>2013</w:t>
            </w:r>
            <w:r>
              <w:rPr>
                <w:rFonts w:ascii="Calibri" w:hAnsi="Calibri" w:cs="Calibri" w:eastAsia="Calibri" w:hint="default"/>
                <w:spacing w:val="5"/>
              </w:rPr>
              <w:t> </w:t>
            </w:r>
            <w:r>
              <w:rPr/>
              <w:t>年经营计划</w:t>
            </w:r>
            <w:r>
              <w:rPr>
                <w:rFonts w:ascii="Calibri" w:hAnsi="Calibri" w:cs="Calibri" w:eastAsia="Calibri" w:hint="default"/>
              </w:rPr>
              <w:tab/>
              <w:t>36</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26">
            <w:r>
              <w:rPr>
                <w:rFonts w:ascii="Times New Roman" w:hAnsi="Times New Roman" w:cs="Times New Roman" w:eastAsia="Times New Roman" w:hint="default"/>
              </w:rPr>
              <w:t>4</w:t>
            </w:r>
            <w:r>
              <w:rPr/>
              <w:t>、对公司未来发展战略和经营目标的实现产生不利影响的风险因素分析</w:t>
            </w:r>
            <w:r>
              <w:rPr>
                <w:rFonts w:ascii="Calibri" w:hAnsi="Calibri" w:cs="Calibri" w:eastAsia="Calibri" w:hint="default"/>
              </w:rPr>
              <w:tab/>
              <w:t>39</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27">
            <w:r>
              <w:rPr/>
              <w:t>四、董事会对会计师事务所本报告期</w:t>
            </w:r>
            <w:r>
              <w:rPr>
                <w:rFonts w:ascii="Calibri" w:hAnsi="Calibri" w:cs="Calibri" w:eastAsia="Calibri" w:hint="default"/>
              </w:rPr>
              <w:t>“</w:t>
            </w:r>
            <w:r>
              <w:rPr/>
              <w:t>非标准审计报告</w:t>
            </w:r>
            <w:r>
              <w:rPr>
                <w:rFonts w:ascii="Calibri" w:hAnsi="Calibri" w:cs="Calibri" w:eastAsia="Calibri" w:hint="default"/>
              </w:rPr>
              <w:t>”</w:t>
            </w:r>
            <w:r>
              <w:rPr/>
              <w:t>的说明</w:t>
            </w:r>
            <w:r>
              <w:rPr>
                <w:rFonts w:ascii="Calibri" w:hAnsi="Calibri" w:cs="Calibri" w:eastAsia="Calibri" w:hint="default"/>
              </w:rPr>
              <w:tab/>
              <w:t>40</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28">
            <w:r>
              <w:rPr/>
              <w:t>五、董事会关于报告期会计政策、会计估计变更或重要前期差错更正的说明</w:t>
            </w:r>
            <w:r>
              <w:rPr>
                <w:rFonts w:ascii="Calibri" w:hAnsi="Calibri" w:cs="Calibri" w:eastAsia="Calibri" w:hint="default"/>
              </w:rPr>
              <w:tab/>
              <w:t>40</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29">
            <w:r>
              <w:rPr/>
              <w:t>六、公司利润分配及分红派息情况</w:t>
            </w:r>
            <w:r>
              <w:rPr>
                <w:rFonts w:ascii="Calibri" w:hAnsi="Calibri" w:cs="Calibri" w:eastAsia="Calibri" w:hint="default"/>
              </w:rPr>
              <w:tab/>
              <w:t>40</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30">
            <w:r>
              <w:rPr>
                <w:rFonts w:ascii="Times New Roman" w:hAnsi="Times New Roman" w:cs="Times New Roman" w:eastAsia="Times New Roman" w:hint="default"/>
              </w:rPr>
              <w:t>1</w:t>
            </w:r>
            <w:r>
              <w:rPr/>
              <w:t>、报告期内利润分配政策特别是现金分红政策的制定、执行或调整情况</w:t>
            </w:r>
            <w:r>
              <w:rPr>
                <w:rFonts w:ascii="Calibri" w:hAnsi="Calibri" w:cs="Calibri" w:eastAsia="Calibri" w:hint="default"/>
              </w:rPr>
              <w:tab/>
              <w:t>40</w:t>
            </w:r>
          </w:hyperlink>
        </w:p>
        <w:p>
          <w:pPr>
            <w:pStyle w:val="TOC3"/>
            <w:tabs>
              <w:tab w:pos="9772" w:val="right" w:leader="dot"/>
            </w:tabs>
            <w:spacing w:line="256" w:lineRule="auto"/>
            <w:ind w:right="154"/>
            <w:jc w:val="left"/>
            <w:rPr>
              <w:rFonts w:ascii="Calibri" w:hAnsi="Calibri" w:cs="Calibri" w:eastAsia="Calibri" w:hint="default"/>
            </w:rPr>
          </w:pPr>
          <w:hyperlink w:history="true" w:anchor="_bookmark31">
            <w:r>
              <w:rPr>
                <w:rFonts w:ascii="Times New Roman" w:hAnsi="Times New Roman" w:cs="Times New Roman" w:eastAsia="Times New Roman" w:hint="default"/>
              </w:rPr>
              <w:t>2</w:t>
            </w:r>
            <w:r>
              <w:rPr/>
              <w:t>、公司报告期利润分配预案及资本公积金转增股本预案与公司章程和分红管理办法等的相关规</w:t>
            </w:r>
          </w:hyperlink>
          <w:r>
            <w:rPr>
              <w:spacing w:val="-26"/>
            </w:rPr>
            <w:t> </w:t>
          </w:r>
          <w:r>
            <w:rPr>
              <w:spacing w:val="-26"/>
            </w:rPr>
          </w:r>
          <w:hyperlink w:history="true" w:anchor="_bookmark31">
            <w:r>
              <w:rPr/>
              <w:t>定一致</w:t>
            </w:r>
            <w:r>
              <w:rPr>
                <w:rFonts w:ascii="Calibri" w:hAnsi="Calibri" w:cs="Calibri" w:eastAsia="Calibri" w:hint="default"/>
              </w:rPr>
              <w:tab/>
              <w:t> 42</w:t>
            </w:r>
          </w:hyperlink>
        </w:p>
        <w:p>
          <w:pPr>
            <w:pStyle w:val="TOC3"/>
            <w:tabs>
              <w:tab w:pos="9785" w:val="right" w:leader="dot"/>
            </w:tabs>
            <w:spacing w:line="294" w:lineRule="exact" w:before="0"/>
            <w:ind w:right="0"/>
            <w:jc w:val="left"/>
            <w:rPr>
              <w:rFonts w:ascii="Calibri" w:hAnsi="Calibri" w:cs="Calibri" w:eastAsia="Calibri" w:hint="default"/>
            </w:rPr>
          </w:pPr>
          <w:hyperlink w:history="true" w:anchor="_bookmark32">
            <w:r>
              <w:rPr>
                <w:rFonts w:ascii="Times New Roman" w:hAnsi="Times New Roman" w:cs="Times New Roman" w:eastAsia="Times New Roman" w:hint="default"/>
              </w:rPr>
              <w:t>3</w:t>
            </w:r>
            <w:r>
              <w:rPr/>
              <w:t>、公司近</w:t>
            </w:r>
            <w:r>
              <w:rPr>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r>
              <w:rPr>
                <w:rFonts w:ascii="Calibri" w:hAnsi="Calibri" w:cs="Calibri" w:eastAsia="Calibri" w:hint="default"/>
              </w:rPr>
              <w:tab/>
              <w:t>42</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33">
            <w:r>
              <w:rPr>
                <w:rFonts w:ascii="Times New Roman" w:hAnsi="Times New Roman" w:cs="Times New Roman" w:eastAsia="Times New Roman" w:hint="default"/>
              </w:rPr>
              <w:t>4</w:t>
            </w:r>
            <w:r>
              <w:rPr/>
              <w:t>、公司报告期内盈利且母公司未分配利润为正但未提出现金红利分配预案</w:t>
            </w:r>
            <w:r>
              <w:rPr>
                <w:rFonts w:ascii="Calibri" w:hAnsi="Calibri" w:cs="Calibri" w:eastAsia="Calibri" w:hint="default"/>
              </w:rPr>
              <w:tab/>
              <w:t>43</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34">
            <w:r>
              <w:rPr/>
              <w:t>七、内幕信息知情人管理制度的建立和执行情况</w:t>
            </w:r>
            <w:r>
              <w:rPr>
                <w:rFonts w:ascii="Calibri" w:hAnsi="Calibri" w:cs="Calibri" w:eastAsia="Calibri" w:hint="default"/>
              </w:rPr>
              <w:tab/>
              <w:t>43</w:t>
            </w:r>
          </w:hyperlink>
        </w:p>
        <w:p>
          <w:pPr>
            <w:pStyle w:val="TOC2"/>
            <w:tabs>
              <w:tab w:pos="9785" w:val="right" w:leader="dot"/>
            </w:tabs>
            <w:spacing w:line="240" w:lineRule="auto" w:before="268"/>
            <w:ind w:right="0"/>
            <w:jc w:val="left"/>
            <w:rPr>
              <w:rFonts w:ascii="Calibri" w:hAnsi="Calibri" w:cs="Calibri" w:eastAsia="Calibri" w:hint="default"/>
            </w:rPr>
          </w:pPr>
          <w:hyperlink w:history="true" w:anchor="_bookmark35">
            <w:r>
              <w:rPr/>
              <w:t>八、董事会内部控制责任的声明</w:t>
            </w:r>
            <w:r>
              <w:rPr>
                <w:rFonts w:ascii="Calibri" w:hAnsi="Calibri" w:cs="Calibri" w:eastAsia="Calibri" w:hint="default"/>
              </w:rPr>
              <w:tab/>
              <w:t>44</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36">
            <w:r>
              <w:rPr/>
              <w:t>九、报告期内接待调研、沟通、采访等活动登记表</w:t>
            </w:r>
            <w:r>
              <w:rPr>
                <w:rFonts w:ascii="Calibri" w:hAnsi="Calibri" w:cs="Calibri" w:eastAsia="Calibri" w:hint="default"/>
              </w:rPr>
              <w:tab/>
              <w:t>44</w:t>
            </w:r>
          </w:hyperlink>
        </w:p>
        <w:p>
          <w:pPr>
            <w:pStyle w:val="TOC1"/>
            <w:tabs>
              <w:tab w:pos="9785" w:val="right" w:leader="dot"/>
            </w:tabs>
            <w:spacing w:line="240" w:lineRule="auto"/>
            <w:ind w:right="0"/>
            <w:jc w:val="left"/>
            <w:rPr>
              <w:rFonts w:ascii="Calibri" w:hAnsi="Calibri" w:cs="Calibri" w:eastAsia="Calibri" w:hint="default"/>
            </w:rPr>
          </w:pPr>
          <w:hyperlink w:history="true" w:anchor="_bookmark37">
            <w:r>
              <w:rPr/>
              <w:t>第五节</w:t>
            </w:r>
            <w:r>
              <w:rPr>
                <w:spacing w:val="-2"/>
              </w:rPr>
              <w:t> </w:t>
            </w:r>
            <w:r>
              <w:rPr/>
              <w:t>重要事项</w:t>
            </w:r>
            <w:r>
              <w:rPr>
                <w:rFonts w:ascii="Calibri" w:hAnsi="Calibri" w:cs="Calibri" w:eastAsia="Calibri" w:hint="default"/>
              </w:rPr>
              <w:tab/>
              <w:t>46</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38">
            <w:r>
              <w:rPr/>
              <w:t>一、重大诉讼仲裁事项</w:t>
            </w:r>
            <w:r>
              <w:rPr>
                <w:rFonts w:ascii="Calibri" w:hAnsi="Calibri" w:cs="Calibri" w:eastAsia="Calibri" w:hint="default"/>
              </w:rPr>
              <w:tab/>
              <w:t>46</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39">
            <w:r>
              <w:rPr/>
              <w:t>二、上市公司发生控股股东及其关联方非经营性占用资金情况</w:t>
            </w:r>
            <w:r>
              <w:rPr>
                <w:rFonts w:ascii="Calibri" w:hAnsi="Calibri" w:cs="Calibri" w:eastAsia="Calibri" w:hint="default"/>
              </w:rPr>
              <w:tab/>
              <w:t>46</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40">
            <w:r>
              <w:rPr/>
              <w:t>三、破产重整相关事项</w:t>
            </w:r>
            <w:r>
              <w:rPr>
                <w:rFonts w:ascii="Calibri" w:hAnsi="Calibri" w:cs="Calibri" w:eastAsia="Calibri" w:hint="default"/>
              </w:rPr>
              <w:tab/>
              <w:t>46</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41">
            <w:r>
              <w:rPr/>
              <w:t>四、资产交易事项</w:t>
            </w:r>
            <w:r>
              <w:rPr>
                <w:rFonts w:ascii="Calibri" w:hAnsi="Calibri" w:cs="Calibri" w:eastAsia="Calibri" w:hint="default"/>
              </w:rPr>
              <w:tab/>
              <w:t>46</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42">
            <w:r>
              <w:rPr>
                <w:rFonts w:ascii="Calibri" w:hAnsi="Calibri" w:cs="Calibri" w:eastAsia="Calibri" w:hint="default"/>
              </w:rPr>
              <w:t>1</w:t>
            </w:r>
            <w:r>
              <w:rPr/>
              <w:t>、收购资产情况</w:t>
            </w:r>
            <w:r>
              <w:rPr>
                <w:rFonts w:ascii="Calibri" w:hAnsi="Calibri" w:cs="Calibri" w:eastAsia="Calibri" w:hint="default"/>
              </w:rPr>
              <w:tab/>
              <w:t>46</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43">
            <w:r>
              <w:rPr>
                <w:rFonts w:ascii="Calibri" w:hAnsi="Calibri" w:cs="Calibri" w:eastAsia="Calibri" w:hint="default"/>
              </w:rPr>
              <w:t>2</w:t>
            </w:r>
            <w:r>
              <w:rPr/>
              <w:t>、出售资产情况</w:t>
            </w:r>
            <w:r>
              <w:rPr>
                <w:rFonts w:ascii="Calibri" w:hAnsi="Calibri" w:cs="Calibri" w:eastAsia="Calibri" w:hint="default"/>
              </w:rPr>
              <w:tab/>
              <w:t>46</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44">
            <w:r>
              <w:rPr>
                <w:rFonts w:ascii="Calibri" w:hAnsi="Calibri" w:cs="Calibri" w:eastAsia="Calibri" w:hint="default"/>
              </w:rPr>
              <w:t>3</w:t>
            </w:r>
            <w:r>
              <w:rPr/>
              <w:t>、企业合并情况</w:t>
            </w:r>
            <w:r>
              <w:rPr>
                <w:rFonts w:ascii="Calibri" w:hAnsi="Calibri" w:cs="Calibri" w:eastAsia="Calibri" w:hint="default"/>
              </w:rPr>
              <w:tab/>
              <w:t>46</w:t>
            </w:r>
          </w:hyperlink>
        </w:p>
        <w:p>
          <w:pPr>
            <w:pStyle w:val="TOC3"/>
            <w:tabs>
              <w:tab w:pos="9774" w:val="right" w:leader="dot"/>
            </w:tabs>
            <w:spacing w:line="249" w:lineRule="auto"/>
            <w:ind w:right="152"/>
            <w:jc w:val="left"/>
            <w:rPr>
              <w:rFonts w:ascii="Calibri" w:hAnsi="Calibri" w:cs="Calibri" w:eastAsia="Calibri" w:hint="default"/>
            </w:rPr>
          </w:pPr>
          <w:hyperlink w:history="true" w:anchor="_bookmark45">
            <w:r>
              <w:rPr>
                <w:rFonts w:ascii="Calibri" w:hAnsi="Calibri" w:cs="Calibri" w:eastAsia="Calibri" w:hint="default"/>
              </w:rPr>
              <w:t>4</w:t>
            </w:r>
            <w:r>
              <w:rPr/>
              <w:t>、自资产重组报告书或收购出售资产公告刊登后，该事项的进展情况及对报告期经营成果与财</w:t>
            </w:r>
          </w:hyperlink>
          <w:r>
            <w:rPr>
              <w:spacing w:val="-25"/>
            </w:rPr>
            <w:t> </w:t>
          </w:r>
          <w:r>
            <w:rPr>
              <w:spacing w:val="-25"/>
            </w:rPr>
          </w:r>
          <w:hyperlink w:history="true" w:anchor="_bookmark45">
            <w:r>
              <w:rPr/>
              <w:t>务状况的影响</w:t>
            </w:r>
            <w:r>
              <w:rPr>
                <w:rFonts w:ascii="Calibri" w:hAnsi="Calibri" w:cs="Calibri" w:eastAsia="Calibri" w:hint="default"/>
                <w:w w:val="100"/>
              </w:rPr>
              <w:t> </w:t>
            </w:r>
            <w:r>
              <w:rPr>
                <w:rFonts w:ascii="Calibri" w:hAnsi="Calibri" w:cs="Calibri" w:eastAsia="Calibri" w:hint="default"/>
              </w:rPr>
              <w:tab/>
            </w:r>
            <w:r>
              <w:rPr>
                <w:rFonts w:ascii="Calibri" w:hAnsi="Calibri" w:cs="Calibri" w:eastAsia="Calibri" w:hint="default"/>
                <w:w w:val="14"/>
              </w:rPr>
              <w:t> </w:t>
            </w:r>
            <w:r>
              <w:rPr>
                <w:rFonts w:ascii="Calibri" w:hAnsi="Calibri" w:cs="Calibri" w:eastAsia="Calibri" w:hint="default"/>
                <w:spacing w:val="-4"/>
              </w:rPr>
              <w:t>47</w:t>
            </w:r>
            <w:r>
              <w:rPr>
                <w:rFonts w:ascii="Calibri" w:hAnsi="Calibri" w:cs="Calibri" w:eastAsia="Calibri" w:hint="default"/>
              </w:rPr>
            </w:r>
          </w:hyperlink>
        </w:p>
        <w:p>
          <w:pPr>
            <w:pStyle w:val="TOC2"/>
            <w:tabs>
              <w:tab w:pos="9781" w:val="right" w:leader="dot"/>
            </w:tabs>
            <w:spacing w:line="240" w:lineRule="auto" w:before="0"/>
            <w:ind w:right="0"/>
            <w:jc w:val="left"/>
            <w:rPr>
              <w:rFonts w:ascii="Calibri" w:hAnsi="Calibri" w:cs="Calibri" w:eastAsia="Calibri" w:hint="default"/>
            </w:rPr>
          </w:pPr>
          <w:hyperlink w:history="true" w:anchor="_bookmark46">
            <w:r>
              <w:rPr/>
              <w:t>五、公司股权激励的实施情况及其影响</w:t>
            </w:r>
            <w:r>
              <w:rPr>
                <w:rFonts w:ascii="Calibri" w:hAnsi="Calibri" w:cs="Calibri" w:eastAsia="Calibri" w:hint="default"/>
              </w:rPr>
              <w:tab/>
            </w:r>
            <w:r>
              <w:rPr>
                <w:rFonts w:ascii="Calibri" w:hAnsi="Calibri" w:cs="Calibri" w:eastAsia="Calibri" w:hint="default"/>
                <w:spacing w:val="-4"/>
              </w:rPr>
              <w:t>47</w:t>
            </w:r>
            <w:r>
              <w:rPr>
                <w:rFonts w:ascii="Calibri" w:hAnsi="Calibri" w:cs="Calibri" w:eastAsia="Calibri" w:hint="default"/>
              </w:rPr>
            </w:r>
          </w:hyperlink>
        </w:p>
        <w:p>
          <w:pPr>
            <w:pStyle w:val="TOC2"/>
            <w:tabs>
              <w:tab w:pos="9781" w:val="right" w:leader="dot"/>
            </w:tabs>
            <w:spacing w:line="240" w:lineRule="auto"/>
            <w:ind w:right="0"/>
            <w:jc w:val="left"/>
            <w:rPr>
              <w:rFonts w:ascii="Calibri" w:hAnsi="Calibri" w:cs="Calibri" w:eastAsia="Calibri" w:hint="default"/>
            </w:rPr>
          </w:pPr>
          <w:hyperlink w:history="true" w:anchor="_bookmark47">
            <w:r>
              <w:rPr/>
              <w:t>六、重大关联交易</w:t>
            </w:r>
            <w:r>
              <w:rPr>
                <w:rFonts w:ascii="Calibri" w:hAnsi="Calibri" w:cs="Calibri" w:eastAsia="Calibri" w:hint="default"/>
              </w:rPr>
              <w:tab/>
            </w:r>
            <w:r>
              <w:rPr>
                <w:rFonts w:ascii="Calibri" w:hAnsi="Calibri" w:cs="Calibri" w:eastAsia="Calibri" w:hint="default"/>
                <w:spacing w:val="-4"/>
              </w:rPr>
              <w:t>47</w:t>
            </w:r>
            <w:r>
              <w:rPr>
                <w:rFonts w:ascii="Calibri" w:hAnsi="Calibri" w:cs="Calibri" w:eastAsia="Calibri" w:hint="default"/>
              </w:rPr>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48">
            <w:r>
              <w:rPr>
                <w:rFonts w:ascii="Calibri" w:hAnsi="Calibri" w:cs="Calibri" w:eastAsia="Calibri" w:hint="default"/>
              </w:rPr>
              <w:t>1</w:t>
            </w:r>
            <w:r>
              <w:rPr/>
              <w:t>、与日常经营相关的关联交易</w:t>
            </w:r>
            <w:r>
              <w:rPr>
                <w:rFonts w:ascii="Calibri" w:hAnsi="Calibri" w:cs="Calibri" w:eastAsia="Calibri" w:hint="default"/>
              </w:rPr>
              <w:tab/>
              <w:t>48</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49">
            <w:r>
              <w:rPr>
                <w:rFonts w:ascii="Calibri" w:hAnsi="Calibri" w:cs="Calibri" w:eastAsia="Calibri" w:hint="default"/>
              </w:rPr>
              <w:t>2</w:t>
            </w:r>
            <w:r>
              <w:rPr/>
              <w:t>、资产收购、出售发生的关联交易</w:t>
            </w:r>
            <w:r>
              <w:rPr>
                <w:rFonts w:ascii="Calibri" w:hAnsi="Calibri" w:cs="Calibri" w:eastAsia="Calibri" w:hint="default"/>
              </w:rPr>
              <w:tab/>
              <w:t>49</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50">
            <w:r>
              <w:rPr>
                <w:rFonts w:ascii="Calibri" w:hAnsi="Calibri" w:cs="Calibri" w:eastAsia="Calibri" w:hint="default"/>
              </w:rPr>
              <w:t>3</w:t>
            </w:r>
            <w:r>
              <w:rPr/>
              <w:t>、共同对外投资的重大关联交易</w:t>
            </w:r>
            <w:r>
              <w:rPr>
                <w:rFonts w:ascii="Calibri" w:hAnsi="Calibri" w:cs="Calibri" w:eastAsia="Calibri" w:hint="default"/>
              </w:rPr>
              <w:tab/>
              <w:t>49</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51">
            <w:r>
              <w:rPr>
                <w:rFonts w:ascii="Calibri" w:hAnsi="Calibri" w:cs="Calibri" w:eastAsia="Calibri" w:hint="default"/>
              </w:rPr>
              <w:t>4</w:t>
            </w:r>
            <w:r>
              <w:rPr/>
              <w:t>、关联债权债务往来</w:t>
            </w:r>
            <w:r>
              <w:rPr>
                <w:rFonts w:ascii="Calibri" w:hAnsi="Calibri" w:cs="Calibri" w:eastAsia="Calibri" w:hint="default"/>
              </w:rPr>
              <w:tab/>
              <w:t>49</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52">
            <w:r>
              <w:rPr>
                <w:rFonts w:ascii="Calibri" w:hAnsi="Calibri" w:cs="Calibri" w:eastAsia="Calibri" w:hint="default"/>
              </w:rPr>
              <w:t>5</w:t>
            </w:r>
            <w:r>
              <w:rPr/>
              <w:t>、其他重大关联交易</w:t>
            </w:r>
            <w:r>
              <w:rPr>
                <w:rFonts w:ascii="Calibri" w:hAnsi="Calibri" w:cs="Calibri" w:eastAsia="Calibri" w:hint="default"/>
              </w:rPr>
              <w:tab/>
              <w:t>49</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53">
            <w:r>
              <w:rPr/>
              <w:t>七、重大合同及其履行情况</w:t>
            </w:r>
            <w:r>
              <w:rPr>
                <w:rFonts w:ascii="Calibri" w:hAnsi="Calibri" w:cs="Calibri" w:eastAsia="Calibri" w:hint="default"/>
              </w:rPr>
              <w:tab/>
              <w:t>50</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54">
            <w:r>
              <w:rPr>
                <w:rFonts w:ascii="Calibri" w:hAnsi="Calibri" w:cs="Calibri" w:eastAsia="Calibri" w:hint="default"/>
              </w:rPr>
              <w:t>1</w:t>
            </w:r>
            <w:r>
              <w:rPr/>
              <w:t>、托管、承包、租赁事项情况</w:t>
            </w:r>
            <w:r>
              <w:rPr>
                <w:rFonts w:ascii="Calibri" w:hAnsi="Calibri" w:cs="Calibri" w:eastAsia="Calibri" w:hint="default"/>
              </w:rPr>
              <w:tab/>
              <w:t>50</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55">
            <w:r>
              <w:rPr>
                <w:rFonts w:ascii="Calibri" w:hAnsi="Calibri" w:cs="Calibri" w:eastAsia="Calibri" w:hint="default"/>
              </w:rPr>
              <w:t>2</w:t>
            </w:r>
            <w:r>
              <w:rPr/>
              <w:t>、担保情况</w:t>
            </w:r>
            <w:r>
              <w:rPr>
                <w:rFonts w:ascii="Calibri" w:hAnsi="Calibri" w:cs="Calibri" w:eastAsia="Calibri" w:hint="default"/>
              </w:rPr>
              <w:tab/>
              <w:t>50</w:t>
            </w:r>
          </w:hyperlink>
        </w:p>
        <w:p>
          <w:pPr>
            <w:pStyle w:val="TOC3"/>
            <w:tabs>
              <w:tab w:pos="9783" w:val="right" w:leader="dot"/>
            </w:tabs>
            <w:spacing w:line="240" w:lineRule="auto"/>
            <w:ind w:right="0"/>
            <w:jc w:val="left"/>
            <w:rPr>
              <w:rFonts w:ascii="Calibri" w:hAnsi="Calibri" w:cs="Calibri" w:eastAsia="Calibri" w:hint="default"/>
            </w:rPr>
          </w:pPr>
          <w:hyperlink w:history="true" w:anchor="_bookmark56">
            <w:r>
              <w:rPr>
                <w:rFonts w:ascii="Calibri" w:hAnsi="Calibri" w:cs="Calibri" w:eastAsia="Calibri" w:hint="default"/>
              </w:rPr>
              <w:t>3</w:t>
            </w:r>
            <w:r>
              <w:rPr/>
              <w:t>、报告期内或报告期继续发生的委托理财情况</w:t>
            </w:r>
            <w:r>
              <w:rPr>
                <w:rFonts w:ascii="Calibri" w:hAnsi="Calibri" w:cs="Calibri" w:eastAsia="Calibri" w:hint="default"/>
              </w:rPr>
              <w:tab/>
              <w:t>51</w:t>
            </w:r>
          </w:hyperlink>
        </w:p>
        <w:p>
          <w:pPr>
            <w:pStyle w:val="TOC3"/>
            <w:tabs>
              <w:tab w:pos="9783" w:val="right" w:leader="dot"/>
            </w:tabs>
            <w:spacing w:line="240" w:lineRule="auto"/>
            <w:ind w:right="0"/>
            <w:jc w:val="left"/>
            <w:rPr>
              <w:rFonts w:ascii="Calibri" w:hAnsi="Calibri" w:cs="Calibri" w:eastAsia="Calibri" w:hint="default"/>
            </w:rPr>
          </w:pPr>
          <w:hyperlink w:history="true" w:anchor="_bookmark57">
            <w:r>
              <w:rPr>
                <w:rFonts w:ascii="Calibri" w:hAnsi="Calibri" w:cs="Calibri" w:eastAsia="Calibri" w:hint="default"/>
              </w:rPr>
              <w:t>4</w:t>
            </w:r>
            <w:r>
              <w:rPr/>
              <w:t>、其他重大合同</w:t>
            </w:r>
            <w:r>
              <w:rPr>
                <w:rFonts w:ascii="Calibri" w:hAnsi="Calibri" w:cs="Calibri" w:eastAsia="Calibri" w:hint="default"/>
              </w:rPr>
              <w:tab/>
              <w:t>51</w:t>
            </w:r>
          </w:hyperlink>
        </w:p>
        <w:p>
          <w:pPr>
            <w:pStyle w:val="TOC2"/>
            <w:tabs>
              <w:tab w:pos="9783" w:val="right" w:leader="dot"/>
            </w:tabs>
            <w:spacing w:line="240" w:lineRule="auto"/>
            <w:ind w:right="0"/>
            <w:jc w:val="left"/>
            <w:rPr>
              <w:rFonts w:ascii="Calibri" w:hAnsi="Calibri" w:cs="Calibri" w:eastAsia="Calibri" w:hint="default"/>
            </w:rPr>
          </w:pPr>
          <w:hyperlink w:history="true" w:anchor="_bookmark58">
            <w:r>
              <w:rPr/>
              <w:t>八、承诺事项履行情况</w:t>
            </w:r>
            <w:r>
              <w:rPr>
                <w:rFonts w:ascii="Calibri" w:hAnsi="Calibri" w:cs="Calibri" w:eastAsia="Calibri" w:hint="default"/>
              </w:rPr>
              <w:tab/>
              <w:t>51</w:t>
            </w:r>
          </w:hyperlink>
        </w:p>
        <w:p>
          <w:pPr>
            <w:pStyle w:val="TOC3"/>
            <w:tabs>
              <w:tab w:pos="9783" w:val="right" w:leader="dot"/>
            </w:tabs>
            <w:spacing w:line="240" w:lineRule="auto"/>
            <w:ind w:right="0"/>
            <w:jc w:val="left"/>
            <w:rPr>
              <w:rFonts w:ascii="Calibri" w:hAnsi="Calibri" w:cs="Calibri" w:eastAsia="Calibri" w:hint="default"/>
            </w:rPr>
          </w:pPr>
          <w:hyperlink w:history="true" w:anchor="_bookmark59">
            <w:r>
              <w:rPr>
                <w:rFonts w:ascii="Calibri" w:hAnsi="Calibri" w:cs="Calibri" w:eastAsia="Calibri" w:hint="default"/>
              </w:rPr>
              <w:t>1</w:t>
            </w:r>
            <w:r>
              <w:rPr/>
              <w:t>、公司或持股</w:t>
            </w:r>
            <w:r>
              <w:rPr>
                <w:spacing w:val="-54"/>
              </w:rPr>
              <w:t> </w:t>
            </w:r>
            <w:r>
              <w:rPr>
                <w:rFonts w:ascii="Calibri" w:hAnsi="Calibri" w:cs="Calibri" w:eastAsia="Calibri" w:hint="default"/>
              </w:rPr>
              <w:t>5%</w:t>
            </w:r>
            <w:r>
              <w:rPr/>
              <w:t>以上股东在报告期内或持续到报告期内的承诺事项</w:t>
            </w:r>
            <w:r>
              <w:rPr>
                <w:rFonts w:ascii="Calibri" w:hAnsi="Calibri" w:cs="Calibri" w:eastAsia="Calibri" w:hint="default"/>
              </w:rPr>
              <w:tab/>
              <w:t>51</w:t>
            </w:r>
          </w:hyperlink>
        </w:p>
        <w:p>
          <w:pPr>
            <w:pStyle w:val="TOC3"/>
            <w:tabs>
              <w:tab w:pos="9774" w:val="right" w:leader="dot"/>
            </w:tabs>
            <w:spacing w:line="247" w:lineRule="auto"/>
            <w:ind w:right="152"/>
            <w:jc w:val="left"/>
            <w:rPr>
              <w:rFonts w:ascii="Calibri" w:hAnsi="Calibri" w:cs="Calibri" w:eastAsia="Calibri" w:hint="default"/>
            </w:rPr>
          </w:pPr>
          <w:hyperlink w:history="true" w:anchor="_bookmark60">
            <w:r>
              <w:rPr>
                <w:rFonts w:ascii="Calibri" w:hAnsi="Calibri" w:cs="Calibri" w:eastAsia="Calibri" w:hint="default"/>
              </w:rPr>
              <w:t>2</w:t>
            </w:r>
            <w:r>
              <w:rPr/>
              <w:t>、公司资产或项目存在盈利预测，且报告期仍处在盈利预测期间，公司就资产或项目达到原盈</w:t>
            </w:r>
          </w:hyperlink>
          <w:r>
            <w:rPr>
              <w:spacing w:val="-25"/>
            </w:rPr>
            <w:t> </w:t>
          </w:r>
          <w:r>
            <w:rPr>
              <w:spacing w:val="-25"/>
            </w:rPr>
          </w:r>
          <w:hyperlink w:history="true" w:anchor="_bookmark60">
            <w:r>
              <w:rPr/>
              <w:t>利预测及其原因做出说明</w:t>
            </w:r>
            <w:r>
              <w:rPr>
                <w:rFonts w:ascii="Calibri" w:hAnsi="Calibri" w:cs="Calibri" w:eastAsia="Calibri" w:hint="default"/>
                <w:w w:val="100"/>
              </w:rPr>
              <w:t> </w:t>
            </w:r>
            <w:r>
              <w:rPr>
                <w:rFonts w:ascii="Calibri" w:hAnsi="Calibri" w:cs="Calibri" w:eastAsia="Calibri" w:hint="default"/>
              </w:rPr>
              <w:tab/>
            </w:r>
            <w:r>
              <w:rPr>
                <w:rFonts w:ascii="Calibri" w:hAnsi="Calibri" w:cs="Calibri" w:eastAsia="Calibri" w:hint="default"/>
                <w:w w:val="18"/>
              </w:rPr>
              <w:t> </w:t>
            </w:r>
            <w:r>
              <w:rPr>
                <w:rFonts w:ascii="Calibri" w:hAnsi="Calibri" w:cs="Calibri" w:eastAsia="Calibri" w:hint="default"/>
              </w:rPr>
              <w:t>52</w:t>
            </w:r>
          </w:hyperlink>
        </w:p>
        <w:p>
          <w:pPr>
            <w:pStyle w:val="TOC2"/>
            <w:tabs>
              <w:tab w:pos="9783" w:val="right" w:leader="dot"/>
            </w:tabs>
            <w:spacing w:line="240" w:lineRule="auto" w:before="2"/>
            <w:ind w:right="0"/>
            <w:jc w:val="left"/>
            <w:rPr>
              <w:rFonts w:ascii="Calibri" w:hAnsi="Calibri" w:cs="Calibri" w:eastAsia="Calibri" w:hint="default"/>
            </w:rPr>
          </w:pPr>
          <w:hyperlink w:history="true" w:anchor="_bookmark61">
            <w:r>
              <w:rPr/>
              <w:t>九、聘任、解聘会计师事务所情况</w:t>
            </w:r>
            <w:r>
              <w:rPr>
                <w:rFonts w:ascii="Calibri" w:hAnsi="Calibri" w:cs="Calibri" w:eastAsia="Calibri" w:hint="default"/>
              </w:rPr>
              <w:tab/>
              <w:t>52</w:t>
            </w:r>
          </w:hyperlink>
        </w:p>
        <w:p>
          <w:pPr>
            <w:pStyle w:val="TOC2"/>
            <w:spacing w:line="240" w:lineRule="auto"/>
            <w:ind w:right="0"/>
            <w:jc w:val="left"/>
            <w:rPr>
              <w:rFonts w:ascii="Calibri" w:hAnsi="Calibri" w:cs="Calibri" w:eastAsia="Calibri" w:hint="default"/>
            </w:rPr>
          </w:pPr>
          <w:hyperlink w:history="true" w:anchor="_bookmark62">
            <w:r>
              <w:rPr>
                <w:spacing w:val="-2"/>
              </w:rPr>
              <w:t>十、上市公司及其董事、监事、高级管理人员、公司股东、实际控制人和收购人处罚及整改情况</w:t>
            </w:r>
            <w:r>
              <w:rPr/>
              <w:t> </w:t>
            </w:r>
            <w:r>
              <w:rPr>
                <w:rFonts w:ascii="Calibri" w:hAnsi="Calibri" w:cs="Calibri" w:eastAsia="Calibri" w:hint="default"/>
                <w:spacing w:val="-1"/>
              </w:rPr>
              <w:t>..</w:t>
            </w:r>
            <w:r>
              <w:rPr>
                <w:rFonts w:ascii="Calibri" w:hAnsi="Calibri" w:cs="Calibri" w:eastAsia="Calibri" w:hint="default"/>
                <w:spacing w:val="-6"/>
              </w:rPr>
              <w:t> </w:t>
            </w:r>
            <w:r>
              <w:rPr>
                <w:rFonts w:ascii="Calibri" w:hAnsi="Calibri" w:cs="Calibri" w:eastAsia="Calibri" w:hint="default"/>
                <w:spacing w:val="-2"/>
              </w:rPr>
              <w:t>53</w:t>
            </w:r>
            <w:r>
              <w:rPr>
                <w:rFonts w:ascii="Calibri" w:hAnsi="Calibri" w:cs="Calibri" w:eastAsia="Calibri" w:hint="default"/>
              </w:rPr>
            </w:r>
          </w:hyperlink>
        </w:p>
        <w:p>
          <w:pPr>
            <w:pStyle w:val="TOC2"/>
            <w:tabs>
              <w:tab w:pos="9783" w:val="right" w:leader="dot"/>
            </w:tabs>
            <w:spacing w:line="240" w:lineRule="auto"/>
            <w:ind w:right="0"/>
            <w:jc w:val="left"/>
            <w:rPr>
              <w:rFonts w:ascii="Calibri" w:hAnsi="Calibri" w:cs="Calibri" w:eastAsia="Calibri" w:hint="default"/>
            </w:rPr>
          </w:pPr>
          <w:hyperlink w:history="true" w:anchor="_bookmark63">
            <w:r>
              <w:rPr/>
              <w:t>十一、公司股东及其一致行动人在报告期提出或实施股份增持计划的情况</w:t>
            </w:r>
            <w:r>
              <w:rPr>
                <w:rFonts w:ascii="Calibri" w:hAnsi="Calibri" w:cs="Calibri" w:eastAsia="Calibri" w:hint="default"/>
              </w:rPr>
              <w:tab/>
              <w:t>53</w:t>
            </w:r>
          </w:hyperlink>
        </w:p>
        <w:p>
          <w:pPr>
            <w:pStyle w:val="TOC2"/>
            <w:tabs>
              <w:tab w:pos="9783" w:val="right" w:leader="dot"/>
            </w:tabs>
            <w:spacing w:line="240" w:lineRule="auto"/>
            <w:ind w:right="0"/>
            <w:jc w:val="left"/>
            <w:rPr>
              <w:rFonts w:ascii="Calibri" w:hAnsi="Calibri" w:cs="Calibri" w:eastAsia="Calibri" w:hint="default"/>
            </w:rPr>
          </w:pPr>
          <w:hyperlink w:history="true" w:anchor="_bookmark64">
            <w:r>
              <w:rPr/>
              <w:t>十二、</w:t>
            </w:r>
            <w:r>
              <w:rPr>
                <w:rFonts w:ascii="Calibri" w:hAnsi="Calibri" w:cs="Calibri" w:eastAsia="Calibri" w:hint="default"/>
              </w:rPr>
              <w:t>2012 </w:t>
            </w:r>
            <w:r>
              <w:rPr/>
              <w:t>年董事、监事、高级管理人员、持股</w:t>
            </w:r>
            <w:r>
              <w:rPr>
                <w:spacing w:val="-51"/>
              </w:rPr>
              <w:t> </w:t>
            </w:r>
            <w:r>
              <w:rPr>
                <w:rFonts w:ascii="Calibri" w:hAnsi="Calibri" w:cs="Calibri" w:eastAsia="Calibri" w:hint="default"/>
              </w:rPr>
              <w:t>5%</w:t>
            </w:r>
            <w:r>
              <w:rPr/>
              <w:t>以上的股东违规买卖公司股票情况</w:t>
            </w:r>
            <w:r>
              <w:rPr>
                <w:rFonts w:ascii="Calibri" w:hAnsi="Calibri" w:cs="Calibri" w:eastAsia="Calibri" w:hint="default"/>
              </w:rPr>
              <w:tab/>
              <w:t>53</w:t>
            </w:r>
          </w:hyperlink>
        </w:p>
        <w:p>
          <w:pPr>
            <w:pStyle w:val="TOC2"/>
            <w:tabs>
              <w:tab w:pos="9783" w:val="right" w:leader="dot"/>
            </w:tabs>
            <w:spacing w:line="240" w:lineRule="auto" w:before="11"/>
            <w:ind w:right="0"/>
            <w:jc w:val="left"/>
            <w:rPr>
              <w:rFonts w:ascii="Calibri" w:hAnsi="Calibri" w:cs="Calibri" w:eastAsia="Calibri" w:hint="default"/>
            </w:rPr>
          </w:pPr>
          <w:hyperlink w:history="true" w:anchor="_bookmark65">
            <w:r>
              <w:rPr/>
              <w:t>十三、违规对外担保情况</w:t>
            </w:r>
            <w:r>
              <w:rPr>
                <w:rFonts w:ascii="Calibri" w:hAnsi="Calibri" w:cs="Calibri" w:eastAsia="Calibri" w:hint="default"/>
              </w:rPr>
              <w:tab/>
              <w:t>53</w:t>
            </w:r>
          </w:hyperlink>
        </w:p>
        <w:p>
          <w:pPr>
            <w:pStyle w:val="TOC2"/>
            <w:tabs>
              <w:tab w:pos="9783" w:val="right" w:leader="dot"/>
            </w:tabs>
            <w:spacing w:line="240" w:lineRule="auto"/>
            <w:ind w:right="0"/>
            <w:jc w:val="left"/>
            <w:rPr>
              <w:rFonts w:ascii="Calibri" w:hAnsi="Calibri" w:cs="Calibri" w:eastAsia="Calibri" w:hint="default"/>
            </w:rPr>
          </w:pPr>
          <w:hyperlink w:history="true" w:anchor="_bookmark66">
            <w:r>
              <w:rPr/>
              <w:t>十四、年度报告披露后面临暂停上市和终止上市情况</w:t>
            </w:r>
            <w:r>
              <w:rPr>
                <w:rFonts w:ascii="Calibri" w:hAnsi="Calibri" w:cs="Calibri" w:eastAsia="Calibri" w:hint="default"/>
              </w:rPr>
              <w:tab/>
              <w:t>53</w:t>
            </w:r>
          </w:hyperlink>
        </w:p>
        <w:p>
          <w:pPr>
            <w:pStyle w:val="TOC2"/>
            <w:tabs>
              <w:tab w:pos="9783" w:val="right" w:leader="dot"/>
            </w:tabs>
            <w:spacing w:line="240" w:lineRule="auto"/>
            <w:ind w:right="0"/>
            <w:jc w:val="left"/>
            <w:rPr>
              <w:rFonts w:ascii="Calibri" w:hAnsi="Calibri" w:cs="Calibri" w:eastAsia="Calibri" w:hint="default"/>
            </w:rPr>
          </w:pPr>
          <w:hyperlink w:history="true" w:anchor="_bookmark67">
            <w:r>
              <w:rPr/>
              <w:t>十五、其他重大事项的说明</w:t>
            </w:r>
            <w:r>
              <w:rPr>
                <w:rFonts w:ascii="Calibri" w:hAnsi="Calibri" w:cs="Calibri" w:eastAsia="Calibri" w:hint="default"/>
              </w:rPr>
              <w:tab/>
              <w:t>53</w:t>
            </w:r>
          </w:hyperlink>
        </w:p>
        <w:p>
          <w:pPr>
            <w:pStyle w:val="TOC1"/>
            <w:tabs>
              <w:tab w:pos="9785" w:val="right" w:leader="dot"/>
            </w:tabs>
            <w:spacing w:line="240" w:lineRule="auto"/>
            <w:ind w:right="0"/>
            <w:jc w:val="left"/>
            <w:rPr>
              <w:rFonts w:ascii="Calibri" w:hAnsi="Calibri" w:cs="Calibri" w:eastAsia="Calibri" w:hint="default"/>
            </w:rPr>
          </w:pPr>
          <w:hyperlink w:history="true" w:anchor="_bookmark68">
            <w:r>
              <w:rPr/>
              <w:t>第六节</w:t>
            </w:r>
            <w:r>
              <w:rPr>
                <w:spacing w:val="-2"/>
              </w:rPr>
              <w:t> </w:t>
            </w:r>
            <w:r>
              <w:rPr/>
              <w:t>股份变动及股东情况</w:t>
            </w:r>
            <w:r>
              <w:rPr>
                <w:rFonts w:ascii="Calibri" w:hAnsi="Calibri" w:cs="Calibri" w:eastAsia="Calibri" w:hint="default"/>
              </w:rPr>
              <w:tab/>
              <w:t>54</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69">
            <w:r>
              <w:rPr/>
              <w:t>一、股份变动情况</w:t>
            </w:r>
            <w:r>
              <w:rPr>
                <w:rFonts w:ascii="Calibri" w:hAnsi="Calibri" w:cs="Calibri" w:eastAsia="Calibri" w:hint="default"/>
              </w:rPr>
              <w:tab/>
              <w:t>54</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70">
            <w:r>
              <w:rPr>
                <w:rFonts w:ascii="Calibri" w:hAnsi="Calibri" w:cs="Calibri" w:eastAsia="Calibri" w:hint="default"/>
              </w:rPr>
              <w:t>1</w:t>
            </w:r>
            <w:r>
              <w:rPr/>
              <w:t>、股份变动情况</w:t>
            </w:r>
            <w:r>
              <w:rPr>
                <w:rFonts w:ascii="Calibri" w:hAnsi="Calibri" w:cs="Calibri" w:eastAsia="Calibri" w:hint="default"/>
              </w:rPr>
              <w:tab/>
              <w:t>54</w:t>
            </w:r>
          </w:hyperlink>
        </w:p>
        <w:p>
          <w:pPr>
            <w:pStyle w:val="TOC3"/>
            <w:tabs>
              <w:tab w:pos="9783" w:val="right" w:leader="dot"/>
            </w:tabs>
            <w:spacing w:line="240" w:lineRule="auto"/>
            <w:ind w:right="0"/>
            <w:jc w:val="left"/>
            <w:rPr>
              <w:rFonts w:ascii="Calibri" w:hAnsi="Calibri" w:cs="Calibri" w:eastAsia="Calibri" w:hint="default"/>
            </w:rPr>
          </w:pPr>
          <w:hyperlink w:history="true" w:anchor="_bookmark71">
            <w:r>
              <w:rPr>
                <w:rFonts w:ascii="Calibri" w:hAnsi="Calibri" w:cs="Calibri" w:eastAsia="Calibri" w:hint="default"/>
              </w:rPr>
              <w:t>2</w:t>
            </w:r>
            <w:r>
              <w:rPr/>
              <w:t>、限售股份变动情况</w:t>
            </w:r>
            <w:r>
              <w:rPr>
                <w:rFonts w:ascii="Calibri" w:hAnsi="Calibri" w:cs="Calibri" w:eastAsia="Calibri" w:hint="default"/>
              </w:rPr>
              <w:tab/>
              <w:t>55</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72">
            <w:r>
              <w:rPr/>
              <w:t>二、证券发行与上市情况</w:t>
            </w:r>
            <w:r>
              <w:rPr>
                <w:rFonts w:ascii="Calibri" w:hAnsi="Calibri" w:cs="Calibri" w:eastAsia="Calibri" w:hint="default"/>
              </w:rPr>
              <w:tab/>
              <w:t>56</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73">
            <w:r>
              <w:rPr>
                <w:rFonts w:ascii="Calibri" w:hAnsi="Calibri" w:cs="Calibri" w:eastAsia="Calibri" w:hint="default"/>
              </w:rPr>
              <w:t>1</w:t>
            </w:r>
            <w:r>
              <w:rPr/>
              <w:t>、报告期内证券发行情况</w:t>
            </w:r>
            <w:r>
              <w:rPr>
                <w:rFonts w:ascii="Calibri" w:hAnsi="Calibri" w:cs="Calibri" w:eastAsia="Calibri" w:hint="default"/>
              </w:rPr>
              <w:tab/>
              <w:t>56</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74">
            <w:r>
              <w:rPr>
                <w:rFonts w:ascii="Calibri" w:hAnsi="Calibri" w:cs="Calibri" w:eastAsia="Calibri" w:hint="default"/>
              </w:rPr>
              <w:t>2</w:t>
            </w:r>
            <w:r>
              <w:rPr/>
              <w:t>、公司股份总数及股东结构的变动、公司资产和负债结构的变动情况说明</w:t>
            </w:r>
            <w:r>
              <w:rPr>
                <w:rFonts w:ascii="Calibri" w:hAnsi="Calibri" w:cs="Calibri" w:eastAsia="Calibri" w:hint="default"/>
              </w:rPr>
              <w:tab/>
              <w:t>56</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75">
            <w:r>
              <w:rPr/>
              <w:t>三、股东和实际控制人情况</w:t>
            </w:r>
            <w:r>
              <w:rPr>
                <w:rFonts w:ascii="Calibri" w:hAnsi="Calibri" w:cs="Calibri" w:eastAsia="Calibri" w:hint="default"/>
              </w:rPr>
              <w:tab/>
              <w:t>56</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76">
            <w:r>
              <w:rPr>
                <w:rFonts w:ascii="Calibri" w:hAnsi="Calibri" w:cs="Calibri" w:eastAsia="Calibri" w:hint="default"/>
              </w:rPr>
              <w:t>1</w:t>
            </w:r>
            <w:r>
              <w:rPr/>
              <w:t>、公司股东数量及持股情况</w:t>
            </w:r>
            <w:r>
              <w:rPr>
                <w:rFonts w:ascii="Calibri" w:hAnsi="Calibri" w:cs="Calibri" w:eastAsia="Calibri" w:hint="default"/>
              </w:rPr>
              <w:tab/>
              <w:t>56</w:t>
            </w:r>
          </w:hyperlink>
        </w:p>
        <w:p>
          <w:pPr>
            <w:pStyle w:val="TOC3"/>
            <w:tabs>
              <w:tab w:pos="9785" w:val="right" w:leader="dot"/>
            </w:tabs>
            <w:spacing w:line="240" w:lineRule="auto" w:before="268"/>
            <w:ind w:right="0"/>
            <w:jc w:val="left"/>
            <w:rPr>
              <w:rFonts w:ascii="Calibri" w:hAnsi="Calibri" w:cs="Calibri" w:eastAsia="Calibri" w:hint="default"/>
            </w:rPr>
          </w:pPr>
          <w:hyperlink w:history="true" w:anchor="_bookmark77">
            <w:r>
              <w:rPr>
                <w:rFonts w:ascii="Calibri" w:hAnsi="Calibri" w:cs="Calibri" w:eastAsia="Calibri" w:hint="default"/>
              </w:rPr>
              <w:t>2</w:t>
            </w:r>
            <w:r>
              <w:rPr/>
              <w:t>、公司控股股东情况</w:t>
            </w:r>
            <w:r>
              <w:rPr>
                <w:rFonts w:ascii="Calibri" w:hAnsi="Calibri" w:cs="Calibri" w:eastAsia="Calibri" w:hint="default"/>
              </w:rPr>
              <w:tab/>
              <w:t>58</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78">
            <w:r>
              <w:rPr>
                <w:rFonts w:ascii="Calibri" w:hAnsi="Calibri" w:cs="Calibri" w:eastAsia="Calibri" w:hint="default"/>
              </w:rPr>
              <w:t>3</w:t>
            </w:r>
            <w:r>
              <w:rPr/>
              <w:t>、公司实际控制人情况</w:t>
            </w:r>
            <w:r>
              <w:rPr>
                <w:rFonts w:ascii="Calibri" w:hAnsi="Calibri" w:cs="Calibri" w:eastAsia="Calibri" w:hint="default"/>
              </w:rPr>
              <w:tab/>
              <w:t>58</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79">
            <w:r>
              <w:rPr>
                <w:rFonts w:ascii="Calibri" w:hAnsi="Calibri" w:cs="Calibri" w:eastAsia="Calibri" w:hint="default"/>
              </w:rPr>
              <w:t>4</w:t>
            </w:r>
            <w:r>
              <w:rPr/>
              <w:t>、其他持股在</w:t>
            </w:r>
            <w:r>
              <w:rPr>
                <w:spacing w:val="-53"/>
              </w:rPr>
              <w:t> </w:t>
            </w:r>
            <w:r>
              <w:rPr>
                <w:rFonts w:ascii="Calibri" w:hAnsi="Calibri" w:cs="Calibri" w:eastAsia="Calibri" w:hint="default"/>
              </w:rPr>
              <w:t>10%</w:t>
            </w:r>
            <w:r>
              <w:rPr/>
              <w:t>以上的法人股东</w:t>
            </w:r>
            <w:r>
              <w:rPr>
                <w:rFonts w:ascii="Calibri" w:hAnsi="Calibri" w:cs="Calibri" w:eastAsia="Calibri" w:hint="default"/>
              </w:rPr>
              <w:tab/>
              <w:t>58</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80">
            <w:r>
              <w:rPr>
                <w:rFonts w:ascii="Calibri" w:hAnsi="Calibri" w:cs="Calibri" w:eastAsia="Calibri" w:hint="default"/>
              </w:rPr>
              <w:t>5</w:t>
            </w:r>
            <w:r>
              <w:rPr/>
              <w:t>、前</w:t>
            </w:r>
            <w:r>
              <w:rPr>
                <w:spacing w:val="-54"/>
              </w:rPr>
              <w:t> </w:t>
            </w:r>
            <w:r>
              <w:rPr>
                <w:rFonts w:ascii="Calibri" w:hAnsi="Calibri" w:cs="Calibri" w:eastAsia="Calibri" w:hint="default"/>
              </w:rPr>
              <w:t>10</w:t>
            </w:r>
            <w:r>
              <w:rPr>
                <w:rFonts w:ascii="Calibri" w:hAnsi="Calibri" w:cs="Calibri" w:eastAsia="Calibri" w:hint="default"/>
                <w:spacing w:val="2"/>
              </w:rPr>
              <w:t> </w:t>
            </w:r>
            <w:r>
              <w:rPr/>
              <w:t>名有限售条件股东持股数量及限售条件</w:t>
            </w:r>
            <w:r>
              <w:rPr>
                <w:rFonts w:ascii="Calibri" w:hAnsi="Calibri" w:cs="Calibri" w:eastAsia="Calibri" w:hint="default"/>
              </w:rPr>
              <w:tab/>
              <w:t>58</w:t>
            </w:r>
          </w:hyperlink>
        </w:p>
        <w:p>
          <w:pPr>
            <w:pStyle w:val="TOC1"/>
            <w:tabs>
              <w:tab w:pos="995" w:val="left" w:leader="none"/>
              <w:tab w:pos="9785" w:val="right" w:leader="dot"/>
            </w:tabs>
            <w:spacing w:line="240" w:lineRule="auto"/>
            <w:ind w:right="0"/>
            <w:jc w:val="left"/>
            <w:rPr>
              <w:rFonts w:ascii="Calibri" w:hAnsi="Calibri" w:cs="Calibri" w:eastAsia="Calibri" w:hint="default"/>
            </w:rPr>
          </w:pPr>
          <w:hyperlink w:history="true" w:anchor="_bookmark81">
            <w:r>
              <w:rPr/>
              <w:t>第七节</w:t>
              <w:tab/>
              <w:t>董事、监事和高级管理人员的情况</w:t>
            </w:r>
            <w:r>
              <w:rPr>
                <w:rFonts w:ascii="Calibri" w:hAnsi="Calibri" w:cs="Calibri" w:eastAsia="Calibri" w:hint="default"/>
              </w:rPr>
              <w:tab/>
              <w:t>59</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82">
            <w:r>
              <w:rPr/>
              <w:t>一、董事、监事和高级管理人员持股变动</w:t>
            </w:r>
            <w:r>
              <w:rPr>
                <w:rFonts w:ascii="Calibri" w:hAnsi="Calibri" w:cs="Calibri" w:eastAsia="Calibri" w:hint="default"/>
              </w:rPr>
              <w:tab/>
              <w:t>59</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83">
            <w:r>
              <w:rPr/>
              <w:t>二、任职情况</w:t>
            </w:r>
            <w:r>
              <w:rPr>
                <w:rFonts w:ascii="Calibri" w:hAnsi="Calibri" w:cs="Calibri" w:eastAsia="Calibri" w:hint="default"/>
              </w:rPr>
              <w:tab/>
              <w:t>60</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84">
            <w:r>
              <w:rPr/>
              <w:t>三、董事、监事、高级管理人员报酬情况</w:t>
            </w:r>
            <w:r>
              <w:rPr>
                <w:rFonts w:ascii="Calibri" w:hAnsi="Calibri" w:cs="Calibri" w:eastAsia="Calibri" w:hint="default"/>
              </w:rPr>
              <w:tab/>
              <w:t>63</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85">
            <w:r>
              <w:rPr/>
              <w:t>四、公司董事、监事、高级管理人员变动情况</w:t>
            </w:r>
            <w:r>
              <w:rPr>
                <w:rFonts w:ascii="Calibri" w:hAnsi="Calibri" w:cs="Calibri" w:eastAsia="Calibri" w:hint="default"/>
              </w:rPr>
              <w:tab/>
              <w:t>64</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86">
            <w:r>
              <w:rPr/>
              <w:t>五、报告期核心技术团队或关键技术人员变动情况（非董事、监事、高级管理人员）</w:t>
            </w:r>
            <w:r>
              <w:rPr>
                <w:rFonts w:ascii="Calibri" w:hAnsi="Calibri" w:cs="Calibri" w:eastAsia="Calibri" w:hint="default"/>
              </w:rPr>
              <w:tab/>
              <w:t>64</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87">
            <w:r>
              <w:rPr/>
              <w:t>六、公司员工情况</w:t>
            </w:r>
            <w:r>
              <w:rPr>
                <w:rFonts w:ascii="Calibri" w:hAnsi="Calibri" w:cs="Calibri" w:eastAsia="Calibri" w:hint="default"/>
              </w:rPr>
              <w:tab/>
              <w:t>64</w:t>
            </w:r>
          </w:hyperlink>
        </w:p>
        <w:p>
          <w:pPr>
            <w:pStyle w:val="TOC3"/>
            <w:tabs>
              <w:tab w:pos="9785" w:val="right" w:leader="dot"/>
            </w:tabs>
            <w:spacing w:line="240" w:lineRule="auto" w:before="11"/>
            <w:ind w:right="0"/>
            <w:jc w:val="left"/>
            <w:rPr>
              <w:rFonts w:ascii="Calibri" w:hAnsi="Calibri" w:cs="Calibri" w:eastAsia="Calibri" w:hint="default"/>
            </w:rPr>
          </w:pPr>
          <w:hyperlink w:history="true" w:anchor="_bookmark88">
            <w:r>
              <w:rPr>
                <w:rFonts w:ascii="Calibri" w:hAnsi="Calibri" w:cs="Calibri" w:eastAsia="Calibri" w:hint="default"/>
              </w:rPr>
              <w:t>1</w:t>
            </w:r>
            <w:r>
              <w:rPr/>
              <w:t>、学历结构</w:t>
            </w:r>
            <w:r>
              <w:rPr>
                <w:rFonts w:ascii="Calibri" w:hAnsi="Calibri" w:cs="Calibri" w:eastAsia="Calibri" w:hint="default"/>
              </w:rPr>
              <w:tab/>
              <w:t>64</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89">
            <w:r>
              <w:rPr>
                <w:rFonts w:ascii="Calibri" w:hAnsi="Calibri" w:cs="Calibri" w:eastAsia="Calibri" w:hint="default"/>
              </w:rPr>
              <w:t>2</w:t>
            </w:r>
            <w:r>
              <w:rPr/>
              <w:t>、岗位结构</w:t>
            </w:r>
            <w:r>
              <w:rPr>
                <w:rFonts w:ascii="Calibri" w:hAnsi="Calibri" w:cs="Calibri" w:eastAsia="Calibri" w:hint="default"/>
              </w:rPr>
              <w:tab/>
              <w:t>64</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90">
            <w:r>
              <w:rPr>
                <w:rFonts w:ascii="Calibri" w:hAnsi="Calibri" w:cs="Calibri" w:eastAsia="Calibri" w:hint="default"/>
              </w:rPr>
              <w:t>3</w:t>
            </w:r>
            <w:r>
              <w:rPr/>
              <w:t>、截至报告期末，公司无需要承担费用的离退休人员。</w:t>
            </w:r>
            <w:r>
              <w:rPr>
                <w:rFonts w:ascii="Calibri" w:hAnsi="Calibri" w:cs="Calibri" w:eastAsia="Calibri" w:hint="default"/>
              </w:rPr>
              <w:tab/>
              <w:t>65</w:t>
            </w:r>
          </w:hyperlink>
        </w:p>
        <w:p>
          <w:pPr>
            <w:pStyle w:val="TOC1"/>
            <w:tabs>
              <w:tab w:pos="9785" w:val="right" w:leader="dot"/>
            </w:tabs>
            <w:spacing w:line="240" w:lineRule="auto"/>
            <w:ind w:right="0"/>
            <w:jc w:val="left"/>
            <w:rPr>
              <w:rFonts w:ascii="Calibri" w:hAnsi="Calibri" w:cs="Calibri" w:eastAsia="Calibri" w:hint="default"/>
            </w:rPr>
          </w:pPr>
          <w:hyperlink w:history="true" w:anchor="_bookmark91">
            <w:r>
              <w:rPr/>
              <w:t>第八节</w:t>
            </w:r>
            <w:r>
              <w:rPr>
                <w:spacing w:val="-2"/>
              </w:rPr>
              <w:t> </w:t>
            </w:r>
            <w:r>
              <w:rPr/>
              <w:t>公司治理</w:t>
            </w:r>
            <w:r>
              <w:rPr>
                <w:rFonts w:ascii="Calibri" w:hAnsi="Calibri" w:cs="Calibri" w:eastAsia="Calibri" w:hint="default"/>
              </w:rPr>
              <w:tab/>
              <w:t>66</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92">
            <w:r>
              <w:rPr/>
              <w:t>一、公司治理的基本状况</w:t>
            </w:r>
            <w:r>
              <w:rPr>
                <w:rFonts w:ascii="Calibri" w:hAnsi="Calibri" w:cs="Calibri" w:eastAsia="Calibri" w:hint="default"/>
              </w:rPr>
              <w:tab/>
              <w:t>66</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93">
            <w:r>
              <w:rPr>
                <w:rFonts w:ascii="Calibri" w:hAnsi="Calibri" w:cs="Calibri" w:eastAsia="Calibri" w:hint="default"/>
              </w:rPr>
              <w:t>1</w:t>
            </w:r>
            <w:r>
              <w:rPr/>
              <w:t>、关于股东与股东大会</w:t>
            </w:r>
            <w:r>
              <w:rPr>
                <w:rFonts w:ascii="Calibri" w:hAnsi="Calibri" w:cs="Calibri" w:eastAsia="Calibri" w:hint="default"/>
              </w:rPr>
              <w:tab/>
              <w:t>66</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94">
            <w:r>
              <w:rPr>
                <w:rFonts w:ascii="Calibri" w:hAnsi="Calibri" w:cs="Calibri" w:eastAsia="Calibri" w:hint="default"/>
              </w:rPr>
              <w:t>2</w:t>
            </w:r>
            <w:r>
              <w:rPr/>
              <w:t>、关于公司与控股股东</w:t>
            </w:r>
            <w:r>
              <w:rPr>
                <w:rFonts w:ascii="Calibri" w:hAnsi="Calibri" w:cs="Calibri" w:eastAsia="Calibri" w:hint="default"/>
              </w:rPr>
              <w:tab/>
              <w:t>66</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95">
            <w:r>
              <w:rPr>
                <w:rFonts w:ascii="Calibri" w:hAnsi="Calibri" w:cs="Calibri" w:eastAsia="Calibri" w:hint="default"/>
              </w:rPr>
              <w:t>3</w:t>
            </w:r>
            <w:r>
              <w:rPr/>
              <w:t>、关于董事和董事会</w:t>
            </w:r>
            <w:r>
              <w:rPr>
                <w:rFonts w:ascii="Calibri" w:hAnsi="Calibri" w:cs="Calibri" w:eastAsia="Calibri" w:hint="default"/>
              </w:rPr>
              <w:tab/>
              <w:t>66</w:t>
            </w:r>
          </w:hyperlink>
        </w:p>
        <w:p>
          <w:pPr>
            <w:pStyle w:val="TOC3"/>
            <w:tabs>
              <w:tab w:pos="9783" w:val="right" w:leader="dot"/>
            </w:tabs>
            <w:spacing w:line="240" w:lineRule="auto"/>
            <w:ind w:right="0"/>
            <w:jc w:val="left"/>
            <w:rPr>
              <w:rFonts w:ascii="Calibri" w:hAnsi="Calibri" w:cs="Calibri" w:eastAsia="Calibri" w:hint="default"/>
            </w:rPr>
          </w:pPr>
          <w:hyperlink w:history="true" w:anchor="_bookmark96">
            <w:r>
              <w:rPr>
                <w:rFonts w:ascii="Calibri" w:hAnsi="Calibri" w:cs="Calibri" w:eastAsia="Calibri" w:hint="default"/>
              </w:rPr>
              <w:t>4</w:t>
            </w:r>
            <w:r>
              <w:rPr/>
              <w:t>、关于监事和监事会</w:t>
            </w:r>
            <w:r>
              <w:rPr>
                <w:rFonts w:ascii="Calibri" w:hAnsi="Calibri" w:cs="Calibri" w:eastAsia="Calibri" w:hint="default"/>
              </w:rPr>
              <w:tab/>
              <w:t>67</w:t>
            </w:r>
          </w:hyperlink>
        </w:p>
        <w:p>
          <w:pPr>
            <w:pStyle w:val="TOC3"/>
            <w:tabs>
              <w:tab w:pos="9783" w:val="right" w:leader="dot"/>
            </w:tabs>
            <w:spacing w:line="240" w:lineRule="auto"/>
            <w:ind w:right="0"/>
            <w:jc w:val="left"/>
            <w:rPr>
              <w:rFonts w:ascii="Calibri" w:hAnsi="Calibri" w:cs="Calibri" w:eastAsia="Calibri" w:hint="default"/>
            </w:rPr>
          </w:pPr>
          <w:hyperlink w:history="true" w:anchor="_bookmark97">
            <w:r>
              <w:rPr>
                <w:rFonts w:ascii="Calibri" w:hAnsi="Calibri" w:cs="Calibri" w:eastAsia="Calibri" w:hint="default"/>
              </w:rPr>
              <w:t>5</w:t>
            </w:r>
            <w:r>
              <w:rPr/>
              <w:t>、关于绩效评价和激励约束机制</w:t>
            </w:r>
            <w:r>
              <w:rPr>
                <w:rFonts w:ascii="Calibri" w:hAnsi="Calibri" w:cs="Calibri" w:eastAsia="Calibri" w:hint="default"/>
              </w:rPr>
              <w:tab/>
              <w:t>67</w:t>
            </w:r>
          </w:hyperlink>
        </w:p>
        <w:p>
          <w:pPr>
            <w:pStyle w:val="TOC3"/>
            <w:tabs>
              <w:tab w:pos="9783" w:val="right" w:leader="dot"/>
            </w:tabs>
            <w:spacing w:line="240" w:lineRule="auto"/>
            <w:ind w:right="0"/>
            <w:jc w:val="left"/>
            <w:rPr>
              <w:rFonts w:ascii="Calibri" w:hAnsi="Calibri" w:cs="Calibri" w:eastAsia="Calibri" w:hint="default"/>
            </w:rPr>
          </w:pPr>
          <w:hyperlink w:history="true" w:anchor="_bookmark98">
            <w:r>
              <w:rPr>
                <w:rFonts w:ascii="Calibri" w:hAnsi="Calibri" w:cs="Calibri" w:eastAsia="Calibri" w:hint="default"/>
              </w:rPr>
              <w:t>6</w:t>
            </w:r>
            <w:r>
              <w:rPr/>
              <w:t>、关于信息披露与透明度</w:t>
            </w:r>
            <w:r>
              <w:rPr>
                <w:rFonts w:ascii="Calibri" w:hAnsi="Calibri" w:cs="Calibri" w:eastAsia="Calibri" w:hint="default"/>
              </w:rPr>
              <w:tab/>
              <w:t>67</w:t>
            </w:r>
          </w:hyperlink>
        </w:p>
        <w:p>
          <w:pPr>
            <w:pStyle w:val="TOC3"/>
            <w:tabs>
              <w:tab w:pos="9783" w:val="right" w:leader="dot"/>
            </w:tabs>
            <w:spacing w:line="240" w:lineRule="auto"/>
            <w:ind w:right="0"/>
            <w:jc w:val="left"/>
            <w:rPr>
              <w:rFonts w:ascii="Calibri" w:hAnsi="Calibri" w:cs="Calibri" w:eastAsia="Calibri" w:hint="default"/>
            </w:rPr>
          </w:pPr>
          <w:hyperlink w:history="true" w:anchor="_bookmark99">
            <w:r>
              <w:rPr>
                <w:rFonts w:ascii="Calibri" w:hAnsi="Calibri" w:cs="Calibri" w:eastAsia="Calibri" w:hint="default"/>
              </w:rPr>
              <w:t>7</w:t>
            </w:r>
            <w:r>
              <w:rPr/>
              <w:t>、关于利益相关者</w:t>
            </w:r>
            <w:r>
              <w:rPr>
                <w:rFonts w:ascii="Calibri" w:hAnsi="Calibri" w:cs="Calibri" w:eastAsia="Calibri" w:hint="default"/>
              </w:rPr>
              <w:tab/>
              <w:t>67</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100">
            <w:r>
              <w:rPr/>
              <w:t>二、报告期内召开的年度股东大会和临时股东大会的有关情况</w:t>
            </w:r>
            <w:r>
              <w:rPr>
                <w:rFonts w:ascii="Calibri" w:hAnsi="Calibri" w:cs="Calibri" w:eastAsia="Calibri" w:hint="default"/>
              </w:rPr>
              <w:tab/>
              <w:t>68</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101">
            <w:r>
              <w:rPr>
                <w:rFonts w:ascii="Calibri" w:hAnsi="Calibri" w:cs="Calibri" w:eastAsia="Calibri" w:hint="default"/>
              </w:rPr>
              <w:t>1</w:t>
            </w:r>
            <w:r>
              <w:rPr/>
              <w:t>、本报告期年度股东大会情况</w:t>
            </w:r>
            <w:r>
              <w:rPr>
                <w:rFonts w:ascii="Calibri" w:hAnsi="Calibri" w:cs="Calibri" w:eastAsia="Calibri" w:hint="default"/>
              </w:rPr>
              <w:tab/>
              <w:t>68</w:t>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102">
            <w:r>
              <w:rPr>
                <w:rFonts w:ascii="Calibri" w:hAnsi="Calibri" w:cs="Calibri" w:eastAsia="Calibri" w:hint="default"/>
              </w:rPr>
              <w:t>2</w:t>
            </w:r>
            <w:r>
              <w:rPr/>
              <w:t>、本报告期临时股东大会情况</w:t>
            </w:r>
            <w:r>
              <w:rPr>
                <w:rFonts w:ascii="Calibri" w:hAnsi="Calibri" w:cs="Calibri" w:eastAsia="Calibri" w:hint="default"/>
              </w:rPr>
              <w:tab/>
              <w:t>68</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103">
            <w:r>
              <w:rPr/>
              <w:t>三、报告期董事会召开情况</w:t>
            </w:r>
            <w:r>
              <w:rPr>
                <w:rFonts w:ascii="Calibri" w:hAnsi="Calibri" w:cs="Calibri" w:eastAsia="Calibri" w:hint="default"/>
              </w:rPr>
              <w:tab/>
              <w:t>68</w:t>
            </w:r>
          </w:hyperlink>
        </w:p>
        <w:p>
          <w:pPr>
            <w:pStyle w:val="TOC2"/>
            <w:tabs>
              <w:tab w:pos="9785" w:val="right" w:leader="dot"/>
            </w:tabs>
            <w:spacing w:line="240" w:lineRule="auto"/>
            <w:ind w:right="0"/>
            <w:jc w:val="left"/>
            <w:rPr>
              <w:rFonts w:ascii="Calibri" w:hAnsi="Calibri" w:cs="Calibri" w:eastAsia="Calibri" w:hint="default"/>
            </w:rPr>
          </w:pPr>
          <w:hyperlink w:history="true" w:anchor="_bookmark104">
            <w:r>
              <w:rPr/>
              <w:t>四、年度报告重大差错责任追究制度的建立与执行情况</w:t>
            </w:r>
            <w:r>
              <w:rPr>
                <w:rFonts w:ascii="Calibri" w:hAnsi="Calibri" w:cs="Calibri" w:eastAsia="Calibri" w:hint="default"/>
              </w:rPr>
              <w:tab/>
              <w:t>69</w:t>
            </w:r>
          </w:hyperlink>
        </w:p>
        <w:p>
          <w:pPr>
            <w:pStyle w:val="TOC2"/>
            <w:tabs>
              <w:tab w:pos="9781" w:val="right" w:leader="dot"/>
            </w:tabs>
            <w:spacing w:line="240" w:lineRule="auto"/>
            <w:ind w:right="0"/>
            <w:jc w:val="left"/>
            <w:rPr>
              <w:rFonts w:ascii="Calibri" w:hAnsi="Calibri" w:cs="Calibri" w:eastAsia="Calibri" w:hint="default"/>
            </w:rPr>
          </w:pPr>
          <w:hyperlink w:history="true" w:anchor="_bookmark105">
            <w:r>
              <w:rPr/>
              <w:t>五、公司董事会下设委员会工作情况</w:t>
            </w:r>
            <w:r>
              <w:rPr>
                <w:rFonts w:ascii="Calibri" w:hAnsi="Calibri" w:cs="Calibri" w:eastAsia="Calibri" w:hint="default"/>
              </w:rPr>
              <w:tab/>
            </w:r>
            <w:r>
              <w:rPr>
                <w:rFonts w:ascii="Calibri" w:hAnsi="Calibri" w:cs="Calibri" w:eastAsia="Calibri" w:hint="default"/>
                <w:spacing w:val="-4"/>
              </w:rPr>
              <w:t>70</w:t>
            </w:r>
            <w:r>
              <w:rPr>
                <w:rFonts w:ascii="Calibri" w:hAnsi="Calibri" w:cs="Calibri" w:eastAsia="Calibri" w:hint="default"/>
              </w:rPr>
            </w:r>
          </w:hyperlink>
        </w:p>
        <w:p>
          <w:pPr>
            <w:pStyle w:val="TOC3"/>
            <w:tabs>
              <w:tab w:pos="9781" w:val="right" w:leader="dot"/>
            </w:tabs>
            <w:spacing w:line="240" w:lineRule="auto"/>
            <w:ind w:right="0"/>
            <w:jc w:val="left"/>
            <w:rPr>
              <w:rFonts w:ascii="Calibri" w:hAnsi="Calibri" w:cs="Calibri" w:eastAsia="Calibri" w:hint="default"/>
            </w:rPr>
          </w:pPr>
          <w:hyperlink w:history="true" w:anchor="_bookmark106">
            <w:r>
              <w:rPr>
                <w:rFonts w:ascii="Calibri" w:hAnsi="Calibri" w:cs="Calibri" w:eastAsia="Calibri" w:hint="default"/>
              </w:rPr>
              <w:t>1</w:t>
            </w:r>
            <w:r>
              <w:rPr/>
              <w:t>、审计委员会</w:t>
            </w:r>
            <w:r>
              <w:rPr>
                <w:rFonts w:ascii="Calibri" w:hAnsi="Calibri" w:cs="Calibri" w:eastAsia="Calibri" w:hint="default"/>
              </w:rPr>
              <w:tab/>
            </w:r>
            <w:r>
              <w:rPr>
                <w:rFonts w:ascii="Calibri" w:hAnsi="Calibri" w:cs="Calibri" w:eastAsia="Calibri" w:hint="default"/>
                <w:spacing w:val="-4"/>
              </w:rPr>
              <w:t>70</w:t>
            </w:r>
            <w:r>
              <w:rPr>
                <w:rFonts w:ascii="Calibri" w:hAnsi="Calibri" w:cs="Calibri" w:eastAsia="Calibri" w:hint="default"/>
              </w:rPr>
            </w:r>
          </w:hyperlink>
        </w:p>
        <w:p>
          <w:pPr>
            <w:pStyle w:val="TOC3"/>
            <w:tabs>
              <w:tab w:pos="9781" w:val="right" w:leader="dot"/>
            </w:tabs>
            <w:spacing w:line="240" w:lineRule="auto"/>
            <w:ind w:right="0"/>
            <w:jc w:val="left"/>
            <w:rPr>
              <w:rFonts w:ascii="Calibri" w:hAnsi="Calibri" w:cs="Calibri" w:eastAsia="Calibri" w:hint="default"/>
            </w:rPr>
          </w:pPr>
          <w:hyperlink w:history="true" w:anchor="_bookmark107">
            <w:r>
              <w:rPr>
                <w:rFonts w:ascii="Calibri" w:hAnsi="Calibri" w:cs="Calibri" w:eastAsia="Calibri" w:hint="default"/>
              </w:rPr>
              <w:t>2</w:t>
            </w:r>
            <w:r>
              <w:rPr/>
              <w:t>、薪酬与考核委员会</w:t>
            </w:r>
            <w:r>
              <w:rPr>
                <w:rFonts w:ascii="Calibri" w:hAnsi="Calibri" w:cs="Calibri" w:eastAsia="Calibri" w:hint="default"/>
              </w:rPr>
              <w:tab/>
            </w:r>
            <w:r>
              <w:rPr>
                <w:rFonts w:ascii="Calibri" w:hAnsi="Calibri" w:cs="Calibri" w:eastAsia="Calibri" w:hint="default"/>
                <w:spacing w:val="-4"/>
              </w:rPr>
              <w:t>72</w:t>
            </w:r>
            <w:r>
              <w:rPr>
                <w:rFonts w:ascii="Calibri" w:hAnsi="Calibri" w:cs="Calibri" w:eastAsia="Calibri" w:hint="default"/>
              </w:rPr>
            </w:r>
          </w:hyperlink>
        </w:p>
        <w:p>
          <w:pPr>
            <w:pStyle w:val="TOC3"/>
            <w:tabs>
              <w:tab w:pos="9783" w:val="right" w:leader="dot"/>
            </w:tabs>
            <w:spacing w:line="240" w:lineRule="auto"/>
            <w:ind w:right="0"/>
            <w:jc w:val="left"/>
            <w:rPr>
              <w:rFonts w:ascii="Calibri" w:hAnsi="Calibri" w:cs="Calibri" w:eastAsia="Calibri" w:hint="default"/>
            </w:rPr>
          </w:pPr>
          <w:hyperlink w:history="true" w:anchor="_bookmark108">
            <w:r>
              <w:rPr>
                <w:rFonts w:ascii="Calibri" w:hAnsi="Calibri" w:cs="Calibri" w:eastAsia="Calibri" w:hint="default"/>
              </w:rPr>
              <w:t>3</w:t>
            </w:r>
            <w:r>
              <w:rPr/>
              <w:t>、提名委员会</w:t>
            </w:r>
            <w:r>
              <w:rPr>
                <w:rFonts w:ascii="Calibri" w:hAnsi="Calibri" w:cs="Calibri" w:eastAsia="Calibri" w:hint="default"/>
              </w:rPr>
              <w:tab/>
              <w:t>73</w:t>
            </w:r>
          </w:hyperlink>
        </w:p>
        <w:p>
          <w:pPr>
            <w:pStyle w:val="TOC3"/>
            <w:tabs>
              <w:tab w:pos="9783" w:val="right" w:leader="dot"/>
            </w:tabs>
            <w:spacing w:line="240" w:lineRule="auto" w:before="11"/>
            <w:ind w:right="0"/>
            <w:jc w:val="left"/>
            <w:rPr>
              <w:rFonts w:ascii="Calibri" w:hAnsi="Calibri" w:cs="Calibri" w:eastAsia="Calibri" w:hint="default"/>
            </w:rPr>
          </w:pPr>
          <w:hyperlink w:history="true" w:anchor="_bookmark109">
            <w:r>
              <w:rPr>
                <w:rFonts w:ascii="Calibri" w:hAnsi="Calibri" w:cs="Calibri" w:eastAsia="Calibri" w:hint="default"/>
              </w:rPr>
              <w:t>4</w:t>
            </w:r>
            <w:r>
              <w:rPr/>
              <w:t>、战略与发展委员会</w:t>
            </w:r>
            <w:r>
              <w:rPr>
                <w:rFonts w:ascii="Calibri" w:hAnsi="Calibri" w:cs="Calibri" w:eastAsia="Calibri" w:hint="default"/>
              </w:rPr>
              <w:tab/>
              <w:t>73</w:t>
            </w:r>
          </w:hyperlink>
        </w:p>
        <w:p>
          <w:pPr>
            <w:pStyle w:val="TOC2"/>
            <w:tabs>
              <w:tab w:pos="9783" w:val="right" w:leader="dot"/>
            </w:tabs>
            <w:spacing w:line="240" w:lineRule="auto"/>
            <w:ind w:right="0"/>
            <w:jc w:val="left"/>
            <w:rPr>
              <w:rFonts w:ascii="Calibri" w:hAnsi="Calibri" w:cs="Calibri" w:eastAsia="Calibri" w:hint="default"/>
            </w:rPr>
          </w:pPr>
          <w:hyperlink w:history="true" w:anchor="_bookmark110">
            <w:r>
              <w:rPr/>
              <w:t>六、独立董事履行职责情况</w:t>
            </w:r>
            <w:r>
              <w:rPr>
                <w:rFonts w:ascii="Calibri" w:hAnsi="Calibri" w:cs="Calibri" w:eastAsia="Calibri" w:hint="default"/>
              </w:rPr>
              <w:tab/>
              <w:t>73</w:t>
            </w:r>
          </w:hyperlink>
        </w:p>
        <w:p>
          <w:pPr>
            <w:pStyle w:val="TOC3"/>
            <w:tabs>
              <w:tab w:pos="9783" w:val="right" w:leader="dot"/>
            </w:tabs>
            <w:spacing w:line="240" w:lineRule="auto"/>
            <w:ind w:right="0"/>
            <w:jc w:val="left"/>
            <w:rPr>
              <w:rFonts w:ascii="Calibri" w:hAnsi="Calibri" w:cs="Calibri" w:eastAsia="Calibri" w:hint="default"/>
            </w:rPr>
          </w:pPr>
          <w:hyperlink w:history="true" w:anchor="_bookmark111">
            <w:r>
              <w:rPr>
                <w:rFonts w:ascii="Calibri" w:hAnsi="Calibri" w:cs="Calibri" w:eastAsia="Calibri" w:hint="default"/>
              </w:rPr>
              <w:t>1</w:t>
            </w:r>
            <w:r>
              <w:rPr/>
              <w:t>、独立董事工作情况</w:t>
            </w:r>
            <w:r>
              <w:rPr>
                <w:rFonts w:ascii="Calibri" w:hAnsi="Calibri" w:cs="Calibri" w:eastAsia="Calibri" w:hint="default"/>
              </w:rPr>
              <w:tab/>
              <w:t>73</w:t>
            </w:r>
          </w:hyperlink>
        </w:p>
        <w:p>
          <w:pPr>
            <w:pStyle w:val="TOC3"/>
            <w:tabs>
              <w:tab w:pos="9781" w:val="right" w:leader="dot"/>
            </w:tabs>
            <w:spacing w:line="240" w:lineRule="auto"/>
            <w:ind w:right="0"/>
            <w:jc w:val="left"/>
            <w:rPr>
              <w:rFonts w:ascii="Calibri" w:hAnsi="Calibri" w:cs="Calibri" w:eastAsia="Calibri" w:hint="default"/>
            </w:rPr>
          </w:pPr>
          <w:hyperlink w:history="true" w:anchor="_bookmark112">
            <w:r>
              <w:rPr>
                <w:rFonts w:ascii="Calibri" w:hAnsi="Calibri" w:cs="Calibri" w:eastAsia="Calibri" w:hint="default"/>
              </w:rPr>
              <w:t>2</w:t>
            </w:r>
            <w:r>
              <w:rPr/>
              <w:t>、报告期内公司独立董事出席董事会情况</w:t>
            </w:r>
            <w:r>
              <w:rPr>
                <w:rFonts w:ascii="Calibri" w:hAnsi="Calibri" w:cs="Calibri" w:eastAsia="Calibri" w:hint="default"/>
              </w:rPr>
              <w:tab/>
            </w:r>
            <w:r>
              <w:rPr>
                <w:rFonts w:ascii="Calibri" w:hAnsi="Calibri" w:cs="Calibri" w:eastAsia="Calibri" w:hint="default"/>
                <w:spacing w:val="-4"/>
              </w:rPr>
              <w:t>74</w:t>
            </w:r>
            <w:r>
              <w:rPr>
                <w:rFonts w:ascii="Calibri" w:hAnsi="Calibri" w:cs="Calibri" w:eastAsia="Calibri" w:hint="default"/>
              </w:rPr>
            </w:r>
          </w:hyperlink>
        </w:p>
        <w:p>
          <w:pPr>
            <w:pStyle w:val="TOC3"/>
            <w:tabs>
              <w:tab w:pos="9781" w:val="right" w:leader="dot"/>
            </w:tabs>
            <w:spacing w:line="240" w:lineRule="auto"/>
            <w:ind w:right="0"/>
            <w:jc w:val="left"/>
            <w:rPr>
              <w:rFonts w:ascii="Calibri" w:hAnsi="Calibri" w:cs="Calibri" w:eastAsia="Calibri" w:hint="default"/>
            </w:rPr>
          </w:pPr>
          <w:hyperlink w:history="true" w:anchor="_bookmark113">
            <w:r>
              <w:rPr>
                <w:rFonts w:ascii="Calibri" w:hAnsi="Calibri" w:cs="Calibri" w:eastAsia="Calibri" w:hint="default"/>
              </w:rPr>
              <w:t>3</w:t>
            </w:r>
            <w:r>
              <w:rPr/>
              <w:t>、报告期内，公司独立董事对公司董事会的议案及公司其他事项均没有提出异议。</w:t>
            </w:r>
            <w:r>
              <w:rPr>
                <w:rFonts w:ascii="Calibri" w:hAnsi="Calibri" w:cs="Calibri" w:eastAsia="Calibri" w:hint="default"/>
              </w:rPr>
              <w:tab/>
            </w:r>
            <w:r>
              <w:rPr>
                <w:rFonts w:ascii="Calibri" w:hAnsi="Calibri" w:cs="Calibri" w:eastAsia="Calibri" w:hint="default"/>
                <w:spacing w:val="-4"/>
              </w:rPr>
              <w:t>74</w:t>
            </w:r>
            <w:r>
              <w:rPr>
                <w:rFonts w:ascii="Calibri" w:hAnsi="Calibri" w:cs="Calibri" w:eastAsia="Calibri" w:hint="default"/>
              </w:rPr>
            </w:r>
          </w:hyperlink>
        </w:p>
        <w:p>
          <w:pPr>
            <w:pStyle w:val="TOC2"/>
            <w:tabs>
              <w:tab w:pos="9781" w:val="right" w:leader="dot"/>
            </w:tabs>
            <w:spacing w:line="240" w:lineRule="auto"/>
            <w:ind w:right="0"/>
            <w:jc w:val="left"/>
            <w:rPr>
              <w:rFonts w:ascii="Calibri" w:hAnsi="Calibri" w:cs="Calibri" w:eastAsia="Calibri" w:hint="default"/>
            </w:rPr>
          </w:pPr>
          <w:hyperlink w:history="true" w:anchor="_bookmark114">
            <w:r>
              <w:rPr/>
              <w:t>七、监事会工作情况</w:t>
            </w:r>
            <w:r>
              <w:rPr>
                <w:rFonts w:ascii="Calibri" w:hAnsi="Calibri" w:cs="Calibri" w:eastAsia="Calibri" w:hint="default"/>
              </w:rPr>
              <w:tab/>
            </w:r>
            <w:r>
              <w:rPr>
                <w:rFonts w:ascii="Calibri" w:hAnsi="Calibri" w:cs="Calibri" w:eastAsia="Calibri" w:hint="default"/>
                <w:spacing w:val="-4"/>
              </w:rPr>
              <w:t>74</w:t>
            </w:r>
            <w:r>
              <w:rPr>
                <w:rFonts w:ascii="Calibri" w:hAnsi="Calibri" w:cs="Calibri" w:eastAsia="Calibri" w:hint="default"/>
              </w:rPr>
            </w:r>
          </w:hyperlink>
        </w:p>
        <w:p>
          <w:pPr>
            <w:pStyle w:val="TOC3"/>
            <w:tabs>
              <w:tab w:pos="9781" w:val="right" w:leader="dot"/>
            </w:tabs>
            <w:spacing w:line="240" w:lineRule="auto"/>
            <w:ind w:right="0"/>
            <w:jc w:val="left"/>
            <w:rPr>
              <w:rFonts w:ascii="Calibri" w:hAnsi="Calibri" w:cs="Calibri" w:eastAsia="Calibri" w:hint="default"/>
            </w:rPr>
          </w:pPr>
          <w:hyperlink w:history="true" w:anchor="_bookmark115">
            <w:r>
              <w:rPr>
                <w:rFonts w:ascii="Calibri" w:hAnsi="Calibri" w:cs="Calibri" w:eastAsia="Calibri" w:hint="default"/>
              </w:rPr>
              <w:t>1</w:t>
            </w:r>
            <w:r>
              <w:rPr/>
              <w:t>、报告期内监事会会议情况</w:t>
            </w:r>
            <w:r>
              <w:rPr>
                <w:rFonts w:ascii="Calibri" w:hAnsi="Calibri" w:cs="Calibri" w:eastAsia="Calibri" w:hint="default"/>
              </w:rPr>
              <w:tab/>
            </w:r>
            <w:r>
              <w:rPr>
                <w:rFonts w:ascii="Calibri" w:hAnsi="Calibri" w:cs="Calibri" w:eastAsia="Calibri" w:hint="default"/>
                <w:spacing w:val="-4"/>
              </w:rPr>
              <w:t>74</w:t>
            </w:r>
            <w:r>
              <w:rPr>
                <w:rFonts w:ascii="Calibri" w:hAnsi="Calibri" w:cs="Calibri" w:eastAsia="Calibri" w:hint="default"/>
              </w:rPr>
            </w:r>
          </w:hyperlink>
        </w:p>
        <w:p>
          <w:pPr>
            <w:pStyle w:val="TOC3"/>
            <w:tabs>
              <w:tab w:pos="9785" w:val="right" w:leader="dot"/>
            </w:tabs>
            <w:spacing w:line="240" w:lineRule="auto"/>
            <w:ind w:right="0"/>
            <w:jc w:val="left"/>
            <w:rPr>
              <w:rFonts w:ascii="Calibri" w:hAnsi="Calibri" w:cs="Calibri" w:eastAsia="Calibri" w:hint="default"/>
            </w:rPr>
          </w:pPr>
          <w:hyperlink w:history="true" w:anchor="_bookmark116">
            <w:r>
              <w:rPr>
                <w:rFonts w:ascii="Calibri" w:hAnsi="Calibri" w:cs="Calibri" w:eastAsia="Calibri" w:hint="default"/>
              </w:rPr>
              <w:t>2</w:t>
            </w:r>
            <w:r>
              <w:rPr/>
              <w:t>、监事会对公司报告期内有关事项的独立意见</w:t>
            </w:r>
            <w:r>
              <w:rPr>
                <w:rFonts w:ascii="Calibri" w:hAnsi="Calibri" w:cs="Calibri" w:eastAsia="Calibri" w:hint="default"/>
              </w:rPr>
              <w:tab/>
              <w:t>75</w:t>
            </w:r>
          </w:hyperlink>
        </w:p>
        <w:p>
          <w:pPr>
            <w:pStyle w:val="TOC1"/>
            <w:tabs>
              <w:tab w:pos="995" w:val="left" w:leader="none"/>
              <w:tab w:pos="9783" w:val="right" w:leader="dot"/>
            </w:tabs>
            <w:spacing w:line="240" w:lineRule="auto"/>
            <w:ind w:right="0"/>
            <w:jc w:val="left"/>
            <w:rPr>
              <w:rFonts w:ascii="Calibri" w:hAnsi="Calibri" w:cs="Calibri" w:eastAsia="Calibri" w:hint="default"/>
            </w:rPr>
          </w:pPr>
          <w:hyperlink w:history="true" w:anchor="_bookmark117">
            <w:r>
              <w:rPr/>
              <w:t>第九节</w:t>
              <w:tab/>
              <w:t>财务报告</w:t>
            </w:r>
            <w:r>
              <w:rPr>
                <w:rFonts w:ascii="Calibri" w:hAnsi="Calibri" w:cs="Calibri" w:eastAsia="Calibri" w:hint="default"/>
              </w:rPr>
              <w:tab/>
              <w:t>78</w:t>
            </w:r>
          </w:hyperlink>
        </w:p>
        <w:p>
          <w:pPr>
            <w:pStyle w:val="TOC1"/>
            <w:tabs>
              <w:tab w:pos="995" w:val="left" w:leader="none"/>
              <w:tab w:pos="9784" w:val="right" w:leader="dot"/>
            </w:tabs>
            <w:spacing w:line="240" w:lineRule="auto"/>
            <w:ind w:right="0"/>
            <w:jc w:val="left"/>
            <w:rPr>
              <w:rFonts w:ascii="Calibri" w:hAnsi="Calibri" w:cs="Calibri" w:eastAsia="Calibri" w:hint="default"/>
            </w:rPr>
          </w:pPr>
          <w:hyperlink w:history="true" w:anchor="_bookmark118">
            <w:r>
              <w:rPr/>
              <w:t>第十节</w:t>
              <w:tab/>
              <w:t>备查文件目录</w:t>
            </w:r>
            <w:r>
              <w:rPr>
                <w:rFonts w:ascii="Calibri" w:hAnsi="Calibri" w:cs="Calibri" w:eastAsia="Calibri" w:hint="default"/>
              </w:rPr>
              <w:tab/>
              <w:t>180</w:t>
            </w:r>
          </w:hyperlink>
        </w:p>
      </w:sdtContent>
    </w:sdt>
    <w:p>
      <w:pPr>
        <w:spacing w:after="0" w:line="240" w:lineRule="auto"/>
        <w:jc w:val="left"/>
        <w:rPr>
          <w:rFonts w:ascii="Calibri" w:hAnsi="Calibri" w:cs="Calibri" w:eastAsia="Calibri" w:hint="default"/>
        </w:rPr>
        <w:sectPr>
          <w:type w:val="continuous"/>
          <w:pgSz w:w="11910" w:h="16840"/>
          <w:pgMar w:top="1407" w:bottom="1519" w:left="980" w:right="980"/>
        </w:sectPr>
      </w:pPr>
    </w:p>
    <w:p>
      <w:pPr>
        <w:spacing w:after="0" w:line="14" w:lineRule="auto"/>
        <w:rPr>
          <w:sz w:val="20"/>
          <w:szCs w:val="20"/>
        </w:rPr>
        <w:sectPr>
          <w:footerReference w:type="default" r:id="rId8"/>
          <w:type w:val="continuous"/>
          <w:pgSz w:w="11910" w:h="16840"/>
          <w:pgMar w:footer="1007" w:top="1140" w:bottom="1200" w:left="980" w:right="980"/>
          <w:pgNumType w:start="4"/>
        </w:sectPr>
      </w:pPr>
    </w:p>
    <w:p>
      <w:pPr>
        <w:spacing w:line="240" w:lineRule="auto" w:before="0"/>
        <w:rPr>
          <w:rFonts w:ascii="Calibri" w:hAnsi="Calibri" w:cs="Calibri" w:eastAsia="Calibri" w:hint="default"/>
          <w:sz w:val="32"/>
          <w:szCs w:val="32"/>
        </w:rPr>
      </w:pPr>
    </w:p>
    <w:p>
      <w:pPr>
        <w:spacing w:line="240" w:lineRule="auto" w:before="0"/>
        <w:rPr>
          <w:rFonts w:ascii="Calibri" w:hAnsi="Calibri" w:cs="Calibri" w:eastAsia="Calibri" w:hint="default"/>
          <w:sz w:val="32"/>
          <w:szCs w:val="32"/>
        </w:rPr>
      </w:pPr>
    </w:p>
    <w:p>
      <w:pPr>
        <w:pStyle w:val="Heading2"/>
        <w:spacing w:line="240" w:lineRule="auto" w:before="252"/>
        <w:ind w:left="4353" w:right="4353"/>
        <w:jc w:val="center"/>
        <w:rPr>
          <w:b w:val="0"/>
          <w:bCs w:val="0"/>
        </w:rPr>
      </w:pPr>
      <w:r>
        <w:rPr/>
        <w:t>释义</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before="36"/>
        <w:ind w:left="0" w:right="566" w:firstLine="0"/>
        <w:jc w:val="right"/>
        <w:rPr>
          <w:rFonts w:ascii="宋体" w:hAnsi="宋体" w:cs="宋体" w:eastAsia="宋体" w:hint="default"/>
          <w:sz w:val="21"/>
          <w:szCs w:val="21"/>
        </w:rPr>
      </w:pPr>
      <w:r>
        <w:rPr/>
        <w:pict>
          <v:shape style="position:absolute;margin-left:81.143997pt;margin-top:-46.416317pt;width:433.2pt;height:257.2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66"/>
                    <w:gridCol w:w="1110"/>
                    <w:gridCol w:w="4973"/>
                  </w:tblGrid>
                  <w:tr>
                    <w:trPr>
                      <w:trHeight w:val="322" w:hRule="exact"/>
                    </w:trPr>
                    <w:tc>
                      <w:tcPr>
                        <w:tcW w:w="2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0"/>
                          <w:jc w:val="center"/>
                          <w:rPr>
                            <w:rFonts w:ascii="宋体" w:hAnsi="宋体" w:cs="宋体" w:eastAsia="宋体" w:hint="default"/>
                            <w:sz w:val="21"/>
                            <w:szCs w:val="21"/>
                          </w:rPr>
                        </w:pPr>
                        <w:r>
                          <w:rPr>
                            <w:rFonts w:ascii="宋体" w:hAnsi="宋体" w:cs="宋体" w:eastAsia="宋体" w:hint="default"/>
                            <w:b/>
                            <w:bCs/>
                            <w:sz w:val="21"/>
                            <w:szCs w:val="21"/>
                          </w:rPr>
                          <w:t>释义项</w:t>
                        </w:r>
                        <w:r>
                          <w:rPr>
                            <w:rFonts w:ascii="宋体" w:hAnsi="宋体" w:cs="宋体" w:eastAsia="宋体" w:hint="default"/>
                            <w:sz w:val="21"/>
                            <w:szCs w:val="21"/>
                          </w:rPr>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443"/>
                          <w:jc w:val="right"/>
                          <w:rPr>
                            <w:rFonts w:ascii="宋体" w:hAnsi="宋体" w:cs="宋体" w:eastAsia="宋体" w:hint="default"/>
                            <w:sz w:val="21"/>
                            <w:szCs w:val="21"/>
                          </w:rPr>
                        </w:pPr>
                        <w:r>
                          <w:rPr>
                            <w:rFonts w:ascii="宋体" w:hAnsi="宋体" w:cs="宋体" w:eastAsia="宋体" w:hint="default"/>
                            <w:b/>
                            <w:bCs/>
                            <w:w w:val="100"/>
                            <w:sz w:val="21"/>
                            <w:szCs w:val="21"/>
                          </w:rPr>
                          <w:t>指</w:t>
                        </w:r>
                        <w:r>
                          <w:rPr>
                            <w:rFonts w:ascii="宋体" w:hAnsi="宋体" w:cs="宋体" w:eastAsia="宋体" w:hint="default"/>
                            <w:w w:val="100"/>
                            <w:sz w:val="21"/>
                            <w:szCs w:val="21"/>
                          </w:rPr>
                        </w:r>
                      </w:p>
                    </w:tc>
                    <w:tc>
                      <w:tcPr>
                        <w:tcW w:w="4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3" w:right="0"/>
                          <w:jc w:val="center"/>
                          <w:rPr>
                            <w:rFonts w:ascii="宋体" w:hAnsi="宋体" w:cs="宋体" w:eastAsia="宋体" w:hint="default"/>
                            <w:sz w:val="21"/>
                            <w:szCs w:val="21"/>
                          </w:rPr>
                        </w:pPr>
                        <w:r>
                          <w:rPr>
                            <w:rFonts w:ascii="宋体" w:hAnsi="宋体" w:cs="宋体" w:eastAsia="宋体" w:hint="default"/>
                            <w:b/>
                            <w:bCs/>
                            <w:sz w:val="21"/>
                            <w:szCs w:val="21"/>
                          </w:rPr>
                          <w:t>释义内容</w:t>
                        </w:r>
                        <w:r>
                          <w:rPr>
                            <w:rFonts w:ascii="宋体" w:hAnsi="宋体" w:cs="宋体" w:eastAsia="宋体" w:hint="default"/>
                            <w:sz w:val="21"/>
                            <w:szCs w:val="21"/>
                          </w:rPr>
                        </w:r>
                      </w:p>
                    </w:tc>
                  </w:tr>
                  <w:tr>
                    <w:trPr>
                      <w:trHeight w:val="324" w:hRule="exact"/>
                    </w:trPr>
                    <w:tc>
                      <w:tcPr>
                        <w:tcW w:w="2566" w:type="dxa"/>
                        <w:tcBorders>
                          <w:top w:val="single" w:sz="4" w:space="0" w:color="000000"/>
                          <w:left w:val="single" w:sz="4" w:space="0" w:color="000000"/>
                          <w:bottom w:val="single" w:sz="4" w:space="0" w:color="000000"/>
                          <w:right w:val="single" w:sz="13" w:space="0" w:color="D2D2D2"/>
                        </w:tcBorders>
                      </w:tcPr>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超图软件</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w:t>
                        </w:r>
                        <w:r>
                          <w:rPr>
                            <w:rFonts w:ascii="Times New Roman" w:hAnsi="Times New Roman" w:cs="Times New Roman" w:eastAsia="Times New Roman" w:hint="default"/>
                            <w:sz w:val="21"/>
                            <w:szCs w:val="21"/>
                          </w:rPr>
                          <w:t>/</w:t>
                        </w:r>
                        <w:r>
                          <w:rPr>
                            <w:rFonts w:ascii="宋体" w:hAnsi="宋体" w:cs="宋体" w:eastAsia="宋体" w:hint="default"/>
                            <w:sz w:val="21"/>
                            <w:szCs w:val="21"/>
                          </w:rPr>
                          <w:t>公司</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44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973" w:type="dxa"/>
                        <w:tcBorders>
                          <w:top w:val="single" w:sz="4" w:space="0" w:color="000000"/>
                          <w:left w:val="single" w:sz="10" w:space="0" w:color="D2D2D2"/>
                          <w:bottom w:val="single" w:sz="4" w:space="0" w:color="000000"/>
                          <w:right w:val="single" w:sz="4" w:space="0" w:color="000000"/>
                        </w:tcBorders>
                      </w:tcPr>
                      <w:p>
                        <w:pPr>
                          <w:pStyle w:val="TableParagraph"/>
                          <w:spacing w:line="265" w:lineRule="exact"/>
                          <w:ind w:left="27"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r>
                  <w:tr>
                    <w:trPr>
                      <w:trHeight w:val="322" w:hRule="exact"/>
                    </w:trPr>
                    <w:tc>
                      <w:tcPr>
                        <w:tcW w:w="2566" w:type="dxa"/>
                        <w:tcBorders>
                          <w:top w:val="single" w:sz="4" w:space="0" w:color="000000"/>
                          <w:left w:val="single" w:sz="4" w:space="0" w:color="000000"/>
                          <w:bottom w:val="single" w:sz="4" w:space="0" w:color="000000"/>
                          <w:right w:val="single" w:sz="13" w:space="0" w:color="D2D2D2"/>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超图信息</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44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973" w:type="dxa"/>
                        <w:tcBorders>
                          <w:top w:val="single" w:sz="4" w:space="0" w:color="000000"/>
                          <w:left w:val="single" w:sz="10" w:space="0" w:color="D2D2D2"/>
                          <w:bottom w:val="single" w:sz="4" w:space="0" w:color="000000"/>
                          <w:right w:val="single" w:sz="4" w:space="0" w:color="000000"/>
                        </w:tcBorders>
                      </w:tcPr>
                      <w:p>
                        <w:pPr>
                          <w:pStyle w:val="TableParagraph"/>
                          <w:spacing w:line="262" w:lineRule="exact"/>
                          <w:ind w:left="27" w:right="0"/>
                          <w:jc w:val="left"/>
                          <w:rPr>
                            <w:rFonts w:ascii="宋体" w:hAnsi="宋体" w:cs="宋体" w:eastAsia="宋体" w:hint="default"/>
                            <w:sz w:val="21"/>
                            <w:szCs w:val="21"/>
                          </w:rPr>
                        </w:pPr>
                        <w:r>
                          <w:rPr>
                            <w:rFonts w:ascii="宋体" w:hAnsi="宋体" w:cs="宋体" w:eastAsia="宋体" w:hint="default"/>
                            <w:sz w:val="21"/>
                            <w:szCs w:val="21"/>
                          </w:rPr>
                          <w:t>北京超图信息技术有限公司，公司全资子公司</w:t>
                        </w:r>
                      </w:p>
                    </w:tc>
                  </w:tr>
                  <w:tr>
                    <w:trPr>
                      <w:trHeight w:val="322" w:hRule="exact"/>
                    </w:trPr>
                    <w:tc>
                      <w:tcPr>
                        <w:tcW w:w="2566" w:type="dxa"/>
                        <w:tcBorders>
                          <w:top w:val="single" w:sz="4" w:space="0" w:color="000000"/>
                          <w:left w:val="single" w:sz="4" w:space="0" w:color="000000"/>
                          <w:bottom w:val="single" w:sz="4" w:space="0" w:color="000000"/>
                          <w:right w:val="single" w:sz="13" w:space="0" w:color="D2D2D2"/>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超图国际</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44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973" w:type="dxa"/>
                        <w:tcBorders>
                          <w:top w:val="single" w:sz="4" w:space="0" w:color="000000"/>
                          <w:left w:val="single" w:sz="10" w:space="0" w:color="D2D2D2"/>
                          <w:bottom w:val="single" w:sz="4" w:space="0" w:color="000000"/>
                          <w:right w:val="single" w:sz="4" w:space="0" w:color="000000"/>
                        </w:tcBorders>
                      </w:tcPr>
                      <w:p>
                        <w:pPr>
                          <w:pStyle w:val="TableParagraph"/>
                          <w:spacing w:line="262" w:lineRule="exact"/>
                          <w:ind w:left="27" w:right="0"/>
                          <w:jc w:val="left"/>
                          <w:rPr>
                            <w:rFonts w:ascii="宋体" w:hAnsi="宋体" w:cs="宋体" w:eastAsia="宋体" w:hint="default"/>
                            <w:sz w:val="21"/>
                            <w:szCs w:val="21"/>
                          </w:rPr>
                        </w:pPr>
                        <w:r>
                          <w:rPr>
                            <w:rFonts w:ascii="宋体" w:hAnsi="宋体" w:cs="宋体" w:eastAsia="宋体" w:hint="default"/>
                            <w:spacing w:val="-3"/>
                            <w:sz w:val="21"/>
                            <w:szCs w:val="21"/>
                          </w:rPr>
                          <w:t>超图国际有限公司，是公司在香港注册的全资子公司</w:t>
                        </w:r>
                      </w:p>
                    </w:tc>
                  </w:tr>
                  <w:tr>
                    <w:trPr>
                      <w:trHeight w:val="322" w:hRule="exact"/>
                    </w:trPr>
                    <w:tc>
                      <w:tcPr>
                        <w:tcW w:w="2566" w:type="dxa"/>
                        <w:tcBorders>
                          <w:top w:val="single" w:sz="4" w:space="0" w:color="000000"/>
                          <w:left w:val="single" w:sz="4" w:space="0" w:color="000000"/>
                          <w:bottom w:val="single" w:sz="4" w:space="0" w:color="000000"/>
                          <w:right w:val="single" w:sz="13" w:space="0" w:color="D2D2D2"/>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日本超图</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44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973" w:type="dxa"/>
                        <w:tcBorders>
                          <w:top w:val="single" w:sz="4" w:space="0" w:color="000000"/>
                          <w:left w:val="single" w:sz="10" w:space="0" w:color="D2D2D2"/>
                          <w:bottom w:val="single" w:sz="4" w:space="0" w:color="000000"/>
                          <w:right w:val="single" w:sz="4" w:space="0" w:color="000000"/>
                        </w:tcBorders>
                      </w:tcPr>
                      <w:p>
                        <w:pPr>
                          <w:pStyle w:val="TableParagraph"/>
                          <w:spacing w:line="263" w:lineRule="exact"/>
                          <w:ind w:left="27" w:right="0"/>
                          <w:jc w:val="left"/>
                          <w:rPr>
                            <w:rFonts w:ascii="宋体" w:hAnsi="宋体" w:cs="宋体" w:eastAsia="宋体" w:hint="default"/>
                            <w:sz w:val="21"/>
                            <w:szCs w:val="21"/>
                          </w:rPr>
                        </w:pPr>
                        <w:r>
                          <w:rPr>
                            <w:rFonts w:ascii="宋体" w:hAnsi="宋体" w:cs="宋体" w:eastAsia="宋体" w:hint="default"/>
                            <w:sz w:val="21"/>
                            <w:szCs w:val="21"/>
                          </w:rPr>
                          <w:t>日本超图株式会社，是公司控股子公司</w:t>
                        </w:r>
                      </w:p>
                    </w:tc>
                  </w:tr>
                  <w:tr>
                    <w:trPr>
                      <w:trHeight w:val="322" w:hRule="exact"/>
                    </w:trPr>
                    <w:tc>
                      <w:tcPr>
                        <w:tcW w:w="2566" w:type="dxa"/>
                        <w:tcBorders>
                          <w:top w:val="single" w:sz="4" w:space="0" w:color="000000"/>
                          <w:left w:val="single" w:sz="4" w:space="0" w:color="000000"/>
                          <w:bottom w:val="single" w:sz="4" w:space="0" w:color="000000"/>
                          <w:right w:val="single" w:sz="13" w:space="0" w:color="D2D2D2"/>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国遥</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44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973" w:type="dxa"/>
                        <w:tcBorders>
                          <w:top w:val="single" w:sz="4" w:space="0" w:color="000000"/>
                          <w:left w:val="single" w:sz="10" w:space="0" w:color="D2D2D2"/>
                          <w:bottom w:val="single" w:sz="4" w:space="0" w:color="000000"/>
                          <w:right w:val="single" w:sz="4" w:space="0" w:color="000000"/>
                        </w:tcBorders>
                      </w:tcPr>
                      <w:p>
                        <w:pPr>
                          <w:pStyle w:val="TableParagraph"/>
                          <w:spacing w:line="262" w:lineRule="exact"/>
                          <w:ind w:left="27" w:right="0"/>
                          <w:jc w:val="left"/>
                          <w:rPr>
                            <w:rFonts w:ascii="宋体" w:hAnsi="宋体" w:cs="宋体" w:eastAsia="宋体" w:hint="default"/>
                            <w:sz w:val="21"/>
                            <w:szCs w:val="21"/>
                          </w:rPr>
                        </w:pPr>
                        <w:r>
                          <w:rPr>
                            <w:rFonts w:ascii="宋体" w:hAnsi="宋体" w:cs="宋体" w:eastAsia="宋体" w:hint="default"/>
                            <w:sz w:val="21"/>
                            <w:szCs w:val="21"/>
                          </w:rPr>
                          <w:t>北京国遥新天地信息技术有限公司，公司参股公司</w:t>
                        </w:r>
                      </w:p>
                    </w:tc>
                  </w:tr>
                  <w:tr>
                    <w:trPr>
                      <w:trHeight w:val="161" w:hRule="exact"/>
                    </w:trPr>
                    <w:tc>
                      <w:tcPr>
                        <w:tcW w:w="2566" w:type="dxa"/>
                        <w:vMerge w:val="restart"/>
                        <w:tcBorders>
                          <w:top w:val="single" w:sz="4" w:space="0" w:color="000000"/>
                          <w:left w:val="single" w:sz="4" w:space="0" w:color="000000"/>
                          <w:right w:val="single" w:sz="10" w:space="0" w:color="D2D2D2"/>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地理所</w:t>
                        </w:r>
                      </w:p>
                    </w:tc>
                    <w:tc>
                      <w:tcPr>
                        <w:tcW w:w="111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73" w:type="dxa"/>
                        <w:vMerge w:val="restart"/>
                        <w:tcBorders>
                          <w:top w:val="single" w:sz="4" w:space="0" w:color="000000"/>
                          <w:left w:val="single" w:sz="10" w:space="0" w:color="D2D2D2"/>
                          <w:right w:val="single" w:sz="4" w:space="0" w:color="000000"/>
                        </w:tcBorders>
                      </w:tcPr>
                      <w:p>
                        <w:pPr>
                          <w:pStyle w:val="TableParagraph"/>
                          <w:spacing w:line="273" w:lineRule="auto"/>
                          <w:ind w:left="27" w:right="91"/>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中国科学院地理科学与资源研究所，公司股东，持股</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比例为</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5.4%</w:t>
                        </w:r>
                      </w:p>
                    </w:tc>
                  </w:tr>
                  <w:tr>
                    <w:trPr>
                      <w:trHeight w:val="312" w:hRule="exact"/>
                    </w:trPr>
                    <w:tc>
                      <w:tcPr>
                        <w:tcW w:w="2566" w:type="dxa"/>
                        <w:vMerge/>
                        <w:tcBorders>
                          <w:left w:val="single" w:sz="4" w:space="0" w:color="000000"/>
                          <w:right w:val="single" w:sz="10" w:space="0" w:color="D2D2D2"/>
                        </w:tcBorders>
                      </w:tcPr>
                      <w:p>
                        <w:pPr/>
                      </w:p>
                    </w:tc>
                    <w:tc>
                      <w:tcPr>
                        <w:tcW w:w="11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44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973" w:type="dxa"/>
                        <w:vMerge/>
                        <w:tcBorders>
                          <w:left w:val="single" w:sz="10" w:space="0" w:color="D2D2D2"/>
                          <w:right w:val="single" w:sz="4" w:space="0" w:color="000000"/>
                        </w:tcBorders>
                      </w:tcPr>
                      <w:p>
                        <w:pPr/>
                      </w:p>
                    </w:tc>
                  </w:tr>
                  <w:tr>
                    <w:trPr>
                      <w:trHeight w:val="161" w:hRule="exact"/>
                    </w:trPr>
                    <w:tc>
                      <w:tcPr>
                        <w:tcW w:w="2566" w:type="dxa"/>
                        <w:vMerge/>
                        <w:tcBorders>
                          <w:left w:val="single" w:sz="4" w:space="0" w:color="000000"/>
                          <w:bottom w:val="single" w:sz="4" w:space="0" w:color="000000"/>
                          <w:right w:val="single" w:sz="10" w:space="0" w:color="D2D2D2"/>
                        </w:tcBorders>
                      </w:tcPr>
                      <w:p>
                        <w:pPr/>
                      </w:p>
                    </w:tc>
                    <w:tc>
                      <w:tcPr>
                        <w:tcW w:w="111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73" w:type="dxa"/>
                        <w:vMerge/>
                        <w:tcBorders>
                          <w:left w:val="single" w:sz="10" w:space="0" w:color="D2D2D2"/>
                          <w:bottom w:val="single" w:sz="4" w:space="0" w:color="000000"/>
                          <w:right w:val="single" w:sz="4" w:space="0" w:color="000000"/>
                        </w:tcBorders>
                      </w:tcPr>
                      <w:p>
                        <w:pPr/>
                      </w:p>
                    </w:tc>
                  </w:tr>
                  <w:tr>
                    <w:trPr>
                      <w:trHeight w:val="324" w:hRule="exact"/>
                    </w:trPr>
                    <w:tc>
                      <w:tcPr>
                        <w:tcW w:w="2566" w:type="dxa"/>
                        <w:tcBorders>
                          <w:top w:val="single" w:sz="4" w:space="0" w:color="000000"/>
                          <w:left w:val="single" w:sz="4" w:space="0" w:color="000000"/>
                          <w:bottom w:val="single" w:sz="4" w:space="0" w:color="000000"/>
                          <w:right w:val="single" w:sz="13" w:space="0" w:color="D2D2D2"/>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浙江中科</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44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973" w:type="dxa"/>
                        <w:tcBorders>
                          <w:top w:val="single" w:sz="4" w:space="0" w:color="000000"/>
                          <w:left w:val="single" w:sz="10" w:space="0" w:color="D2D2D2"/>
                          <w:bottom w:val="single" w:sz="4" w:space="0" w:color="000000"/>
                          <w:right w:val="single" w:sz="4" w:space="0" w:color="000000"/>
                        </w:tcBorders>
                      </w:tcPr>
                      <w:p>
                        <w:pPr>
                          <w:pStyle w:val="TableParagraph"/>
                          <w:spacing w:line="265" w:lineRule="exact"/>
                          <w:ind w:left="27" w:right="0"/>
                          <w:jc w:val="left"/>
                          <w:rPr>
                            <w:rFonts w:ascii="宋体" w:hAnsi="宋体" w:cs="宋体" w:eastAsia="宋体" w:hint="default"/>
                            <w:sz w:val="21"/>
                            <w:szCs w:val="21"/>
                          </w:rPr>
                        </w:pPr>
                        <w:r>
                          <w:rPr>
                            <w:rFonts w:ascii="宋体" w:hAnsi="宋体" w:cs="宋体" w:eastAsia="宋体" w:hint="default"/>
                            <w:sz w:val="21"/>
                            <w:szCs w:val="21"/>
                          </w:rPr>
                          <w:t>浙江中科数城软件股份有限公司，公司参股公司</w:t>
                        </w:r>
                      </w:p>
                    </w:tc>
                  </w:tr>
                  <w:tr>
                    <w:trPr>
                      <w:trHeight w:val="322" w:hRule="exact"/>
                    </w:trPr>
                    <w:tc>
                      <w:tcPr>
                        <w:tcW w:w="2566" w:type="dxa"/>
                        <w:tcBorders>
                          <w:top w:val="single" w:sz="4" w:space="0" w:color="000000"/>
                          <w:left w:val="single" w:sz="4" w:space="0" w:color="000000"/>
                          <w:bottom w:val="single" w:sz="4" w:space="0" w:color="000000"/>
                          <w:right w:val="single" w:sz="13" w:space="0" w:color="D2D2D2"/>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44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973" w:type="dxa"/>
                        <w:tcBorders>
                          <w:top w:val="single" w:sz="4" w:space="0" w:color="000000"/>
                          <w:left w:val="single" w:sz="10" w:space="0" w:color="D2D2D2"/>
                          <w:bottom w:val="single" w:sz="4" w:space="0" w:color="000000"/>
                          <w:right w:val="single" w:sz="4" w:space="0" w:color="000000"/>
                        </w:tcBorders>
                      </w:tcPr>
                      <w:p>
                        <w:pPr>
                          <w:pStyle w:val="TableParagraph"/>
                          <w:spacing w:line="262" w:lineRule="exact"/>
                          <w:ind w:left="27"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22" w:hRule="exact"/>
                    </w:trPr>
                    <w:tc>
                      <w:tcPr>
                        <w:tcW w:w="2566" w:type="dxa"/>
                        <w:tcBorders>
                          <w:top w:val="single" w:sz="4" w:space="0" w:color="000000"/>
                          <w:left w:val="single" w:sz="4" w:space="0" w:color="000000"/>
                          <w:bottom w:val="single" w:sz="4" w:space="0" w:color="000000"/>
                          <w:right w:val="single" w:sz="13" w:space="0" w:color="D2D2D2"/>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北京证监局</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44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973" w:type="dxa"/>
                        <w:tcBorders>
                          <w:top w:val="single" w:sz="4" w:space="0" w:color="000000"/>
                          <w:left w:val="single" w:sz="10" w:space="0" w:color="D2D2D2"/>
                          <w:bottom w:val="single" w:sz="4" w:space="0" w:color="000000"/>
                          <w:right w:val="single" w:sz="4" w:space="0" w:color="000000"/>
                        </w:tcBorders>
                      </w:tcPr>
                      <w:p>
                        <w:pPr>
                          <w:pStyle w:val="TableParagraph"/>
                          <w:spacing w:line="262" w:lineRule="exact"/>
                          <w:ind w:left="27" w:right="0"/>
                          <w:jc w:val="left"/>
                          <w:rPr>
                            <w:rFonts w:ascii="宋体" w:hAnsi="宋体" w:cs="宋体" w:eastAsia="宋体" w:hint="default"/>
                            <w:sz w:val="21"/>
                            <w:szCs w:val="21"/>
                          </w:rPr>
                        </w:pPr>
                        <w:r>
                          <w:rPr>
                            <w:rFonts w:ascii="宋体" w:hAnsi="宋体" w:cs="宋体" w:eastAsia="宋体" w:hint="default"/>
                            <w:sz w:val="21"/>
                            <w:szCs w:val="21"/>
                          </w:rPr>
                          <w:t>中国证券监督管理委员会北京监管局</w:t>
                        </w:r>
                      </w:p>
                    </w:tc>
                  </w:tr>
                  <w:tr>
                    <w:trPr>
                      <w:trHeight w:val="322" w:hRule="exact"/>
                    </w:trPr>
                    <w:tc>
                      <w:tcPr>
                        <w:tcW w:w="2566" w:type="dxa"/>
                        <w:tcBorders>
                          <w:top w:val="single" w:sz="4" w:space="0" w:color="000000"/>
                          <w:left w:val="single" w:sz="4" w:space="0" w:color="000000"/>
                          <w:bottom w:val="single" w:sz="4" w:space="0" w:color="000000"/>
                          <w:right w:val="single" w:sz="13" w:space="0" w:color="D2D2D2"/>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44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973" w:type="dxa"/>
                        <w:tcBorders>
                          <w:top w:val="single" w:sz="4" w:space="0" w:color="000000"/>
                          <w:left w:val="single" w:sz="10" w:space="0" w:color="D2D2D2"/>
                          <w:bottom w:val="single" w:sz="4" w:space="0" w:color="000000"/>
                          <w:right w:val="single" w:sz="4" w:space="0" w:color="000000"/>
                        </w:tcBorders>
                      </w:tcPr>
                      <w:p>
                        <w:pPr>
                          <w:pStyle w:val="TableParagraph"/>
                          <w:spacing w:line="262" w:lineRule="exact"/>
                          <w:ind w:left="27"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161" w:hRule="exact"/>
                    </w:trPr>
                    <w:tc>
                      <w:tcPr>
                        <w:tcW w:w="2566" w:type="dxa"/>
                        <w:vMerge w:val="restart"/>
                        <w:tcBorders>
                          <w:top w:val="single" w:sz="4" w:space="0" w:color="000000"/>
                          <w:left w:val="single" w:sz="4" w:space="0" w:color="000000"/>
                          <w:right w:val="single" w:sz="10" w:space="0" w:color="D2D2D2"/>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致同</w:t>
                        </w:r>
                      </w:p>
                    </w:tc>
                    <w:tc>
                      <w:tcPr>
                        <w:tcW w:w="1110" w:type="dxa"/>
                        <w:tcBorders>
                          <w:top w:val="single" w:sz="4" w:space="0" w:color="000000"/>
                          <w:left w:val="single" w:sz="4" w:space="0" w:color="000000"/>
                          <w:bottom w:val="nil" w:sz="6" w:space="0" w:color="auto"/>
                          <w:right w:val="single" w:sz="4" w:space="0" w:color="000000"/>
                        </w:tcBorders>
                        <w:shd w:val="clear" w:color="auto" w:fill="D2D2D2"/>
                      </w:tcPr>
                      <w:p>
                        <w:pPr/>
                      </w:p>
                    </w:tc>
                    <w:tc>
                      <w:tcPr>
                        <w:tcW w:w="4973" w:type="dxa"/>
                        <w:vMerge w:val="restart"/>
                        <w:tcBorders>
                          <w:top w:val="single" w:sz="4" w:space="0" w:color="000000"/>
                          <w:left w:val="single" w:sz="10" w:space="0" w:color="D2D2D2"/>
                          <w:right w:val="single" w:sz="4" w:space="0" w:color="000000"/>
                        </w:tcBorders>
                      </w:tcPr>
                      <w:p>
                        <w:pPr>
                          <w:pStyle w:val="TableParagraph"/>
                          <w:spacing w:line="273" w:lineRule="auto"/>
                          <w:ind w:left="27" w:right="19"/>
                          <w:jc w:val="left"/>
                          <w:rPr>
                            <w:rFonts w:ascii="宋体" w:hAnsi="宋体" w:cs="宋体" w:eastAsia="宋体" w:hint="default"/>
                            <w:sz w:val="21"/>
                            <w:szCs w:val="21"/>
                          </w:rPr>
                        </w:pPr>
                        <w:r>
                          <w:rPr>
                            <w:rFonts w:ascii="宋体" w:hAnsi="宋体" w:cs="宋体" w:eastAsia="宋体" w:hint="default"/>
                            <w:spacing w:val="-8"/>
                            <w:w w:val="100"/>
                            <w:sz w:val="21"/>
                            <w:szCs w:val="21"/>
                          </w:rPr>
                          <w:t>致同会计师事务所（特殊普通合伙）。该所为我公司聘</w:t>
                        </w:r>
                        <w:r>
                          <w:rPr>
                            <w:rFonts w:ascii="宋体" w:hAnsi="宋体" w:cs="宋体" w:eastAsia="宋体" w:hint="default"/>
                            <w:spacing w:val="-84"/>
                            <w:w w:val="100"/>
                            <w:sz w:val="21"/>
                            <w:szCs w:val="21"/>
                          </w:rPr>
                          <w:t> </w:t>
                        </w:r>
                        <w:r>
                          <w:rPr>
                            <w:rFonts w:ascii="宋体" w:hAnsi="宋体" w:cs="宋体" w:eastAsia="宋体" w:hint="default"/>
                            <w:spacing w:val="-84"/>
                            <w:w w:val="100"/>
                            <w:sz w:val="21"/>
                            <w:szCs w:val="21"/>
                          </w:rPr>
                        </w:r>
                        <w:r>
                          <w:rPr>
                            <w:rFonts w:ascii="宋体" w:hAnsi="宋体" w:cs="宋体" w:eastAsia="宋体" w:hint="default"/>
                            <w:sz w:val="21"/>
                            <w:szCs w:val="21"/>
                          </w:rPr>
                          <w:t>任原京都天华会计师事务所有限公司更名后名称。</w:t>
                        </w:r>
                      </w:p>
                    </w:tc>
                  </w:tr>
                  <w:tr>
                    <w:trPr>
                      <w:trHeight w:val="312" w:hRule="exact"/>
                    </w:trPr>
                    <w:tc>
                      <w:tcPr>
                        <w:tcW w:w="2566" w:type="dxa"/>
                        <w:vMerge/>
                        <w:tcBorders>
                          <w:left w:val="single" w:sz="4" w:space="0" w:color="000000"/>
                          <w:right w:val="single" w:sz="10" w:space="0" w:color="D2D2D2"/>
                        </w:tcBorders>
                      </w:tcPr>
                      <w:p>
                        <w:pPr/>
                      </w:p>
                    </w:tc>
                    <w:tc>
                      <w:tcPr>
                        <w:tcW w:w="11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44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973" w:type="dxa"/>
                        <w:vMerge/>
                        <w:tcBorders>
                          <w:left w:val="single" w:sz="10" w:space="0" w:color="D2D2D2"/>
                          <w:right w:val="single" w:sz="4" w:space="0" w:color="000000"/>
                        </w:tcBorders>
                      </w:tcPr>
                      <w:p>
                        <w:pPr/>
                      </w:p>
                    </w:tc>
                  </w:tr>
                  <w:tr>
                    <w:trPr>
                      <w:trHeight w:val="161" w:hRule="exact"/>
                    </w:trPr>
                    <w:tc>
                      <w:tcPr>
                        <w:tcW w:w="2566" w:type="dxa"/>
                        <w:vMerge/>
                        <w:tcBorders>
                          <w:left w:val="single" w:sz="4" w:space="0" w:color="000000"/>
                          <w:bottom w:val="single" w:sz="4" w:space="0" w:color="000000"/>
                          <w:right w:val="single" w:sz="10" w:space="0" w:color="D2D2D2"/>
                        </w:tcBorders>
                      </w:tcPr>
                      <w:p>
                        <w:pPr/>
                      </w:p>
                    </w:tc>
                    <w:tc>
                      <w:tcPr>
                        <w:tcW w:w="1110" w:type="dxa"/>
                        <w:tcBorders>
                          <w:top w:val="nil" w:sz="6" w:space="0" w:color="auto"/>
                          <w:left w:val="single" w:sz="4" w:space="0" w:color="000000"/>
                          <w:bottom w:val="single" w:sz="4" w:space="0" w:color="000000"/>
                          <w:right w:val="single" w:sz="4" w:space="0" w:color="000000"/>
                        </w:tcBorders>
                        <w:shd w:val="clear" w:color="auto" w:fill="D2D2D2"/>
                      </w:tcPr>
                      <w:p>
                        <w:pPr/>
                      </w:p>
                    </w:tc>
                    <w:tc>
                      <w:tcPr>
                        <w:tcW w:w="4973" w:type="dxa"/>
                        <w:vMerge/>
                        <w:tcBorders>
                          <w:left w:val="single" w:sz="10" w:space="0" w:color="D2D2D2"/>
                          <w:bottom w:val="single" w:sz="4" w:space="0" w:color="000000"/>
                          <w:right w:val="single" w:sz="4" w:space="0" w:color="000000"/>
                        </w:tcBorders>
                      </w:tcPr>
                      <w:p>
                        <w:pPr/>
                      </w:p>
                    </w:tc>
                  </w:tr>
                  <w:tr>
                    <w:trPr>
                      <w:trHeight w:val="322" w:hRule="exact"/>
                    </w:trPr>
                    <w:tc>
                      <w:tcPr>
                        <w:tcW w:w="2566" w:type="dxa"/>
                        <w:tcBorders>
                          <w:top w:val="single" w:sz="4" w:space="0" w:color="000000"/>
                          <w:left w:val="single" w:sz="4" w:space="0" w:color="000000"/>
                          <w:bottom w:val="single" w:sz="4" w:space="0" w:color="000000"/>
                          <w:right w:val="single" w:sz="13" w:space="0" w:color="D2D2D2"/>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元</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44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973" w:type="dxa"/>
                        <w:tcBorders>
                          <w:top w:val="single" w:sz="4" w:space="0" w:color="000000"/>
                          <w:left w:val="single" w:sz="10" w:space="0" w:color="D2D2D2"/>
                          <w:bottom w:val="single" w:sz="4" w:space="0" w:color="000000"/>
                          <w:right w:val="single" w:sz="4" w:space="0" w:color="000000"/>
                        </w:tcBorders>
                      </w:tcPr>
                      <w:p>
                        <w:pPr>
                          <w:pStyle w:val="TableParagraph"/>
                          <w:spacing w:line="263" w:lineRule="exact"/>
                          <w:ind w:left="27"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324" w:hRule="exact"/>
                    </w:trPr>
                    <w:tc>
                      <w:tcPr>
                        <w:tcW w:w="2566" w:type="dxa"/>
                        <w:tcBorders>
                          <w:top w:val="single" w:sz="4" w:space="0" w:color="000000"/>
                          <w:left w:val="single" w:sz="4" w:space="0" w:color="000000"/>
                          <w:bottom w:val="single" w:sz="4" w:space="0" w:color="000000"/>
                          <w:right w:val="single" w:sz="13" w:space="0" w:color="D2D2D2"/>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443"/>
                          <w:jc w:val="right"/>
                          <w:rPr>
                            <w:rFonts w:ascii="宋体" w:hAnsi="宋体" w:cs="宋体" w:eastAsia="宋体" w:hint="default"/>
                            <w:sz w:val="21"/>
                            <w:szCs w:val="21"/>
                          </w:rPr>
                        </w:pPr>
                        <w:r>
                          <w:rPr>
                            <w:rFonts w:ascii="宋体" w:hAnsi="宋体" w:cs="宋体" w:eastAsia="宋体" w:hint="default"/>
                            <w:w w:val="100"/>
                            <w:sz w:val="21"/>
                            <w:szCs w:val="21"/>
                          </w:rPr>
                          <w:t>指</w:t>
                        </w:r>
                      </w:p>
                    </w:tc>
                    <w:tc>
                      <w:tcPr>
                        <w:tcW w:w="4973" w:type="dxa"/>
                        <w:tcBorders>
                          <w:top w:val="single" w:sz="4" w:space="0" w:color="000000"/>
                          <w:left w:val="single" w:sz="10" w:space="0" w:color="D2D2D2"/>
                          <w:bottom w:val="single" w:sz="4" w:space="0" w:color="000000"/>
                          <w:right w:val="single" w:sz="4" w:space="0" w:color="000000"/>
                        </w:tcBorders>
                      </w:tcPr>
                      <w:p>
                        <w:pPr>
                          <w:pStyle w:val="TableParagraph"/>
                          <w:spacing w:line="281" w:lineRule="exact"/>
                          <w:ind w:left="2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p>
              </w:txbxContent>
            </v:textbox>
            <w10:wrap type="none"/>
          </v:shape>
        </w:pict>
      </w: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pgSz w:w="11910" w:h="16840"/>
          <w:pgMar w:header="884" w:footer="1007" w:top="1140" w:bottom="1200" w:left="980" w:right="9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Heading1"/>
        <w:spacing w:line="460" w:lineRule="exact"/>
        <w:ind w:left="2870" w:right="0"/>
        <w:jc w:val="left"/>
        <w:rPr>
          <w:b w:val="0"/>
          <w:bCs w:val="0"/>
        </w:rPr>
      </w:pPr>
      <w:bookmarkStart w:name="_bookmark1" w:id="2"/>
      <w:bookmarkEnd w:id="2"/>
      <w:r>
        <w:rPr>
          <w:b w:val="0"/>
          <w:bCs w:val="0"/>
        </w:rPr>
      </w:r>
      <w:r>
        <w:rPr>
          <w:spacing w:val="3"/>
        </w:rPr>
        <w:t>第二节</w:t>
      </w:r>
      <w:r>
        <w:rPr>
          <w:spacing w:val="-6"/>
        </w:rPr>
        <w:t> </w:t>
      </w:r>
      <w:r>
        <w:rPr>
          <w:spacing w:val="4"/>
        </w:rPr>
        <w:t>公司基本情况简介</w:t>
      </w:r>
      <w:r>
        <w:rPr>
          <w:b w:val="0"/>
          <w:bCs w:val="0"/>
          <w:spacing w:val="4"/>
        </w:rPr>
      </w:r>
    </w:p>
    <w:p>
      <w:pPr>
        <w:spacing w:line="240" w:lineRule="auto" w:before="0"/>
        <w:rPr>
          <w:rFonts w:ascii="宋体" w:hAnsi="宋体" w:cs="宋体" w:eastAsia="宋体" w:hint="default"/>
          <w:b/>
          <w:bCs/>
          <w:sz w:val="20"/>
          <w:szCs w:val="20"/>
        </w:rPr>
      </w:pPr>
    </w:p>
    <w:p>
      <w:pPr>
        <w:pStyle w:val="Heading4"/>
        <w:spacing w:line="240" w:lineRule="auto" w:before="161"/>
        <w:ind w:left="152" w:right="0"/>
        <w:jc w:val="left"/>
        <w:rPr>
          <w:b w:val="0"/>
          <w:bCs w:val="0"/>
        </w:rPr>
      </w:pPr>
      <w:bookmarkStart w:name="_bookmark2" w:id="3"/>
      <w:bookmarkEnd w:id="3"/>
      <w:r>
        <w:rPr>
          <w:b w:val="0"/>
          <w:bCs w:val="0"/>
        </w:rPr>
      </w: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93" w:type="dxa"/>
        <w:tblLayout w:type="fixed"/>
        <w:tblCellMar>
          <w:top w:w="0" w:type="dxa"/>
          <w:left w:w="0" w:type="dxa"/>
          <w:bottom w:w="0" w:type="dxa"/>
          <w:right w:w="0" w:type="dxa"/>
        </w:tblCellMar>
        <w:tblLook w:val="01E0"/>
      </w:tblPr>
      <w:tblGrid>
        <w:gridCol w:w="2909"/>
        <w:gridCol w:w="2328"/>
        <w:gridCol w:w="2134"/>
        <w:gridCol w:w="2188"/>
      </w:tblGrid>
      <w:tr>
        <w:trPr>
          <w:trHeight w:val="322"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328" w:type="dxa"/>
            <w:tcBorders>
              <w:top w:val="single" w:sz="4" w:space="0" w:color="000000"/>
              <w:left w:val="single" w:sz="9" w:space="0" w:color="D2D2D2"/>
              <w:bottom w:val="single" w:sz="4" w:space="0" w:color="000000"/>
              <w:right w:val="single" w:sz="14" w:space="0" w:color="D2D2D2"/>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超图软件</w:t>
            </w: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3"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7" w:right="0"/>
              <w:jc w:val="left"/>
              <w:rPr>
                <w:rFonts w:ascii="Times New Roman" w:hAnsi="Times New Roman" w:cs="Times New Roman" w:eastAsia="Times New Roman" w:hint="default"/>
                <w:sz w:val="21"/>
                <w:szCs w:val="21"/>
              </w:rPr>
            </w:pPr>
            <w:r>
              <w:rPr>
                <w:rFonts w:ascii="Times New Roman"/>
                <w:sz w:val="21"/>
              </w:rPr>
              <w:t>300036</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4"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超图软件</w:t>
            </w:r>
          </w:p>
        </w:tc>
      </w:tr>
      <w:tr>
        <w:trPr>
          <w:trHeight w:val="325"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6"/>
              <w:ind w:left="28" w:right="0"/>
              <w:jc w:val="left"/>
              <w:rPr>
                <w:rFonts w:ascii="Times New Roman" w:hAnsi="Times New Roman" w:cs="Times New Roman" w:eastAsia="Times New Roman" w:hint="default"/>
                <w:sz w:val="21"/>
                <w:szCs w:val="21"/>
              </w:rPr>
            </w:pPr>
            <w:r>
              <w:rPr>
                <w:rFonts w:ascii="Times New Roman"/>
                <w:sz w:val="21"/>
              </w:rPr>
              <w:t>Beijing SuperMap Software Co.,</w:t>
            </w:r>
            <w:r>
              <w:rPr>
                <w:rFonts w:ascii="Times New Roman"/>
                <w:spacing w:val="-10"/>
                <w:sz w:val="21"/>
              </w:rPr>
              <w:t> </w:t>
            </w:r>
            <w:r>
              <w:rPr>
                <w:rFonts w:ascii="Times New Roman"/>
                <w:sz w:val="21"/>
              </w:rPr>
              <w:t>Ltd.</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left="28" w:right="0"/>
              <w:jc w:val="left"/>
              <w:rPr>
                <w:rFonts w:ascii="Times New Roman" w:hAnsi="Times New Roman" w:cs="Times New Roman" w:eastAsia="Times New Roman" w:hint="default"/>
                <w:sz w:val="21"/>
                <w:szCs w:val="21"/>
              </w:rPr>
            </w:pPr>
            <w:r>
              <w:rPr>
                <w:rFonts w:ascii="Times New Roman"/>
                <w:sz w:val="21"/>
              </w:rPr>
              <w:t>SuperMap</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钟耳顺</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78" w:lineRule="exact"/>
              <w:ind w:left="28"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号电子城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IT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E</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left="28" w:right="0"/>
              <w:jc w:val="left"/>
              <w:rPr>
                <w:rFonts w:ascii="Times New Roman" w:hAnsi="Times New Roman" w:cs="Times New Roman" w:eastAsia="Times New Roman" w:hint="default"/>
                <w:sz w:val="21"/>
                <w:szCs w:val="21"/>
              </w:rPr>
            </w:pPr>
            <w:r>
              <w:rPr>
                <w:rFonts w:ascii="Times New Roman"/>
                <w:sz w:val="21"/>
              </w:rPr>
              <w:t>100015</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78" w:lineRule="exact"/>
              <w:ind w:left="28"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号电子城</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IT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E</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324"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6"/>
              <w:ind w:left="28" w:right="0"/>
              <w:jc w:val="left"/>
              <w:rPr>
                <w:rFonts w:ascii="Times New Roman" w:hAnsi="Times New Roman" w:cs="Times New Roman" w:eastAsia="Times New Roman" w:hint="default"/>
                <w:sz w:val="21"/>
                <w:szCs w:val="21"/>
              </w:rPr>
            </w:pPr>
            <w:r>
              <w:rPr>
                <w:rFonts w:ascii="Times New Roman"/>
                <w:sz w:val="21"/>
              </w:rPr>
              <w:t>100015</w:t>
            </w:r>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78" w:lineRule="exact"/>
              <w:ind w:left="28" w:right="0"/>
              <w:jc w:val="left"/>
              <w:rPr>
                <w:rFonts w:ascii="Times New Roman" w:hAnsi="Times New Roman" w:cs="Times New Roman" w:eastAsia="Times New Roman" w:hint="default"/>
                <w:sz w:val="21"/>
                <w:szCs w:val="21"/>
              </w:rPr>
            </w:pPr>
            <w:hyperlink r:id="rId9">
              <w:r>
                <w:rPr>
                  <w:rFonts w:ascii="Times New Roman" w:hAnsi="Times New Roman" w:cs="Times New Roman" w:eastAsia="Times New Roman" w:hint="default"/>
                  <w:spacing w:val="-2"/>
                  <w:sz w:val="21"/>
                  <w:szCs w:val="21"/>
                </w:rPr>
                <w:t>http://www.supermap.com.cn</w:t>
              </w:r>
            </w:hyperlink>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6"/>
                <w:sz w:val="21"/>
                <w:szCs w:val="21"/>
              </w:rPr>
              <w:t> </w:t>
            </w:r>
            <w:r>
              <w:rPr>
                <w:rFonts w:ascii="宋体" w:hAnsi="宋体" w:cs="宋体" w:eastAsia="宋体" w:hint="default"/>
                <w:spacing w:val="-2"/>
                <w:sz w:val="21"/>
                <w:szCs w:val="21"/>
              </w:rPr>
              <w:t>或：</w:t>
            </w:r>
            <w:hyperlink r:id="rId10">
              <w:r>
                <w:rPr>
                  <w:rFonts w:ascii="Times New Roman" w:hAnsi="Times New Roman" w:cs="Times New Roman" w:eastAsia="Times New Roman" w:hint="default"/>
                  <w:spacing w:val="-2"/>
                  <w:sz w:val="21"/>
                  <w:szCs w:val="21"/>
                </w:rPr>
                <w:t>http://www.supermap.com</w:t>
              </w:r>
            </w:hyperlink>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left="28" w:right="0"/>
              <w:jc w:val="left"/>
              <w:rPr>
                <w:rFonts w:ascii="Times New Roman" w:hAnsi="Times New Roman" w:cs="Times New Roman" w:eastAsia="Times New Roman" w:hint="default"/>
                <w:sz w:val="21"/>
                <w:szCs w:val="21"/>
              </w:rPr>
            </w:pPr>
            <w:hyperlink r:id="rId11">
              <w:r>
                <w:rPr>
                  <w:rFonts w:ascii="Times New Roman"/>
                  <w:sz w:val="21"/>
                </w:rPr>
                <w:t>public@supermap.com</w:t>
              </w:r>
            </w:hyperlink>
          </w:p>
        </w:tc>
      </w:tr>
      <w:tr>
        <w:trPr>
          <w:trHeight w:val="322"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62" w:lineRule="exact"/>
              <w:ind w:left="28"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634"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151"/>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公司聘请的会计师事务所办公</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44"/>
              <w:ind w:left="2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北京朝阳区建国门外大街</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号赛特广场</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层，邮编：</w:t>
            </w:r>
            <w:r>
              <w:rPr>
                <w:rFonts w:ascii="Times New Roman" w:hAnsi="Times New Roman" w:cs="Times New Roman" w:eastAsia="Times New Roman" w:hint="default"/>
                <w:sz w:val="21"/>
                <w:szCs w:val="21"/>
              </w:rPr>
              <w:t>100004</w:t>
            </w:r>
          </w:p>
        </w:tc>
      </w:tr>
    </w:tbl>
    <w:p>
      <w:pPr>
        <w:spacing w:line="240" w:lineRule="auto" w:before="1"/>
        <w:rPr>
          <w:rFonts w:ascii="宋体" w:hAnsi="宋体" w:cs="宋体" w:eastAsia="宋体" w:hint="default"/>
          <w:b/>
          <w:bCs/>
          <w:sz w:val="18"/>
          <w:szCs w:val="18"/>
        </w:rPr>
      </w:pPr>
    </w:p>
    <w:p>
      <w:pPr>
        <w:pStyle w:val="Heading4"/>
        <w:spacing w:line="240" w:lineRule="auto" w:before="26"/>
        <w:ind w:left="152" w:right="0"/>
        <w:jc w:val="left"/>
        <w:rPr>
          <w:b w:val="0"/>
          <w:bCs w:val="0"/>
        </w:rPr>
      </w:pPr>
      <w:bookmarkStart w:name="_bookmark3" w:id="4"/>
      <w:bookmarkEnd w:id="4"/>
      <w:r>
        <w:rPr>
          <w:b w:val="0"/>
          <w:bCs w:val="0"/>
        </w:rPr>
      </w: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93" w:type="dxa"/>
        <w:tblLayout w:type="fixed"/>
        <w:tblCellMar>
          <w:top w:w="0" w:type="dxa"/>
          <w:left w:w="0" w:type="dxa"/>
          <w:bottom w:w="0" w:type="dxa"/>
          <w:right w:w="0" w:type="dxa"/>
        </w:tblCellMar>
        <w:tblLook w:val="01E0"/>
      </w:tblPr>
      <w:tblGrid>
        <w:gridCol w:w="1548"/>
        <w:gridCol w:w="3971"/>
        <w:gridCol w:w="4040"/>
      </w:tblGrid>
      <w:tr>
        <w:trPr>
          <w:trHeight w:val="322"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董事会秘书</w:t>
            </w:r>
            <w:r>
              <w:rPr>
                <w:rFonts w:ascii="宋体" w:hAnsi="宋体" w:cs="宋体" w:eastAsia="宋体" w:hint="default"/>
                <w:sz w:val="21"/>
                <w:szCs w:val="21"/>
              </w:rPr>
            </w:r>
          </w:p>
        </w:tc>
        <w:tc>
          <w:tcPr>
            <w:tcW w:w="4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证券事务代表</w:t>
            </w:r>
            <w:r>
              <w:rPr>
                <w:rFonts w:ascii="宋体" w:hAnsi="宋体" w:cs="宋体" w:eastAsia="宋体" w:hint="default"/>
                <w:sz w:val="21"/>
                <w:szCs w:val="21"/>
              </w:rPr>
            </w:r>
          </w:p>
        </w:tc>
      </w:tr>
      <w:tr>
        <w:trPr>
          <w:trHeight w:val="322"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971" w:type="dxa"/>
            <w:tcBorders>
              <w:top w:val="single" w:sz="4" w:space="0" w:color="000000"/>
              <w:left w:val="single" w:sz="10" w:space="0" w:color="D2D2D2"/>
              <w:bottom w:val="single" w:sz="4" w:space="0" w:color="000000"/>
              <w:right w:val="single" w:sz="4" w:space="0" w:color="000000"/>
            </w:tcBorders>
          </w:tcPr>
          <w:p>
            <w:pPr>
              <w:pStyle w:val="TableParagraph"/>
              <w:spacing w:line="262" w:lineRule="exact"/>
              <w:ind w:left="16" w:right="0"/>
              <w:jc w:val="left"/>
              <w:rPr>
                <w:rFonts w:ascii="宋体" w:hAnsi="宋体" w:cs="宋体" w:eastAsia="宋体" w:hint="default"/>
                <w:sz w:val="21"/>
                <w:szCs w:val="21"/>
              </w:rPr>
            </w:pPr>
            <w:r>
              <w:rPr>
                <w:rFonts w:ascii="宋体" w:hAnsi="宋体" w:cs="宋体" w:eastAsia="宋体" w:hint="default"/>
                <w:sz w:val="21"/>
                <w:szCs w:val="21"/>
              </w:rPr>
              <w:t>龚娅杰</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谭飞艳</w:t>
            </w:r>
          </w:p>
        </w:tc>
      </w:tr>
      <w:tr>
        <w:trPr>
          <w:trHeight w:val="161" w:hRule="exact"/>
        </w:trPr>
        <w:tc>
          <w:tcPr>
            <w:tcW w:w="154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71" w:type="dxa"/>
            <w:vMerge w:val="restart"/>
            <w:tcBorders>
              <w:top w:val="single" w:sz="4" w:space="0" w:color="000000"/>
              <w:left w:val="single" w:sz="10" w:space="0" w:color="D2D2D2"/>
              <w:right w:val="single" w:sz="4" w:space="0" w:color="000000"/>
            </w:tcBorders>
          </w:tcPr>
          <w:p>
            <w:pPr>
              <w:pStyle w:val="TableParagraph"/>
              <w:spacing w:line="278" w:lineRule="exact"/>
              <w:ind w:left="16" w:right="0"/>
              <w:jc w:val="left"/>
              <w:rPr>
                <w:rFonts w:ascii="宋体" w:hAnsi="宋体" w:cs="宋体" w:eastAsia="宋体" w:hint="default"/>
                <w:sz w:val="21"/>
                <w:szCs w:val="21"/>
              </w:rPr>
            </w:pPr>
            <w:r>
              <w:rPr>
                <w:rFonts w:ascii="宋体" w:hAnsi="宋体" w:cs="宋体" w:eastAsia="宋体" w:hint="default"/>
                <w:sz w:val="21"/>
                <w:szCs w:val="21"/>
              </w:rPr>
              <w:t>北京市朝阳区酒仙桥北路甲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号电子城</w:t>
            </w:r>
          </w:p>
          <w:p>
            <w:pPr>
              <w:pStyle w:val="TableParagraph"/>
              <w:tabs>
                <w:tab w:pos="1738" w:val="left" w:leader="none"/>
              </w:tabs>
              <w:spacing w:line="240" w:lineRule="auto" w:before="21"/>
              <w:ind w:left="1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IT </w:t>
            </w:r>
            <w:r>
              <w:rPr>
                <w:rFonts w:ascii="宋体" w:hAnsi="宋体" w:cs="宋体" w:eastAsia="宋体" w:hint="default"/>
                <w:sz w:val="21"/>
                <w:szCs w:val="21"/>
              </w:rPr>
              <w:t>产业园</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 </w:t>
            </w:r>
            <w:r>
              <w:rPr>
                <w:rFonts w:ascii="宋体" w:hAnsi="宋体" w:cs="宋体" w:eastAsia="宋体" w:hint="default"/>
                <w:sz w:val="21"/>
                <w:szCs w:val="21"/>
              </w:rPr>
              <w:t>号</w:t>
              <w:tab/>
              <w:t>楼</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E</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Times New Roman" w:hAnsi="Times New Roman" w:cs="Times New Roman" w:eastAsia="Times New Roman" w:hint="default"/>
                <w:sz w:val="21"/>
                <w:szCs w:val="21"/>
              </w:rPr>
              <w:t>100015</w:t>
            </w:r>
            <w:r>
              <w:rPr>
                <w:rFonts w:ascii="宋体" w:hAnsi="宋体" w:cs="宋体" w:eastAsia="宋体" w:hint="default"/>
                <w:sz w:val="21"/>
                <w:szCs w:val="21"/>
              </w:rPr>
              <w:t>）</w:t>
            </w:r>
          </w:p>
        </w:tc>
        <w:tc>
          <w:tcPr>
            <w:tcW w:w="4040" w:type="dxa"/>
            <w:vMerge w:val="restart"/>
            <w:tcBorders>
              <w:top w:val="single" w:sz="4" w:space="0" w:color="000000"/>
              <w:left w:val="single" w:sz="4" w:space="0" w:color="000000"/>
              <w:right w:val="single" w:sz="4" w:space="0" w:color="000000"/>
            </w:tcBorders>
          </w:tcPr>
          <w:p>
            <w:pPr>
              <w:pStyle w:val="TableParagraph"/>
              <w:spacing w:line="278"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北京市朝阳区酒仙桥北路甲 </w:t>
            </w:r>
            <w:r>
              <w:rPr>
                <w:rFonts w:ascii="Times New Roman" w:hAnsi="Times New Roman" w:cs="Times New Roman" w:eastAsia="Times New Roman" w:hint="default"/>
                <w:sz w:val="21"/>
                <w:szCs w:val="21"/>
              </w:rPr>
              <w:t>10 </w:t>
            </w:r>
            <w:r>
              <w:rPr>
                <w:rFonts w:ascii="宋体" w:hAnsi="宋体" w:cs="宋体" w:eastAsia="宋体" w:hint="default"/>
                <w:sz w:val="21"/>
                <w:szCs w:val="21"/>
              </w:rPr>
              <w:t>号电子城</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IT</w:t>
            </w:r>
            <w:r>
              <w:rPr>
                <w:rFonts w:ascii="Times New Roman" w:hAnsi="Times New Roman" w:cs="Times New Roman" w:eastAsia="Times New Roman" w:hint="default"/>
                <w:sz w:val="21"/>
                <w:szCs w:val="21"/>
              </w:rPr>
            </w:r>
          </w:p>
          <w:p>
            <w:pPr>
              <w:pStyle w:val="TableParagraph"/>
              <w:tabs>
                <w:tab w:pos="1495" w:val="left" w:leader="none"/>
              </w:tabs>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产业园</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tab/>
              <w:t>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E</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Times New Roman" w:hAnsi="Times New Roman" w:cs="Times New Roman" w:eastAsia="Times New Roman" w:hint="default"/>
                <w:sz w:val="21"/>
                <w:szCs w:val="21"/>
              </w:rPr>
              <w:t>100015</w:t>
            </w:r>
            <w:r>
              <w:rPr>
                <w:rFonts w:ascii="宋体" w:hAnsi="宋体" w:cs="宋体" w:eastAsia="宋体" w:hint="default"/>
                <w:sz w:val="21"/>
                <w:szCs w:val="21"/>
              </w:rPr>
              <w:t>）</w:t>
            </w:r>
          </w:p>
        </w:tc>
      </w:tr>
      <w:tr>
        <w:trPr>
          <w:trHeight w:val="312" w:hRule="exact"/>
        </w:trPr>
        <w:tc>
          <w:tcPr>
            <w:tcW w:w="15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971" w:type="dxa"/>
            <w:vMerge/>
            <w:tcBorders>
              <w:left w:val="single" w:sz="10" w:space="0" w:color="D2D2D2"/>
              <w:right w:val="single" w:sz="4" w:space="0" w:color="000000"/>
            </w:tcBorders>
          </w:tcPr>
          <w:p>
            <w:pPr/>
          </w:p>
        </w:tc>
        <w:tc>
          <w:tcPr>
            <w:tcW w:w="4040" w:type="dxa"/>
            <w:vMerge/>
            <w:tcBorders>
              <w:left w:val="single" w:sz="4" w:space="0" w:color="000000"/>
              <w:right w:val="single" w:sz="4" w:space="0" w:color="000000"/>
            </w:tcBorders>
          </w:tcPr>
          <w:p>
            <w:pPr/>
          </w:p>
        </w:tc>
      </w:tr>
      <w:tr>
        <w:trPr>
          <w:trHeight w:val="161" w:hRule="exact"/>
        </w:trPr>
        <w:tc>
          <w:tcPr>
            <w:tcW w:w="1548" w:type="dxa"/>
            <w:tcBorders>
              <w:top w:val="nil" w:sz="6" w:space="0" w:color="auto"/>
              <w:left w:val="single" w:sz="4" w:space="0" w:color="000000"/>
              <w:bottom w:val="single" w:sz="4" w:space="0" w:color="000000"/>
              <w:right w:val="single" w:sz="4" w:space="0" w:color="000000"/>
            </w:tcBorders>
            <w:shd w:val="clear" w:color="auto" w:fill="D2D2D2"/>
          </w:tcPr>
          <w:p>
            <w:pPr/>
          </w:p>
        </w:tc>
        <w:tc>
          <w:tcPr>
            <w:tcW w:w="3971" w:type="dxa"/>
            <w:vMerge/>
            <w:tcBorders>
              <w:left w:val="single" w:sz="10" w:space="0" w:color="D2D2D2"/>
              <w:bottom w:val="single" w:sz="4" w:space="0" w:color="000000"/>
              <w:right w:val="single" w:sz="4" w:space="0" w:color="000000"/>
            </w:tcBorders>
          </w:tcPr>
          <w:p>
            <w:pPr/>
          </w:p>
        </w:tc>
        <w:tc>
          <w:tcPr>
            <w:tcW w:w="4040" w:type="dxa"/>
            <w:vMerge/>
            <w:tcBorders>
              <w:left w:val="single" w:sz="4" w:space="0" w:color="000000"/>
              <w:bottom w:val="single" w:sz="4" w:space="0" w:color="000000"/>
              <w:right w:val="single" w:sz="4" w:space="0" w:color="000000"/>
            </w:tcBorders>
          </w:tcPr>
          <w:p>
            <w:pPr/>
          </w:p>
        </w:tc>
      </w:tr>
      <w:tr>
        <w:trPr>
          <w:trHeight w:val="324"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971" w:type="dxa"/>
            <w:tcBorders>
              <w:top w:val="single" w:sz="4" w:space="0" w:color="000000"/>
              <w:left w:val="single" w:sz="10" w:space="0" w:color="D2D2D2"/>
              <w:bottom w:val="single" w:sz="4" w:space="0" w:color="000000"/>
              <w:right w:val="single" w:sz="4" w:space="0" w:color="000000"/>
            </w:tcBorders>
          </w:tcPr>
          <w:p>
            <w:pPr>
              <w:pStyle w:val="TableParagraph"/>
              <w:spacing w:line="281"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59896000</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59896000</w:t>
            </w:r>
          </w:p>
        </w:tc>
      </w:tr>
      <w:tr>
        <w:trPr>
          <w:trHeight w:val="322"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971" w:type="dxa"/>
            <w:tcBorders>
              <w:top w:val="single" w:sz="4" w:space="0" w:color="000000"/>
              <w:left w:val="single" w:sz="10" w:space="0" w:color="D2D2D2"/>
              <w:bottom w:val="single" w:sz="4" w:space="0" w:color="000000"/>
              <w:right w:val="single" w:sz="4" w:space="0" w:color="000000"/>
            </w:tcBorders>
          </w:tcPr>
          <w:p>
            <w:pPr>
              <w:pStyle w:val="TableParagraph"/>
              <w:spacing w:line="278" w:lineRule="exact"/>
              <w:ind w:left="1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59896666</w:t>
            </w:r>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010</w:t>
            </w:r>
            <w:r>
              <w:rPr>
                <w:rFonts w:ascii="宋体" w:hAnsi="宋体" w:cs="宋体" w:eastAsia="宋体" w:hint="default"/>
                <w:sz w:val="21"/>
                <w:szCs w:val="21"/>
              </w:rPr>
              <w:t>）</w:t>
            </w:r>
            <w:r>
              <w:rPr>
                <w:rFonts w:ascii="Times New Roman" w:hAnsi="Times New Roman" w:cs="Times New Roman" w:eastAsia="Times New Roman" w:hint="default"/>
                <w:sz w:val="21"/>
                <w:szCs w:val="21"/>
              </w:rPr>
              <w:t>59896666</w:t>
            </w:r>
          </w:p>
        </w:tc>
      </w:tr>
      <w:tr>
        <w:trPr>
          <w:trHeight w:val="322"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9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5"/>
              <w:ind w:left="16" w:right="0"/>
              <w:jc w:val="left"/>
              <w:rPr>
                <w:rFonts w:ascii="Times New Roman" w:hAnsi="Times New Roman" w:cs="Times New Roman" w:eastAsia="Times New Roman" w:hint="default"/>
                <w:sz w:val="21"/>
                <w:szCs w:val="21"/>
              </w:rPr>
            </w:pPr>
            <w:hyperlink r:id="rId11">
              <w:r>
                <w:rPr>
                  <w:rFonts w:ascii="Times New Roman"/>
                  <w:sz w:val="21"/>
                </w:rPr>
                <w:t>public@supermap.com</w:t>
              </w:r>
            </w:hyperlink>
          </w:p>
        </w:tc>
        <w:tc>
          <w:tcPr>
            <w:tcW w:w="4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3" w:right="0"/>
              <w:jc w:val="left"/>
              <w:rPr>
                <w:rFonts w:ascii="Times New Roman" w:hAnsi="Times New Roman" w:cs="Times New Roman" w:eastAsia="Times New Roman" w:hint="default"/>
                <w:sz w:val="21"/>
                <w:szCs w:val="21"/>
              </w:rPr>
            </w:pPr>
            <w:hyperlink r:id="rId11">
              <w:r>
                <w:rPr>
                  <w:rFonts w:ascii="Times New Roman"/>
                  <w:sz w:val="21"/>
                </w:rPr>
                <w:t>public@supermap.com</w:t>
              </w:r>
            </w:hyperlink>
          </w:p>
        </w:tc>
      </w:tr>
    </w:tbl>
    <w:p>
      <w:pPr>
        <w:spacing w:line="240" w:lineRule="auto" w:before="1"/>
        <w:rPr>
          <w:rFonts w:ascii="宋体" w:hAnsi="宋体" w:cs="宋体" w:eastAsia="宋体" w:hint="default"/>
          <w:b/>
          <w:bCs/>
          <w:sz w:val="18"/>
          <w:szCs w:val="18"/>
        </w:rPr>
      </w:pPr>
    </w:p>
    <w:p>
      <w:pPr>
        <w:pStyle w:val="Heading4"/>
        <w:spacing w:line="240" w:lineRule="auto" w:before="26"/>
        <w:ind w:left="152" w:right="0"/>
        <w:jc w:val="left"/>
        <w:rPr>
          <w:b w:val="0"/>
          <w:bCs w:val="0"/>
        </w:rPr>
      </w:pPr>
      <w:bookmarkStart w:name="_bookmark4" w:id="5"/>
      <w:bookmarkEnd w:id="5"/>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3860"/>
        <w:gridCol w:w="5708"/>
      </w:tblGrid>
      <w:tr>
        <w:trPr>
          <w:trHeight w:val="322"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《证券时报》</w:t>
            </w:r>
          </w:p>
        </w:tc>
      </w:tr>
      <w:tr>
        <w:trPr>
          <w:trHeight w:val="634"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39"/>
              <w:jc w:val="left"/>
              <w:rPr>
                <w:rFonts w:ascii="宋体" w:hAnsi="宋体" w:cs="宋体" w:eastAsia="宋体" w:hint="default"/>
                <w:sz w:val="21"/>
                <w:szCs w:val="21"/>
              </w:rPr>
            </w:pPr>
            <w:r>
              <w:rPr>
                <w:rFonts w:ascii="宋体" w:hAnsi="宋体" w:cs="宋体" w:eastAsia="宋体" w:hint="default"/>
                <w:spacing w:val="-2"/>
                <w:sz w:val="21"/>
                <w:szCs w:val="21"/>
              </w:rPr>
              <w:t>登载年度报告的中国证监会指定网站的网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29" w:right="0"/>
              <w:jc w:val="left"/>
              <w:rPr>
                <w:rFonts w:ascii="Times New Roman" w:hAnsi="Times New Roman" w:cs="Times New Roman" w:eastAsia="Times New Roman" w:hint="default"/>
                <w:sz w:val="21"/>
                <w:szCs w:val="21"/>
              </w:rPr>
            </w:pPr>
            <w:hyperlink r:id="rId12">
              <w:r>
                <w:rPr>
                  <w:rFonts w:ascii="Times New Roman"/>
                  <w:sz w:val="21"/>
                </w:rPr>
                <w:t>www.cninfo.com.cn</w:t>
              </w:r>
            </w:hyperlink>
          </w:p>
        </w:tc>
      </w:tr>
      <w:tr>
        <w:trPr>
          <w:trHeight w:val="634" w:hRule="exact"/>
        </w:trPr>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4"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北京市朝阳区酒仙桥北路甲</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号电子城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IT </w:t>
            </w:r>
            <w:r>
              <w:rPr>
                <w:rFonts w:ascii="宋体" w:hAnsi="宋体" w:cs="宋体" w:eastAsia="宋体" w:hint="default"/>
                <w:sz w:val="21"/>
                <w:szCs w:val="21"/>
              </w:rPr>
              <w:t>产业园</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号楼</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E</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门</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层北京超图软件股份有限公司证券与法务部</w:t>
            </w:r>
          </w:p>
        </w:tc>
      </w:tr>
    </w:tbl>
    <w:p>
      <w:pPr>
        <w:spacing w:after="0" w:line="240" w:lineRule="auto"/>
        <w:jc w:val="left"/>
        <w:rPr>
          <w:rFonts w:ascii="宋体" w:hAnsi="宋体" w:cs="宋体" w:eastAsia="宋体" w:hint="default"/>
          <w:sz w:val="21"/>
          <w:szCs w:val="21"/>
        </w:rPr>
        <w:sectPr>
          <w:pgSz w:w="11910" w:h="16840"/>
          <w:pgMar w:header="884" w:footer="1007" w:top="1140" w:bottom="1200" w:left="980" w:right="980"/>
        </w:sectPr>
      </w:pPr>
    </w:p>
    <w:p>
      <w:pPr>
        <w:spacing w:line="240" w:lineRule="auto" w:before="8"/>
        <w:rPr>
          <w:rFonts w:ascii="宋体" w:hAnsi="宋体" w:cs="宋体" w:eastAsia="宋体" w:hint="default"/>
          <w:b/>
          <w:bCs/>
          <w:sz w:val="16"/>
          <w:szCs w:val="16"/>
        </w:rPr>
      </w:pPr>
    </w:p>
    <w:p>
      <w:pPr>
        <w:pStyle w:val="Heading4"/>
        <w:spacing w:line="240" w:lineRule="auto" w:before="26"/>
        <w:ind w:left="152" w:right="0"/>
        <w:jc w:val="left"/>
        <w:rPr>
          <w:b w:val="0"/>
          <w:bCs w:val="0"/>
        </w:rPr>
      </w:pPr>
      <w:bookmarkStart w:name="_bookmark5" w:id="6"/>
      <w:bookmarkEnd w:id="6"/>
      <w:r>
        <w:rPr>
          <w:b w:val="0"/>
          <w:bCs w:val="0"/>
        </w:rPr>
      </w:r>
      <w:r>
        <w:rPr/>
        <w:t>四、公司历史沿革</w:t>
      </w:r>
      <w:r>
        <w:rPr>
          <w:b w:val="0"/>
          <w:bCs w:val="0"/>
        </w:rPr>
      </w:r>
    </w:p>
    <w:p>
      <w:pPr>
        <w:spacing w:line="240" w:lineRule="auto" w:before="11"/>
        <w:rPr>
          <w:rFonts w:ascii="宋体" w:hAnsi="宋体" w:cs="宋体" w:eastAsia="宋体" w:hint="default"/>
          <w:b/>
          <w:bCs/>
          <w:sz w:val="25"/>
          <w:szCs w:val="25"/>
        </w:rPr>
      </w:pPr>
    </w:p>
    <w:tbl>
      <w:tblPr>
        <w:tblW w:w="0" w:type="auto"/>
        <w:jc w:val="left"/>
        <w:tblInd w:w="125" w:type="dxa"/>
        <w:tblLayout w:type="fixed"/>
        <w:tblCellMar>
          <w:top w:w="0" w:type="dxa"/>
          <w:left w:w="0" w:type="dxa"/>
          <w:bottom w:w="0" w:type="dxa"/>
          <w:right w:w="0" w:type="dxa"/>
        </w:tblCellMar>
        <w:tblLook w:val="01E0"/>
      </w:tblPr>
      <w:tblGrid>
        <w:gridCol w:w="1547"/>
        <w:gridCol w:w="1880"/>
        <w:gridCol w:w="1488"/>
        <w:gridCol w:w="1738"/>
        <w:gridCol w:w="1700"/>
        <w:gridCol w:w="1344"/>
      </w:tblGrid>
      <w:tr>
        <w:trPr>
          <w:trHeight w:val="161" w:hRule="exact"/>
        </w:trPr>
        <w:tc>
          <w:tcPr>
            <w:tcW w:w="1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441" w:right="123" w:hanging="318"/>
              <w:jc w:val="left"/>
              <w:rPr>
                <w:rFonts w:ascii="宋体" w:hAnsi="宋体" w:cs="宋体" w:eastAsia="宋体" w:hint="default"/>
                <w:sz w:val="21"/>
                <w:szCs w:val="21"/>
              </w:rPr>
            </w:pPr>
            <w:r>
              <w:rPr>
                <w:rFonts w:ascii="宋体" w:hAnsi="宋体" w:cs="宋体" w:eastAsia="宋体" w:hint="default"/>
                <w:b/>
                <w:bCs/>
                <w:sz w:val="21"/>
                <w:szCs w:val="21"/>
              </w:rPr>
              <w:t>企业法人营业执</w:t>
            </w:r>
            <w:r>
              <w:rPr>
                <w:rFonts w:ascii="宋体" w:hAnsi="宋体" w:cs="宋体" w:eastAsia="宋体" w:hint="default"/>
                <w:b/>
                <w:bCs/>
                <w:spacing w:val="-104"/>
                <w:sz w:val="21"/>
                <w:szCs w:val="21"/>
              </w:rPr>
              <w:t> </w:t>
            </w:r>
            <w:r>
              <w:rPr>
                <w:rFonts w:ascii="宋体" w:hAnsi="宋体" w:cs="宋体" w:eastAsia="宋体" w:hint="default"/>
                <w:b/>
                <w:bCs/>
                <w:sz w:val="21"/>
                <w:szCs w:val="21"/>
              </w:rPr>
              <w:t>照注册号</w:t>
            </w:r>
            <w:r>
              <w:rPr>
                <w:rFonts w:ascii="宋体" w:hAnsi="宋体" w:cs="宋体" w:eastAsia="宋体" w:hint="default"/>
                <w:sz w:val="21"/>
                <w:szCs w:val="21"/>
              </w:rPr>
            </w:r>
          </w:p>
        </w:tc>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1547" w:type="dxa"/>
            <w:tcBorders>
              <w:top w:val="nil" w:sz="6" w:space="0" w:color="auto"/>
              <w:left w:val="single" w:sz="4" w:space="0" w:color="000000"/>
              <w:bottom w:val="nil" w:sz="6" w:space="0" w:color="auto"/>
              <w:right w:val="single" w:sz="4" w:space="0" w:color="000000"/>
            </w:tcBorders>
            <w:shd w:val="clear" w:color="auto" w:fill="D2D2D2"/>
          </w:tcPr>
          <w:p>
            <w:pPr/>
          </w:p>
        </w:tc>
        <w:tc>
          <w:tcPr>
            <w:tcW w:w="18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b/>
                <w:bCs/>
                <w:sz w:val="21"/>
                <w:szCs w:val="21"/>
              </w:rPr>
              <w:t>注册登记日期</w:t>
            </w:r>
            <w:r>
              <w:rPr>
                <w:rFonts w:ascii="宋体" w:hAnsi="宋体" w:cs="宋体" w:eastAsia="宋体" w:hint="default"/>
                <w:sz w:val="21"/>
                <w:szCs w:val="21"/>
              </w:rPr>
            </w:r>
          </w:p>
        </w:tc>
        <w:tc>
          <w:tcPr>
            <w:tcW w:w="14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注册登记地点</w:t>
            </w:r>
            <w:r>
              <w:rPr>
                <w:rFonts w:ascii="宋体" w:hAnsi="宋体" w:cs="宋体" w:eastAsia="宋体" w:hint="default"/>
                <w:sz w:val="21"/>
                <w:szCs w:val="21"/>
              </w:rPr>
            </w:r>
          </w:p>
        </w:tc>
        <w:tc>
          <w:tcPr>
            <w:tcW w:w="1738" w:type="dxa"/>
            <w:vMerge/>
            <w:tcBorders>
              <w:left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税务登记号码</w:t>
            </w:r>
            <w:r>
              <w:rPr>
                <w:rFonts w:ascii="宋体" w:hAnsi="宋体" w:cs="宋体" w:eastAsia="宋体" w:hint="default"/>
                <w:sz w:val="21"/>
                <w:szCs w:val="21"/>
              </w:rPr>
            </w:r>
          </w:p>
        </w:tc>
        <w:tc>
          <w:tcPr>
            <w:tcW w:w="13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38" w:right="0"/>
              <w:jc w:val="left"/>
              <w:rPr>
                <w:rFonts w:ascii="宋体" w:hAnsi="宋体" w:cs="宋体" w:eastAsia="宋体" w:hint="default"/>
                <w:sz w:val="21"/>
                <w:szCs w:val="21"/>
              </w:rPr>
            </w:pPr>
            <w:r>
              <w:rPr>
                <w:rFonts w:ascii="宋体" w:hAnsi="宋体" w:cs="宋体" w:eastAsia="宋体" w:hint="default"/>
                <w:b/>
                <w:bCs/>
                <w:sz w:val="21"/>
                <w:szCs w:val="21"/>
              </w:rPr>
              <w:t>组织机构代码</w:t>
            </w:r>
            <w:r>
              <w:rPr>
                <w:rFonts w:ascii="宋体" w:hAnsi="宋体" w:cs="宋体" w:eastAsia="宋体" w:hint="default"/>
                <w:sz w:val="21"/>
                <w:szCs w:val="21"/>
              </w:rPr>
            </w:r>
          </w:p>
        </w:tc>
      </w:tr>
      <w:tr>
        <w:trPr>
          <w:trHeight w:val="161" w:hRule="exact"/>
        </w:trPr>
        <w:tc>
          <w:tcPr>
            <w:tcW w:w="1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8"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0" w:type="dxa"/>
            <w:vMerge w:val="restart"/>
            <w:tcBorders>
              <w:top w:val="single" w:sz="4" w:space="0" w:color="000000"/>
              <w:left w:val="single" w:sz="10" w:space="0" w:color="D2D2D2"/>
              <w:right w:val="single" w:sz="4" w:space="0" w:color="000000"/>
            </w:tcBorders>
          </w:tcPr>
          <w:p>
            <w:pPr>
              <w:pStyle w:val="TableParagraph"/>
              <w:spacing w:line="240" w:lineRule="auto" w:before="143"/>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88" w:type="dxa"/>
            <w:vMerge w:val="restart"/>
            <w:tcBorders>
              <w:top w:val="single" w:sz="4" w:space="0" w:color="000000"/>
              <w:left w:val="single" w:sz="4" w:space="0" w:color="000000"/>
              <w:right w:val="single" w:sz="4" w:space="0" w:color="000000"/>
            </w:tcBorders>
          </w:tcPr>
          <w:p>
            <w:pPr>
              <w:pStyle w:val="TableParagraph"/>
              <w:spacing w:line="273" w:lineRule="auto"/>
              <w:ind w:left="23" w:right="91"/>
              <w:jc w:val="left"/>
              <w:rPr>
                <w:rFonts w:ascii="宋体" w:hAnsi="宋体" w:cs="宋体" w:eastAsia="宋体" w:hint="default"/>
                <w:sz w:val="21"/>
                <w:szCs w:val="21"/>
              </w:rPr>
            </w:pPr>
            <w:r>
              <w:rPr>
                <w:rFonts w:ascii="宋体" w:hAnsi="宋体" w:cs="宋体" w:eastAsia="宋体" w:hint="default"/>
                <w:sz w:val="21"/>
                <w:szCs w:val="21"/>
              </w:rPr>
              <w:t>北京市朝阳区</w:t>
            </w:r>
            <w:r>
              <w:rPr>
                <w:rFonts w:ascii="宋体" w:hAnsi="宋体" w:cs="宋体" w:eastAsia="宋体" w:hint="default"/>
                <w:w w:val="100"/>
                <w:sz w:val="21"/>
                <w:szCs w:val="21"/>
              </w:rPr>
              <w:t> </w:t>
            </w:r>
            <w:r>
              <w:rPr>
                <w:rFonts w:ascii="宋体" w:hAnsi="宋体" w:cs="宋体" w:eastAsia="宋体" w:hint="default"/>
                <w:sz w:val="21"/>
                <w:szCs w:val="21"/>
              </w:rPr>
              <w:t>大屯路甲</w:t>
            </w:r>
            <w:r>
              <w:rPr>
                <w:rFonts w:ascii="宋体" w:hAnsi="宋体" w:cs="宋体" w:eastAsia="宋体" w:hint="default"/>
                <w:spacing w:val="-53"/>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05248363</w:t>
            </w:r>
          </w:p>
        </w:tc>
        <w:tc>
          <w:tcPr>
            <w:tcW w:w="1700" w:type="dxa"/>
            <w:vMerge w:val="restart"/>
            <w:tcBorders>
              <w:top w:val="single" w:sz="4" w:space="0" w:color="000000"/>
              <w:left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left="24" w:right="0"/>
              <w:jc w:val="left"/>
              <w:rPr>
                <w:rFonts w:ascii="Times New Roman" w:hAnsi="Times New Roman" w:cs="Times New Roman" w:eastAsia="Times New Roman" w:hint="default"/>
                <w:sz w:val="21"/>
                <w:szCs w:val="21"/>
              </w:rPr>
            </w:pPr>
            <w:r>
              <w:rPr>
                <w:rFonts w:ascii="Times New Roman"/>
                <w:sz w:val="21"/>
              </w:rPr>
              <w:t>110105633024838</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63302483-8</w:t>
            </w:r>
          </w:p>
        </w:tc>
      </w:tr>
      <w:tr>
        <w:trPr>
          <w:trHeight w:val="312" w:hRule="exact"/>
        </w:trPr>
        <w:tc>
          <w:tcPr>
            <w:tcW w:w="1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13"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880" w:type="dxa"/>
            <w:vMerge/>
            <w:tcBorders>
              <w:left w:val="single" w:sz="10" w:space="0" w:color="D2D2D2"/>
              <w:right w:val="single" w:sz="4" w:space="0" w:color="000000"/>
            </w:tcBorders>
          </w:tcPr>
          <w:p>
            <w:pPr/>
          </w:p>
        </w:tc>
        <w:tc>
          <w:tcPr>
            <w:tcW w:w="1488"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344" w:type="dxa"/>
            <w:vMerge/>
            <w:tcBorders>
              <w:left w:val="single" w:sz="4" w:space="0" w:color="000000"/>
              <w:right w:val="single" w:sz="4" w:space="0" w:color="000000"/>
            </w:tcBorders>
          </w:tcPr>
          <w:p>
            <w:pPr/>
          </w:p>
        </w:tc>
      </w:tr>
      <w:tr>
        <w:trPr>
          <w:trHeight w:val="161" w:hRule="exact"/>
        </w:trPr>
        <w:tc>
          <w:tcPr>
            <w:tcW w:w="1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80" w:type="dxa"/>
            <w:vMerge/>
            <w:tcBorders>
              <w:left w:val="single" w:sz="10" w:space="0" w:color="D2D2D2"/>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r>
      <w:tr>
        <w:trPr>
          <w:trHeight w:val="634" w:hRule="exact"/>
        </w:trPr>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3" w:right="48"/>
              <w:jc w:val="left"/>
              <w:rPr>
                <w:rFonts w:ascii="宋体" w:hAnsi="宋体" w:cs="宋体" w:eastAsia="宋体" w:hint="default"/>
                <w:sz w:val="21"/>
                <w:szCs w:val="21"/>
              </w:rPr>
            </w:pPr>
            <w:r>
              <w:rPr>
                <w:rFonts w:ascii="宋体" w:hAnsi="宋体" w:cs="宋体" w:eastAsia="宋体" w:hint="default"/>
                <w:sz w:val="21"/>
                <w:szCs w:val="21"/>
              </w:rPr>
              <w:t>注册地点、经营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范围变更</w:t>
            </w:r>
          </w:p>
        </w:tc>
        <w:tc>
          <w:tcPr>
            <w:tcW w:w="188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3"/>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84"/>
              <w:jc w:val="left"/>
              <w:rPr>
                <w:rFonts w:ascii="宋体" w:hAnsi="宋体" w:cs="宋体" w:eastAsia="宋体" w:hint="default"/>
                <w:sz w:val="21"/>
                <w:szCs w:val="21"/>
              </w:rPr>
            </w:pPr>
            <w:r>
              <w:rPr>
                <w:rFonts w:ascii="宋体" w:hAnsi="宋体" w:cs="宋体" w:eastAsia="宋体" w:hint="default"/>
                <w:sz w:val="21"/>
                <w:szCs w:val="21"/>
              </w:rPr>
              <w:t>北京市朝阳区</w:t>
            </w:r>
            <w:r>
              <w:rPr>
                <w:rFonts w:ascii="宋体" w:hAnsi="宋体" w:cs="宋体" w:eastAsia="宋体" w:hint="default"/>
                <w:w w:val="100"/>
                <w:sz w:val="21"/>
                <w:szCs w:val="21"/>
              </w:rPr>
              <w:t> </w:t>
            </w:r>
            <w:r>
              <w:rPr>
                <w:rFonts w:ascii="宋体" w:hAnsi="宋体" w:cs="宋体" w:eastAsia="宋体" w:hint="default"/>
                <w:sz w:val="21"/>
                <w:szCs w:val="21"/>
              </w:rPr>
              <w:t>将台路乙</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号</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1101052248363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left="24" w:right="0"/>
              <w:jc w:val="left"/>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63302483-8</w:t>
            </w:r>
          </w:p>
        </w:tc>
      </w:tr>
      <w:tr>
        <w:trPr>
          <w:trHeight w:val="634" w:hRule="exact"/>
        </w:trPr>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3" w:right="48"/>
              <w:jc w:val="left"/>
              <w:rPr>
                <w:rFonts w:ascii="宋体" w:hAnsi="宋体" w:cs="宋体" w:eastAsia="宋体" w:hint="default"/>
                <w:sz w:val="21"/>
                <w:szCs w:val="21"/>
              </w:rPr>
            </w:pPr>
            <w:r>
              <w:rPr>
                <w:rFonts w:ascii="宋体" w:hAnsi="宋体" w:cs="宋体" w:eastAsia="宋体" w:hint="default"/>
                <w:sz w:val="21"/>
                <w:szCs w:val="21"/>
              </w:rPr>
              <w:t>第一次注册资本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变更</w:t>
            </w:r>
          </w:p>
        </w:tc>
        <w:tc>
          <w:tcPr>
            <w:tcW w:w="188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3"/>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84"/>
              <w:jc w:val="left"/>
              <w:rPr>
                <w:rFonts w:ascii="宋体" w:hAnsi="宋体" w:cs="宋体" w:eastAsia="宋体" w:hint="default"/>
                <w:sz w:val="21"/>
                <w:szCs w:val="21"/>
              </w:rPr>
            </w:pPr>
            <w:r>
              <w:rPr>
                <w:rFonts w:ascii="宋体" w:hAnsi="宋体" w:cs="宋体" w:eastAsia="宋体" w:hint="default"/>
                <w:sz w:val="21"/>
                <w:szCs w:val="21"/>
              </w:rPr>
              <w:t>北京市朝阳区</w:t>
            </w:r>
            <w:r>
              <w:rPr>
                <w:rFonts w:ascii="宋体" w:hAnsi="宋体" w:cs="宋体" w:eastAsia="宋体" w:hint="default"/>
                <w:w w:val="100"/>
                <w:sz w:val="21"/>
                <w:szCs w:val="21"/>
              </w:rPr>
              <w:t> </w:t>
            </w:r>
            <w:r>
              <w:rPr>
                <w:rFonts w:ascii="宋体" w:hAnsi="宋体" w:cs="宋体" w:eastAsia="宋体" w:hint="default"/>
                <w:sz w:val="21"/>
                <w:szCs w:val="21"/>
              </w:rPr>
              <w:t>将台路乙</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号</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1101052248363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left="24" w:right="0"/>
              <w:jc w:val="left"/>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63302483-8</w:t>
            </w:r>
          </w:p>
        </w:tc>
      </w:tr>
      <w:tr>
        <w:trPr>
          <w:trHeight w:val="161" w:hRule="exact"/>
        </w:trPr>
        <w:tc>
          <w:tcPr>
            <w:tcW w:w="1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0" w:type="dxa"/>
            <w:vMerge w:val="restart"/>
            <w:tcBorders>
              <w:top w:val="single" w:sz="4" w:space="0" w:color="000000"/>
              <w:left w:val="single" w:sz="10" w:space="0" w:color="D2D2D2"/>
              <w:right w:val="single" w:sz="4" w:space="0" w:color="000000"/>
            </w:tcBorders>
          </w:tcPr>
          <w:p>
            <w:pPr>
              <w:pStyle w:val="TableParagraph"/>
              <w:spacing w:line="240" w:lineRule="auto" w:before="144"/>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88" w:type="dxa"/>
            <w:vMerge w:val="restart"/>
            <w:tcBorders>
              <w:top w:val="single" w:sz="4" w:space="0" w:color="000000"/>
              <w:left w:val="single" w:sz="4" w:space="0" w:color="000000"/>
              <w:right w:val="single" w:sz="4" w:space="0" w:color="000000"/>
            </w:tcBorders>
          </w:tcPr>
          <w:p>
            <w:pPr>
              <w:pStyle w:val="TableParagraph"/>
              <w:spacing w:line="273" w:lineRule="auto"/>
              <w:ind w:left="23" w:right="84"/>
              <w:jc w:val="left"/>
              <w:rPr>
                <w:rFonts w:ascii="宋体" w:hAnsi="宋体" w:cs="宋体" w:eastAsia="宋体" w:hint="default"/>
                <w:sz w:val="21"/>
                <w:szCs w:val="21"/>
              </w:rPr>
            </w:pPr>
            <w:r>
              <w:rPr>
                <w:rFonts w:ascii="宋体" w:hAnsi="宋体" w:cs="宋体" w:eastAsia="宋体" w:hint="default"/>
                <w:sz w:val="21"/>
                <w:szCs w:val="21"/>
              </w:rPr>
              <w:t>北京市朝阳区</w:t>
            </w:r>
            <w:r>
              <w:rPr>
                <w:rFonts w:ascii="宋体" w:hAnsi="宋体" w:cs="宋体" w:eastAsia="宋体" w:hint="default"/>
                <w:w w:val="100"/>
                <w:sz w:val="21"/>
                <w:szCs w:val="21"/>
              </w:rPr>
              <w:t> </w:t>
            </w:r>
            <w:r>
              <w:rPr>
                <w:rFonts w:ascii="宋体" w:hAnsi="宋体" w:cs="宋体" w:eastAsia="宋体" w:hint="default"/>
                <w:sz w:val="21"/>
                <w:szCs w:val="21"/>
              </w:rPr>
              <w:t>将台路乙</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号</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1101052248363</w:t>
            </w:r>
          </w:p>
        </w:tc>
        <w:tc>
          <w:tcPr>
            <w:tcW w:w="1700" w:type="dxa"/>
            <w:vMerge w:val="restart"/>
            <w:tcBorders>
              <w:top w:val="single" w:sz="4" w:space="0" w:color="000000"/>
              <w:left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left="24" w:right="0"/>
              <w:jc w:val="left"/>
              <w:rPr>
                <w:rFonts w:ascii="Times New Roman" w:hAnsi="Times New Roman" w:cs="Times New Roman" w:eastAsia="Times New Roman" w:hint="default"/>
                <w:sz w:val="21"/>
                <w:szCs w:val="21"/>
              </w:rPr>
            </w:pPr>
            <w:r>
              <w:rPr>
                <w:rFonts w:ascii="Times New Roman"/>
                <w:sz w:val="21"/>
              </w:rPr>
              <w:t>110105633024838</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63302483-8</w:t>
            </w:r>
          </w:p>
        </w:tc>
      </w:tr>
      <w:tr>
        <w:trPr>
          <w:trHeight w:val="313" w:hRule="exact"/>
        </w:trPr>
        <w:tc>
          <w:tcPr>
            <w:tcW w:w="1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3" w:lineRule="exact"/>
              <w:ind w:left="13" w:right="0"/>
              <w:jc w:val="left"/>
              <w:rPr>
                <w:rFonts w:ascii="宋体" w:hAnsi="宋体" w:cs="宋体" w:eastAsia="宋体" w:hint="default"/>
                <w:sz w:val="21"/>
                <w:szCs w:val="21"/>
              </w:rPr>
            </w:pPr>
            <w:r>
              <w:rPr>
                <w:rFonts w:ascii="宋体" w:hAnsi="宋体" w:cs="宋体" w:eastAsia="宋体" w:hint="default"/>
                <w:sz w:val="21"/>
                <w:szCs w:val="21"/>
              </w:rPr>
              <w:t>经营范围调整</w:t>
            </w:r>
          </w:p>
        </w:tc>
        <w:tc>
          <w:tcPr>
            <w:tcW w:w="1880" w:type="dxa"/>
            <w:vMerge/>
            <w:tcBorders>
              <w:left w:val="single" w:sz="10" w:space="0" w:color="D2D2D2"/>
              <w:right w:val="single" w:sz="4" w:space="0" w:color="000000"/>
            </w:tcBorders>
          </w:tcPr>
          <w:p>
            <w:pPr/>
          </w:p>
        </w:tc>
        <w:tc>
          <w:tcPr>
            <w:tcW w:w="1488"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344" w:type="dxa"/>
            <w:vMerge/>
            <w:tcBorders>
              <w:left w:val="single" w:sz="4" w:space="0" w:color="000000"/>
              <w:right w:val="single" w:sz="4" w:space="0" w:color="000000"/>
            </w:tcBorders>
          </w:tcPr>
          <w:p>
            <w:pPr/>
          </w:p>
        </w:tc>
      </w:tr>
      <w:tr>
        <w:trPr>
          <w:trHeight w:val="161" w:hRule="exact"/>
        </w:trPr>
        <w:tc>
          <w:tcPr>
            <w:tcW w:w="1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80" w:type="dxa"/>
            <w:vMerge/>
            <w:tcBorders>
              <w:left w:val="single" w:sz="10" w:space="0" w:color="D2D2D2"/>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r>
      <w:tr>
        <w:trPr>
          <w:trHeight w:val="163" w:hRule="exact"/>
        </w:trPr>
        <w:tc>
          <w:tcPr>
            <w:tcW w:w="1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0" w:type="dxa"/>
            <w:vMerge w:val="restart"/>
            <w:tcBorders>
              <w:top w:val="single" w:sz="4" w:space="0" w:color="000000"/>
              <w:left w:val="single" w:sz="10" w:space="0" w:color="D2D2D2"/>
              <w:right w:val="single" w:sz="4" w:space="0" w:color="000000"/>
            </w:tcBorders>
          </w:tcPr>
          <w:p>
            <w:pPr>
              <w:pStyle w:val="TableParagraph"/>
              <w:spacing w:line="240" w:lineRule="auto" w:before="146"/>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88" w:type="dxa"/>
            <w:vMerge w:val="restart"/>
            <w:tcBorders>
              <w:top w:val="single" w:sz="4" w:space="0" w:color="000000"/>
              <w:left w:val="single" w:sz="4" w:space="0" w:color="000000"/>
              <w:right w:val="single" w:sz="4" w:space="0" w:color="000000"/>
            </w:tcBorders>
          </w:tcPr>
          <w:p>
            <w:pPr>
              <w:pStyle w:val="TableParagraph"/>
              <w:spacing w:line="273" w:lineRule="auto"/>
              <w:ind w:left="23" w:right="84"/>
              <w:jc w:val="left"/>
              <w:rPr>
                <w:rFonts w:ascii="宋体" w:hAnsi="宋体" w:cs="宋体" w:eastAsia="宋体" w:hint="default"/>
                <w:sz w:val="21"/>
                <w:szCs w:val="21"/>
              </w:rPr>
            </w:pPr>
            <w:r>
              <w:rPr>
                <w:rFonts w:ascii="宋体" w:hAnsi="宋体" w:cs="宋体" w:eastAsia="宋体" w:hint="default"/>
                <w:sz w:val="21"/>
                <w:szCs w:val="21"/>
              </w:rPr>
              <w:t>北京市朝阳区</w:t>
            </w:r>
            <w:r>
              <w:rPr>
                <w:rFonts w:ascii="宋体" w:hAnsi="宋体" w:cs="宋体" w:eastAsia="宋体" w:hint="default"/>
                <w:w w:val="100"/>
                <w:sz w:val="21"/>
                <w:szCs w:val="21"/>
              </w:rPr>
              <w:t> </w:t>
            </w:r>
            <w:r>
              <w:rPr>
                <w:rFonts w:ascii="宋体" w:hAnsi="宋体" w:cs="宋体" w:eastAsia="宋体" w:hint="default"/>
                <w:sz w:val="21"/>
                <w:szCs w:val="21"/>
              </w:rPr>
              <w:t>将台路乙</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号</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36"/>
              <w:ind w:left="23" w:right="0"/>
              <w:jc w:val="left"/>
              <w:rPr>
                <w:rFonts w:ascii="Times New Roman" w:hAnsi="Times New Roman" w:cs="Times New Roman" w:eastAsia="Times New Roman" w:hint="default"/>
                <w:sz w:val="21"/>
                <w:szCs w:val="21"/>
              </w:rPr>
            </w:pPr>
            <w:r>
              <w:rPr>
                <w:rFonts w:ascii="Times New Roman"/>
                <w:sz w:val="21"/>
              </w:rPr>
              <w:t>1101052248363</w:t>
            </w:r>
          </w:p>
        </w:tc>
        <w:tc>
          <w:tcPr>
            <w:tcW w:w="1700" w:type="dxa"/>
            <w:vMerge w:val="restart"/>
            <w:tcBorders>
              <w:top w:val="single" w:sz="4" w:space="0" w:color="000000"/>
              <w:left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left="24" w:right="0"/>
              <w:jc w:val="left"/>
              <w:rPr>
                <w:rFonts w:ascii="Times New Roman" w:hAnsi="Times New Roman" w:cs="Times New Roman" w:eastAsia="Times New Roman" w:hint="default"/>
                <w:sz w:val="21"/>
                <w:szCs w:val="21"/>
              </w:rPr>
            </w:pPr>
            <w:r>
              <w:rPr>
                <w:rFonts w:ascii="Times New Roman"/>
                <w:sz w:val="21"/>
              </w:rPr>
              <w:t>110105633024838</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63302483-8</w:t>
            </w:r>
          </w:p>
        </w:tc>
      </w:tr>
      <w:tr>
        <w:trPr>
          <w:trHeight w:val="312" w:hRule="exact"/>
        </w:trPr>
        <w:tc>
          <w:tcPr>
            <w:tcW w:w="1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13" w:right="0"/>
              <w:jc w:val="left"/>
              <w:rPr>
                <w:rFonts w:ascii="宋体" w:hAnsi="宋体" w:cs="宋体" w:eastAsia="宋体" w:hint="default"/>
                <w:sz w:val="21"/>
                <w:szCs w:val="21"/>
              </w:rPr>
            </w:pPr>
            <w:r>
              <w:rPr>
                <w:rFonts w:ascii="宋体" w:hAnsi="宋体" w:cs="宋体" w:eastAsia="宋体" w:hint="default"/>
                <w:sz w:val="21"/>
                <w:szCs w:val="21"/>
              </w:rPr>
              <w:t>股权转让</w:t>
            </w:r>
          </w:p>
        </w:tc>
        <w:tc>
          <w:tcPr>
            <w:tcW w:w="1880" w:type="dxa"/>
            <w:vMerge/>
            <w:tcBorders>
              <w:left w:val="single" w:sz="10" w:space="0" w:color="D2D2D2"/>
              <w:right w:val="single" w:sz="4" w:space="0" w:color="000000"/>
            </w:tcBorders>
          </w:tcPr>
          <w:p>
            <w:pPr/>
          </w:p>
        </w:tc>
        <w:tc>
          <w:tcPr>
            <w:tcW w:w="1488"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344" w:type="dxa"/>
            <w:vMerge/>
            <w:tcBorders>
              <w:left w:val="single" w:sz="4" w:space="0" w:color="000000"/>
              <w:right w:val="single" w:sz="4" w:space="0" w:color="000000"/>
            </w:tcBorders>
          </w:tcPr>
          <w:p>
            <w:pPr/>
          </w:p>
        </w:tc>
      </w:tr>
      <w:tr>
        <w:trPr>
          <w:trHeight w:val="161" w:hRule="exact"/>
        </w:trPr>
        <w:tc>
          <w:tcPr>
            <w:tcW w:w="1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80" w:type="dxa"/>
            <w:vMerge/>
            <w:tcBorders>
              <w:left w:val="single" w:sz="10" w:space="0" w:color="D2D2D2"/>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r>
      <w:tr>
        <w:trPr>
          <w:trHeight w:val="634" w:hRule="exact"/>
        </w:trPr>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3" w:right="48"/>
              <w:jc w:val="left"/>
              <w:rPr>
                <w:rFonts w:ascii="宋体" w:hAnsi="宋体" w:cs="宋体" w:eastAsia="宋体" w:hint="default"/>
                <w:sz w:val="21"/>
                <w:szCs w:val="21"/>
              </w:rPr>
            </w:pPr>
            <w:r>
              <w:rPr>
                <w:rFonts w:ascii="宋体" w:hAnsi="宋体" w:cs="宋体" w:eastAsia="宋体" w:hint="default"/>
                <w:sz w:val="21"/>
                <w:szCs w:val="21"/>
              </w:rPr>
              <w:t>第二次注册资本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变更</w:t>
            </w:r>
          </w:p>
        </w:tc>
        <w:tc>
          <w:tcPr>
            <w:tcW w:w="188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3"/>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84"/>
              <w:jc w:val="left"/>
              <w:rPr>
                <w:rFonts w:ascii="宋体" w:hAnsi="宋体" w:cs="宋体" w:eastAsia="宋体" w:hint="default"/>
                <w:sz w:val="21"/>
                <w:szCs w:val="21"/>
              </w:rPr>
            </w:pPr>
            <w:r>
              <w:rPr>
                <w:rFonts w:ascii="宋体" w:hAnsi="宋体" w:cs="宋体" w:eastAsia="宋体" w:hint="default"/>
                <w:sz w:val="21"/>
                <w:szCs w:val="21"/>
              </w:rPr>
              <w:t>北京市朝阳区</w:t>
            </w:r>
            <w:r>
              <w:rPr>
                <w:rFonts w:ascii="宋体" w:hAnsi="宋体" w:cs="宋体" w:eastAsia="宋体" w:hint="default"/>
                <w:w w:val="100"/>
                <w:sz w:val="21"/>
                <w:szCs w:val="21"/>
              </w:rPr>
              <w:t> </w:t>
            </w:r>
            <w:r>
              <w:rPr>
                <w:rFonts w:ascii="宋体" w:hAnsi="宋体" w:cs="宋体" w:eastAsia="宋体" w:hint="default"/>
                <w:sz w:val="21"/>
                <w:szCs w:val="21"/>
              </w:rPr>
              <w:t>将台路乙</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号</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110105002483632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left="24" w:right="0"/>
              <w:jc w:val="left"/>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63302483-8</w:t>
            </w:r>
          </w:p>
        </w:tc>
      </w:tr>
      <w:tr>
        <w:trPr>
          <w:trHeight w:val="634" w:hRule="exact"/>
        </w:trPr>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3" w:right="48"/>
              <w:jc w:val="left"/>
              <w:rPr>
                <w:rFonts w:ascii="宋体" w:hAnsi="宋体" w:cs="宋体" w:eastAsia="宋体" w:hint="default"/>
                <w:sz w:val="21"/>
                <w:szCs w:val="21"/>
              </w:rPr>
            </w:pPr>
            <w:r>
              <w:rPr>
                <w:rFonts w:ascii="宋体" w:hAnsi="宋体" w:cs="宋体" w:eastAsia="宋体" w:hint="default"/>
                <w:sz w:val="21"/>
                <w:szCs w:val="21"/>
              </w:rPr>
              <w:t>第三次注册资本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变更</w:t>
            </w:r>
          </w:p>
        </w:tc>
        <w:tc>
          <w:tcPr>
            <w:tcW w:w="188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43"/>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84"/>
              <w:jc w:val="left"/>
              <w:rPr>
                <w:rFonts w:ascii="宋体" w:hAnsi="宋体" w:cs="宋体" w:eastAsia="宋体" w:hint="default"/>
                <w:sz w:val="21"/>
                <w:szCs w:val="21"/>
              </w:rPr>
            </w:pPr>
            <w:r>
              <w:rPr>
                <w:rFonts w:ascii="宋体" w:hAnsi="宋体" w:cs="宋体" w:eastAsia="宋体" w:hint="default"/>
                <w:sz w:val="21"/>
                <w:szCs w:val="21"/>
              </w:rPr>
              <w:t>北京市朝阳区</w:t>
            </w:r>
            <w:r>
              <w:rPr>
                <w:rFonts w:ascii="宋体" w:hAnsi="宋体" w:cs="宋体" w:eastAsia="宋体" w:hint="default"/>
                <w:w w:val="100"/>
                <w:sz w:val="21"/>
                <w:szCs w:val="21"/>
              </w:rPr>
              <w:t> </w:t>
            </w:r>
            <w:r>
              <w:rPr>
                <w:rFonts w:ascii="宋体" w:hAnsi="宋体" w:cs="宋体" w:eastAsia="宋体" w:hint="default"/>
                <w:sz w:val="21"/>
                <w:szCs w:val="21"/>
              </w:rPr>
              <w:t>将台路乙</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号</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110105002483632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left="24" w:right="0"/>
              <w:jc w:val="left"/>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63302483-8</w:t>
            </w:r>
          </w:p>
        </w:tc>
      </w:tr>
      <w:tr>
        <w:trPr>
          <w:trHeight w:val="161" w:hRule="exact"/>
        </w:trPr>
        <w:tc>
          <w:tcPr>
            <w:tcW w:w="1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0" w:type="dxa"/>
            <w:vMerge w:val="restart"/>
            <w:tcBorders>
              <w:top w:val="single" w:sz="4" w:space="0" w:color="000000"/>
              <w:left w:val="single" w:sz="10" w:space="0" w:color="D2D2D2"/>
              <w:right w:val="single" w:sz="4" w:space="0" w:color="000000"/>
            </w:tcBorders>
          </w:tcPr>
          <w:p>
            <w:pPr>
              <w:pStyle w:val="TableParagraph"/>
              <w:spacing w:line="240" w:lineRule="auto" w:before="143"/>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88" w:type="dxa"/>
            <w:vMerge w:val="restart"/>
            <w:tcBorders>
              <w:top w:val="single" w:sz="4" w:space="0" w:color="000000"/>
              <w:left w:val="single" w:sz="4" w:space="0" w:color="000000"/>
              <w:right w:val="single" w:sz="4" w:space="0" w:color="000000"/>
            </w:tcBorders>
          </w:tcPr>
          <w:p>
            <w:pPr>
              <w:pStyle w:val="TableParagraph"/>
              <w:spacing w:line="273" w:lineRule="auto"/>
              <w:ind w:left="23" w:right="84"/>
              <w:jc w:val="left"/>
              <w:rPr>
                <w:rFonts w:ascii="宋体" w:hAnsi="宋体" w:cs="宋体" w:eastAsia="宋体" w:hint="default"/>
                <w:sz w:val="21"/>
                <w:szCs w:val="21"/>
              </w:rPr>
            </w:pPr>
            <w:r>
              <w:rPr>
                <w:rFonts w:ascii="宋体" w:hAnsi="宋体" w:cs="宋体" w:eastAsia="宋体" w:hint="default"/>
                <w:sz w:val="21"/>
                <w:szCs w:val="21"/>
              </w:rPr>
              <w:t>北京市朝阳区</w:t>
            </w:r>
            <w:r>
              <w:rPr>
                <w:rFonts w:ascii="宋体" w:hAnsi="宋体" w:cs="宋体" w:eastAsia="宋体" w:hint="default"/>
                <w:w w:val="100"/>
                <w:sz w:val="21"/>
                <w:szCs w:val="21"/>
              </w:rPr>
              <w:t> </w:t>
            </w:r>
            <w:r>
              <w:rPr>
                <w:rFonts w:ascii="宋体" w:hAnsi="宋体" w:cs="宋体" w:eastAsia="宋体" w:hint="default"/>
                <w:sz w:val="21"/>
                <w:szCs w:val="21"/>
              </w:rPr>
              <w:t>将台路乙</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号</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110105002483632</w:t>
            </w:r>
          </w:p>
        </w:tc>
        <w:tc>
          <w:tcPr>
            <w:tcW w:w="1700" w:type="dxa"/>
            <w:vMerge w:val="restart"/>
            <w:tcBorders>
              <w:top w:val="single" w:sz="4" w:space="0" w:color="000000"/>
              <w:left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left="24" w:right="0"/>
              <w:jc w:val="left"/>
              <w:rPr>
                <w:rFonts w:ascii="Times New Roman" w:hAnsi="Times New Roman" w:cs="Times New Roman" w:eastAsia="Times New Roman" w:hint="default"/>
                <w:sz w:val="21"/>
                <w:szCs w:val="21"/>
              </w:rPr>
            </w:pPr>
            <w:r>
              <w:rPr>
                <w:rFonts w:ascii="Times New Roman"/>
                <w:sz w:val="21"/>
              </w:rPr>
              <w:t>110105633024838</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63302483-8</w:t>
            </w:r>
          </w:p>
        </w:tc>
      </w:tr>
      <w:tr>
        <w:trPr>
          <w:trHeight w:val="312" w:hRule="exact"/>
        </w:trPr>
        <w:tc>
          <w:tcPr>
            <w:tcW w:w="1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13" w:right="0"/>
              <w:jc w:val="left"/>
              <w:rPr>
                <w:rFonts w:ascii="宋体" w:hAnsi="宋体" w:cs="宋体" w:eastAsia="宋体" w:hint="default"/>
                <w:sz w:val="21"/>
                <w:szCs w:val="21"/>
              </w:rPr>
            </w:pPr>
            <w:r>
              <w:rPr>
                <w:rFonts w:ascii="宋体" w:hAnsi="宋体" w:cs="宋体" w:eastAsia="宋体" w:hint="default"/>
                <w:sz w:val="21"/>
                <w:szCs w:val="21"/>
              </w:rPr>
              <w:t>股权转让</w:t>
            </w:r>
          </w:p>
        </w:tc>
        <w:tc>
          <w:tcPr>
            <w:tcW w:w="1880" w:type="dxa"/>
            <w:vMerge/>
            <w:tcBorders>
              <w:left w:val="single" w:sz="10" w:space="0" w:color="D2D2D2"/>
              <w:right w:val="single" w:sz="4" w:space="0" w:color="000000"/>
            </w:tcBorders>
          </w:tcPr>
          <w:p>
            <w:pPr/>
          </w:p>
        </w:tc>
        <w:tc>
          <w:tcPr>
            <w:tcW w:w="1488"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344" w:type="dxa"/>
            <w:vMerge/>
            <w:tcBorders>
              <w:left w:val="single" w:sz="4" w:space="0" w:color="000000"/>
              <w:right w:val="single" w:sz="4" w:space="0" w:color="000000"/>
            </w:tcBorders>
          </w:tcPr>
          <w:p>
            <w:pPr/>
          </w:p>
        </w:tc>
      </w:tr>
      <w:tr>
        <w:trPr>
          <w:trHeight w:val="161" w:hRule="exact"/>
        </w:trPr>
        <w:tc>
          <w:tcPr>
            <w:tcW w:w="1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80" w:type="dxa"/>
            <w:vMerge/>
            <w:tcBorders>
              <w:left w:val="single" w:sz="10" w:space="0" w:color="D2D2D2"/>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r>
      <w:tr>
        <w:trPr>
          <w:trHeight w:val="161" w:hRule="exact"/>
        </w:trPr>
        <w:tc>
          <w:tcPr>
            <w:tcW w:w="1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0" w:type="dxa"/>
            <w:vMerge w:val="restart"/>
            <w:tcBorders>
              <w:top w:val="single" w:sz="4" w:space="0" w:color="000000"/>
              <w:left w:val="single" w:sz="10" w:space="0" w:color="D2D2D2"/>
              <w:right w:val="single" w:sz="4" w:space="0" w:color="000000"/>
            </w:tcBorders>
          </w:tcPr>
          <w:p>
            <w:pPr>
              <w:pStyle w:val="TableParagraph"/>
              <w:spacing w:line="240" w:lineRule="auto" w:before="143"/>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88" w:type="dxa"/>
            <w:vMerge w:val="restart"/>
            <w:tcBorders>
              <w:top w:val="single" w:sz="4" w:space="0" w:color="000000"/>
              <w:left w:val="single" w:sz="4" w:space="0" w:color="000000"/>
              <w:right w:val="single" w:sz="4" w:space="0" w:color="000000"/>
            </w:tcBorders>
          </w:tcPr>
          <w:p>
            <w:pPr>
              <w:pStyle w:val="TableParagraph"/>
              <w:spacing w:line="273" w:lineRule="auto"/>
              <w:ind w:left="23" w:right="84"/>
              <w:jc w:val="left"/>
              <w:rPr>
                <w:rFonts w:ascii="宋体" w:hAnsi="宋体" w:cs="宋体" w:eastAsia="宋体" w:hint="default"/>
                <w:sz w:val="21"/>
                <w:szCs w:val="21"/>
              </w:rPr>
            </w:pPr>
            <w:r>
              <w:rPr>
                <w:rFonts w:ascii="宋体" w:hAnsi="宋体" w:cs="宋体" w:eastAsia="宋体" w:hint="default"/>
                <w:sz w:val="21"/>
                <w:szCs w:val="21"/>
              </w:rPr>
              <w:t>北京市朝阳区</w:t>
            </w:r>
            <w:r>
              <w:rPr>
                <w:rFonts w:ascii="宋体" w:hAnsi="宋体" w:cs="宋体" w:eastAsia="宋体" w:hint="default"/>
                <w:w w:val="100"/>
                <w:sz w:val="21"/>
                <w:szCs w:val="21"/>
              </w:rPr>
              <w:t> </w:t>
            </w:r>
            <w:r>
              <w:rPr>
                <w:rFonts w:ascii="宋体" w:hAnsi="宋体" w:cs="宋体" w:eastAsia="宋体" w:hint="default"/>
                <w:sz w:val="21"/>
                <w:szCs w:val="21"/>
              </w:rPr>
              <w:t>将台路乙</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号</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110105002483632</w:t>
            </w:r>
          </w:p>
        </w:tc>
        <w:tc>
          <w:tcPr>
            <w:tcW w:w="1700" w:type="dxa"/>
            <w:vMerge w:val="restart"/>
            <w:tcBorders>
              <w:top w:val="single" w:sz="4" w:space="0" w:color="000000"/>
              <w:left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left="24" w:right="0"/>
              <w:jc w:val="left"/>
              <w:rPr>
                <w:rFonts w:ascii="Times New Roman" w:hAnsi="Times New Roman" w:cs="Times New Roman" w:eastAsia="Times New Roman" w:hint="default"/>
                <w:sz w:val="21"/>
                <w:szCs w:val="21"/>
              </w:rPr>
            </w:pPr>
            <w:r>
              <w:rPr>
                <w:rFonts w:ascii="Times New Roman"/>
                <w:sz w:val="21"/>
              </w:rPr>
              <w:t>110105633024838</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63302483-8</w:t>
            </w:r>
          </w:p>
        </w:tc>
      </w:tr>
      <w:tr>
        <w:trPr>
          <w:trHeight w:val="312" w:hRule="exact"/>
        </w:trPr>
        <w:tc>
          <w:tcPr>
            <w:tcW w:w="1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13" w:right="0"/>
              <w:jc w:val="left"/>
              <w:rPr>
                <w:rFonts w:ascii="宋体" w:hAnsi="宋体" w:cs="宋体" w:eastAsia="宋体" w:hint="default"/>
                <w:sz w:val="21"/>
                <w:szCs w:val="21"/>
              </w:rPr>
            </w:pPr>
            <w:r>
              <w:rPr>
                <w:rFonts w:ascii="宋体" w:hAnsi="宋体" w:cs="宋体" w:eastAsia="宋体" w:hint="default"/>
                <w:sz w:val="21"/>
                <w:szCs w:val="21"/>
              </w:rPr>
              <w:t>股权转让</w:t>
            </w:r>
          </w:p>
        </w:tc>
        <w:tc>
          <w:tcPr>
            <w:tcW w:w="1880" w:type="dxa"/>
            <w:vMerge/>
            <w:tcBorders>
              <w:left w:val="single" w:sz="10" w:space="0" w:color="D2D2D2"/>
              <w:right w:val="single" w:sz="4" w:space="0" w:color="000000"/>
            </w:tcBorders>
          </w:tcPr>
          <w:p>
            <w:pPr/>
          </w:p>
        </w:tc>
        <w:tc>
          <w:tcPr>
            <w:tcW w:w="1488"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344" w:type="dxa"/>
            <w:vMerge/>
            <w:tcBorders>
              <w:left w:val="single" w:sz="4" w:space="0" w:color="000000"/>
              <w:right w:val="single" w:sz="4" w:space="0" w:color="000000"/>
            </w:tcBorders>
          </w:tcPr>
          <w:p>
            <w:pPr/>
          </w:p>
        </w:tc>
      </w:tr>
      <w:tr>
        <w:trPr>
          <w:trHeight w:val="161" w:hRule="exact"/>
        </w:trPr>
        <w:tc>
          <w:tcPr>
            <w:tcW w:w="1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80" w:type="dxa"/>
            <w:vMerge/>
            <w:tcBorders>
              <w:left w:val="single" w:sz="10" w:space="0" w:color="D2D2D2"/>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r>
      <w:tr>
        <w:trPr>
          <w:trHeight w:val="317" w:hRule="exact"/>
        </w:trPr>
        <w:tc>
          <w:tcPr>
            <w:tcW w:w="1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1880"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67"/>
              <w:ind w:left="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88" w:type="dxa"/>
            <w:vMerge w:val="restart"/>
            <w:tcBorders>
              <w:top w:val="single" w:sz="4" w:space="0" w:color="000000"/>
              <w:left w:val="single" w:sz="4" w:space="0" w:color="000000"/>
              <w:right w:val="single" w:sz="4" w:space="0" w:color="000000"/>
            </w:tcBorders>
          </w:tcPr>
          <w:p>
            <w:pPr>
              <w:pStyle w:val="TableParagraph"/>
              <w:spacing w:line="273" w:lineRule="auto"/>
              <w:ind w:left="23" w:right="84"/>
              <w:jc w:val="left"/>
              <w:rPr>
                <w:rFonts w:ascii="宋体" w:hAnsi="宋体" w:cs="宋体" w:eastAsia="宋体" w:hint="default"/>
                <w:sz w:val="21"/>
                <w:szCs w:val="21"/>
              </w:rPr>
            </w:pPr>
            <w:r>
              <w:rPr>
                <w:rFonts w:ascii="宋体" w:hAnsi="宋体" w:cs="宋体" w:eastAsia="宋体" w:hint="default"/>
                <w:sz w:val="21"/>
                <w:szCs w:val="21"/>
              </w:rPr>
              <w:t>北京市朝阳区</w:t>
            </w:r>
            <w:r>
              <w:rPr>
                <w:rFonts w:ascii="宋体" w:hAnsi="宋体" w:cs="宋体" w:eastAsia="宋体" w:hint="default"/>
                <w:w w:val="100"/>
                <w:sz w:val="21"/>
                <w:szCs w:val="21"/>
              </w:rPr>
              <w:t> </w:t>
            </w:r>
            <w:r>
              <w:rPr>
                <w:rFonts w:ascii="宋体" w:hAnsi="宋体" w:cs="宋体" w:eastAsia="宋体" w:hint="default"/>
                <w:sz w:val="21"/>
                <w:szCs w:val="21"/>
              </w:rPr>
              <w:t>将台路乙</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号</w:t>
            </w:r>
          </w:p>
          <w:p>
            <w:pPr>
              <w:pStyle w:val="TableParagraph"/>
              <w:spacing w:line="279"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佳丽饭店</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1116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室</w:t>
            </w:r>
          </w:p>
        </w:tc>
        <w:tc>
          <w:tcPr>
            <w:tcW w:w="173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110105002483632</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left="24" w:right="0"/>
              <w:jc w:val="left"/>
              <w:rPr>
                <w:rFonts w:ascii="Times New Roman" w:hAnsi="Times New Roman" w:cs="Times New Roman" w:eastAsia="Times New Roman" w:hint="default"/>
                <w:sz w:val="21"/>
                <w:szCs w:val="21"/>
              </w:rPr>
            </w:pPr>
            <w:r>
              <w:rPr>
                <w:rFonts w:ascii="Times New Roman"/>
                <w:sz w:val="21"/>
              </w:rPr>
              <w:t>110105633024838</w:t>
            </w:r>
          </w:p>
        </w:tc>
        <w:tc>
          <w:tcPr>
            <w:tcW w:w="13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63302483-8</w:t>
            </w:r>
          </w:p>
        </w:tc>
      </w:tr>
      <w:tr>
        <w:trPr>
          <w:trHeight w:val="624" w:hRule="exact"/>
        </w:trPr>
        <w:tc>
          <w:tcPr>
            <w:tcW w:w="1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3" w:lineRule="auto"/>
              <w:ind w:left="13" w:right="48"/>
              <w:jc w:val="left"/>
              <w:rPr>
                <w:rFonts w:ascii="宋体" w:hAnsi="宋体" w:cs="宋体" w:eastAsia="宋体" w:hint="default"/>
                <w:sz w:val="21"/>
                <w:szCs w:val="21"/>
              </w:rPr>
            </w:pPr>
            <w:r>
              <w:rPr>
                <w:rFonts w:ascii="宋体" w:hAnsi="宋体" w:cs="宋体" w:eastAsia="宋体" w:hint="default"/>
                <w:sz w:val="21"/>
                <w:szCs w:val="21"/>
              </w:rPr>
              <w:t>有限公司变更为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股份有限公司</w:t>
            </w:r>
          </w:p>
        </w:tc>
        <w:tc>
          <w:tcPr>
            <w:tcW w:w="1880" w:type="dxa"/>
            <w:vMerge/>
            <w:tcBorders>
              <w:left w:val="single" w:sz="10" w:space="0" w:color="D2D2D2"/>
              <w:right w:val="single" w:sz="4" w:space="0" w:color="000000"/>
            </w:tcBorders>
          </w:tcPr>
          <w:p>
            <w:pPr/>
          </w:p>
        </w:tc>
        <w:tc>
          <w:tcPr>
            <w:tcW w:w="1488" w:type="dxa"/>
            <w:vMerge/>
            <w:tcBorders>
              <w:left w:val="single" w:sz="4" w:space="0" w:color="000000"/>
              <w:right w:val="single" w:sz="4" w:space="0" w:color="000000"/>
            </w:tcBorders>
          </w:tcPr>
          <w:p>
            <w:pPr/>
          </w:p>
        </w:tc>
        <w:tc>
          <w:tcPr>
            <w:tcW w:w="1738" w:type="dxa"/>
            <w:vMerge/>
            <w:tcBorders>
              <w:left w:val="single" w:sz="4" w:space="0" w:color="000000"/>
              <w:right w:val="single" w:sz="4" w:space="0" w:color="000000"/>
            </w:tcBorders>
          </w:tcPr>
          <w:p>
            <w:pPr/>
          </w:p>
        </w:tc>
        <w:tc>
          <w:tcPr>
            <w:tcW w:w="1700" w:type="dxa"/>
            <w:vMerge/>
            <w:tcBorders>
              <w:left w:val="single" w:sz="4" w:space="0" w:color="000000"/>
              <w:right w:val="single" w:sz="4" w:space="0" w:color="000000"/>
            </w:tcBorders>
          </w:tcPr>
          <w:p>
            <w:pPr/>
          </w:p>
        </w:tc>
        <w:tc>
          <w:tcPr>
            <w:tcW w:w="1344" w:type="dxa"/>
            <w:vMerge/>
            <w:tcBorders>
              <w:left w:val="single" w:sz="4" w:space="0" w:color="000000"/>
              <w:right w:val="single" w:sz="4" w:space="0" w:color="000000"/>
            </w:tcBorders>
          </w:tcPr>
          <w:p>
            <w:pPr/>
          </w:p>
        </w:tc>
      </w:tr>
      <w:tr>
        <w:trPr>
          <w:trHeight w:val="317" w:hRule="exact"/>
        </w:trPr>
        <w:tc>
          <w:tcPr>
            <w:tcW w:w="1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1880" w:type="dxa"/>
            <w:vMerge/>
            <w:tcBorders>
              <w:left w:val="single" w:sz="10" w:space="0" w:color="D2D2D2"/>
              <w:bottom w:val="single" w:sz="4" w:space="0" w:color="000000"/>
              <w:right w:val="single" w:sz="4" w:space="0" w:color="000000"/>
            </w:tcBorders>
          </w:tcPr>
          <w:p>
            <w:pPr/>
          </w:p>
        </w:tc>
        <w:tc>
          <w:tcPr>
            <w:tcW w:w="1488" w:type="dxa"/>
            <w:vMerge/>
            <w:tcBorders>
              <w:left w:val="single" w:sz="4" w:space="0" w:color="000000"/>
              <w:bottom w:val="single" w:sz="4" w:space="0" w:color="000000"/>
              <w:right w:val="single" w:sz="4" w:space="0" w:color="000000"/>
            </w:tcBorders>
          </w:tcPr>
          <w:p>
            <w:pPr/>
          </w:p>
        </w:tc>
        <w:tc>
          <w:tcPr>
            <w:tcW w:w="1738"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344" w:type="dxa"/>
            <w:vMerge/>
            <w:tcBorders>
              <w:left w:val="single" w:sz="4" w:space="0" w:color="000000"/>
              <w:bottom w:val="single" w:sz="4" w:space="0" w:color="000000"/>
              <w:right w:val="single" w:sz="4" w:space="0" w:color="000000"/>
            </w:tcBorders>
          </w:tcPr>
          <w:p>
            <w:pPr/>
          </w:p>
        </w:tc>
      </w:tr>
      <w:tr>
        <w:trPr>
          <w:trHeight w:val="1260" w:hRule="exact"/>
        </w:trPr>
        <w:tc>
          <w:tcPr>
            <w:tcW w:w="15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73" w:lineRule="auto"/>
              <w:ind w:left="13" w:right="48"/>
              <w:jc w:val="left"/>
              <w:rPr>
                <w:rFonts w:ascii="宋体" w:hAnsi="宋体" w:cs="宋体" w:eastAsia="宋体" w:hint="default"/>
                <w:sz w:val="21"/>
                <w:szCs w:val="21"/>
              </w:rPr>
            </w:pPr>
            <w:r>
              <w:rPr>
                <w:rFonts w:ascii="宋体" w:hAnsi="宋体" w:cs="宋体" w:eastAsia="宋体" w:hint="default"/>
                <w:sz w:val="21"/>
                <w:szCs w:val="21"/>
              </w:rPr>
              <w:t>第四次注册资本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变更</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70"/>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84"/>
              <w:jc w:val="left"/>
              <w:rPr>
                <w:rFonts w:ascii="宋体" w:hAnsi="宋体" w:cs="宋体" w:eastAsia="宋体" w:hint="default"/>
                <w:sz w:val="21"/>
                <w:szCs w:val="21"/>
              </w:rPr>
            </w:pPr>
            <w:r>
              <w:rPr>
                <w:rFonts w:ascii="宋体" w:hAnsi="宋体" w:cs="宋体" w:eastAsia="宋体" w:hint="default"/>
                <w:sz w:val="21"/>
                <w:szCs w:val="21"/>
              </w:rPr>
              <w:t>北京市朝阳区</w:t>
            </w:r>
            <w:r>
              <w:rPr>
                <w:rFonts w:ascii="宋体" w:hAnsi="宋体" w:cs="宋体" w:eastAsia="宋体" w:hint="default"/>
                <w:w w:val="100"/>
                <w:sz w:val="21"/>
                <w:szCs w:val="21"/>
              </w:rPr>
              <w:t> </w:t>
            </w:r>
            <w:r>
              <w:rPr>
                <w:rFonts w:ascii="宋体" w:hAnsi="宋体" w:cs="宋体" w:eastAsia="宋体" w:hint="default"/>
                <w:sz w:val="21"/>
                <w:szCs w:val="21"/>
              </w:rPr>
              <w:t>将台路乙</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号</w:t>
            </w:r>
          </w:p>
          <w:p>
            <w:pPr>
              <w:pStyle w:val="TableParagraph"/>
              <w:spacing w:line="279"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佳丽饭店</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1116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室</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110105002483632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left="24" w:right="0"/>
              <w:jc w:val="left"/>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63302483-8</w:t>
            </w:r>
          </w:p>
        </w:tc>
      </w:tr>
      <w:tr>
        <w:trPr>
          <w:trHeight w:val="1258" w:hRule="exact"/>
        </w:trPr>
        <w:tc>
          <w:tcPr>
            <w:tcW w:w="15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66" w:lineRule="auto" w:before="143"/>
              <w:ind w:left="13" w:right="48"/>
              <w:jc w:val="left"/>
              <w:rPr>
                <w:rFonts w:ascii="宋体" w:hAnsi="宋体" w:cs="宋体" w:eastAsia="宋体" w:hint="default"/>
                <w:sz w:val="21"/>
                <w:szCs w:val="21"/>
              </w:rPr>
            </w:pPr>
            <w:r>
              <w:rPr>
                <w:rFonts w:ascii="宋体" w:hAnsi="宋体" w:cs="宋体" w:eastAsia="宋体" w:hint="default"/>
                <w:sz w:val="21"/>
                <w:szCs w:val="21"/>
              </w:rPr>
              <w:t>第五次注册资本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变更</w:t>
            </w:r>
            <w:r>
              <w:rPr>
                <w:rFonts w:ascii="Times New Roman" w:hAnsi="Times New Roman" w:cs="Times New Roman" w:eastAsia="Times New Roman" w:hint="default"/>
                <w:sz w:val="21"/>
                <w:szCs w:val="21"/>
              </w:rPr>
              <w:t>/</w:t>
            </w:r>
            <w:r>
              <w:rPr>
                <w:rFonts w:ascii="宋体" w:hAnsi="宋体" w:cs="宋体" w:eastAsia="宋体" w:hint="default"/>
                <w:sz w:val="21"/>
                <w:szCs w:val="21"/>
              </w:rPr>
              <w:t>经营范围</w:t>
            </w:r>
            <w:r>
              <w:rPr>
                <w:rFonts w:ascii="宋体" w:hAnsi="宋体" w:cs="宋体" w:eastAsia="宋体" w:hint="default"/>
                <w:w w:val="100"/>
                <w:sz w:val="21"/>
                <w:szCs w:val="21"/>
              </w:rPr>
              <w:t> </w:t>
            </w:r>
            <w:r>
              <w:rPr>
                <w:rFonts w:ascii="宋体" w:hAnsi="宋体" w:cs="宋体" w:eastAsia="宋体" w:hint="default"/>
                <w:sz w:val="21"/>
                <w:szCs w:val="21"/>
              </w:rPr>
              <w:t>调整</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68"/>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84"/>
              <w:jc w:val="left"/>
              <w:rPr>
                <w:rFonts w:ascii="宋体" w:hAnsi="宋体" w:cs="宋体" w:eastAsia="宋体" w:hint="default"/>
                <w:sz w:val="21"/>
                <w:szCs w:val="21"/>
              </w:rPr>
            </w:pPr>
            <w:r>
              <w:rPr>
                <w:rFonts w:ascii="宋体" w:hAnsi="宋体" w:cs="宋体" w:eastAsia="宋体" w:hint="default"/>
                <w:sz w:val="21"/>
                <w:szCs w:val="21"/>
              </w:rPr>
              <w:t>北京市朝阳区</w:t>
            </w:r>
            <w:r>
              <w:rPr>
                <w:rFonts w:ascii="宋体" w:hAnsi="宋体" w:cs="宋体" w:eastAsia="宋体" w:hint="default"/>
                <w:w w:val="100"/>
                <w:sz w:val="21"/>
                <w:szCs w:val="21"/>
              </w:rPr>
              <w:t> </w:t>
            </w:r>
            <w:r>
              <w:rPr>
                <w:rFonts w:ascii="宋体" w:hAnsi="宋体" w:cs="宋体" w:eastAsia="宋体" w:hint="default"/>
                <w:sz w:val="21"/>
                <w:szCs w:val="21"/>
              </w:rPr>
              <w:t>将台路乙</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 </w:t>
            </w:r>
            <w:r>
              <w:rPr>
                <w:rFonts w:ascii="宋体" w:hAnsi="宋体" w:cs="宋体" w:eastAsia="宋体" w:hint="default"/>
                <w:sz w:val="21"/>
                <w:szCs w:val="21"/>
              </w:rPr>
              <w:t>号</w:t>
            </w:r>
          </w:p>
          <w:p>
            <w:pPr>
              <w:pStyle w:val="TableParagraph"/>
              <w:spacing w:line="279"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佳丽饭店</w:t>
            </w:r>
            <w:r>
              <w:rPr>
                <w:rFonts w:ascii="宋体" w:hAnsi="宋体" w:cs="宋体" w:eastAsia="宋体" w:hint="default"/>
                <w:spacing w:val="-50"/>
                <w:sz w:val="21"/>
                <w:szCs w:val="21"/>
              </w:rPr>
              <w:t> </w:t>
            </w:r>
            <w:r>
              <w:rPr>
                <w:rFonts w:ascii="Times New Roman" w:hAnsi="Times New Roman" w:cs="Times New Roman" w:eastAsia="Times New Roman" w:hint="default"/>
                <w:spacing w:val="-5"/>
                <w:sz w:val="21"/>
                <w:szCs w:val="21"/>
              </w:rPr>
              <w:t>1116</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w w:val="100"/>
                <w:sz w:val="21"/>
                <w:szCs w:val="21"/>
              </w:rPr>
              <w:t>室</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110105002483632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left="24" w:right="0"/>
              <w:jc w:val="left"/>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6" w:right="0"/>
              <w:jc w:val="left"/>
              <w:rPr>
                <w:rFonts w:ascii="Times New Roman" w:hAnsi="Times New Roman" w:cs="Times New Roman" w:eastAsia="Times New Roman" w:hint="default"/>
                <w:sz w:val="21"/>
                <w:szCs w:val="21"/>
              </w:rPr>
            </w:pPr>
            <w:r>
              <w:rPr>
                <w:rFonts w:ascii="Times New Roman"/>
                <w:sz w:val="21"/>
              </w:rPr>
              <w:t>63302483-8</w:t>
            </w:r>
          </w:p>
        </w:tc>
      </w:tr>
      <w:tr>
        <w:trPr>
          <w:trHeight w:val="1570" w:hRule="exact"/>
        </w:trPr>
        <w:tc>
          <w:tcPr>
            <w:tcW w:w="1547" w:type="dxa"/>
            <w:tcBorders>
              <w:top w:val="single" w:sz="4" w:space="0" w:color="000000"/>
              <w:left w:val="single" w:sz="4" w:space="0" w:color="000000"/>
              <w:bottom w:val="single" w:sz="4" w:space="0" w:color="000000"/>
              <w:right w:val="single" w:sz="4" w:space="0" w:color="000000"/>
            </w:tcBorders>
            <w:shd w:val="clear" w:color="auto" w:fill="BEBEBE"/>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注册地址变更</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02"/>
              <w:jc w:val="both"/>
              <w:rPr>
                <w:rFonts w:ascii="Times New Roman" w:hAnsi="Times New Roman" w:cs="Times New Roman" w:eastAsia="Times New Roman" w:hint="default"/>
                <w:sz w:val="21"/>
                <w:szCs w:val="21"/>
              </w:rPr>
            </w:pPr>
            <w:r>
              <w:rPr>
                <w:rFonts w:ascii="宋体" w:hAnsi="宋体" w:cs="宋体" w:eastAsia="宋体" w:hint="default"/>
                <w:sz w:val="21"/>
                <w:szCs w:val="21"/>
              </w:rPr>
              <w:t>北京市朝阳区</w:t>
            </w:r>
            <w:r>
              <w:rPr>
                <w:rFonts w:ascii="宋体" w:hAnsi="宋体" w:cs="宋体" w:eastAsia="宋体" w:hint="default"/>
                <w:w w:val="100"/>
                <w:sz w:val="21"/>
                <w:szCs w:val="21"/>
              </w:rPr>
              <w:t> </w:t>
            </w:r>
            <w:r>
              <w:rPr>
                <w:rFonts w:ascii="宋体" w:hAnsi="宋体" w:cs="宋体" w:eastAsia="宋体" w:hint="default"/>
                <w:sz w:val="21"/>
                <w:szCs w:val="21"/>
              </w:rPr>
              <w:t>酒仙桥北路甲</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 </w:t>
            </w:r>
            <w:r>
              <w:rPr>
                <w:rFonts w:ascii="宋体" w:hAnsi="宋体" w:cs="宋体" w:eastAsia="宋体" w:hint="default"/>
                <w:sz w:val="21"/>
                <w:szCs w:val="21"/>
              </w:rPr>
              <w:t>号电子城</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IT</w:t>
            </w:r>
            <w:r>
              <w:rPr>
                <w:rFonts w:ascii="Times New Roman" w:hAnsi="Times New Roman" w:cs="Times New Roman" w:eastAsia="Times New Roman" w:hint="default"/>
                <w:sz w:val="21"/>
                <w:szCs w:val="21"/>
              </w:rPr>
            </w:r>
          </w:p>
          <w:p>
            <w:pPr>
              <w:pStyle w:val="TableParagraph"/>
              <w:spacing w:line="279" w:lineRule="exact"/>
              <w:ind w:left="23" w:right="0"/>
              <w:jc w:val="both"/>
              <w:rPr>
                <w:rFonts w:ascii="宋体" w:hAnsi="宋体" w:cs="宋体" w:eastAsia="宋体" w:hint="default"/>
                <w:sz w:val="21"/>
                <w:szCs w:val="21"/>
              </w:rPr>
            </w:pPr>
            <w:r>
              <w:rPr>
                <w:rFonts w:ascii="宋体" w:hAnsi="宋体" w:cs="宋体" w:eastAsia="宋体" w:hint="default"/>
                <w:sz w:val="21"/>
                <w:szCs w:val="21"/>
              </w:rPr>
              <w:t>产业园</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201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号楼</w:t>
            </w:r>
          </w:p>
          <w:p>
            <w:pPr>
              <w:pStyle w:val="TableParagraph"/>
              <w:spacing w:line="240" w:lineRule="auto" w:before="21"/>
              <w:ind w:left="23" w:right="0"/>
              <w:jc w:val="both"/>
              <w:rPr>
                <w:rFonts w:ascii="宋体" w:hAnsi="宋体" w:cs="宋体" w:eastAsia="宋体" w:hint="default"/>
                <w:sz w:val="21"/>
                <w:szCs w:val="21"/>
              </w:rPr>
            </w:pPr>
            <w:r>
              <w:rPr>
                <w:rFonts w:ascii="Times New Roman" w:hAnsi="Times New Roman" w:cs="Times New Roman" w:eastAsia="Times New Roman" w:hint="default"/>
                <w:sz w:val="21"/>
                <w:szCs w:val="21"/>
              </w:rPr>
              <w:t>E</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Times New Roman" w:hAnsi="Times New Roman" w:cs="Times New Roman" w:eastAsia="Times New Roman" w:hint="default"/>
                <w:sz w:val="21"/>
                <w:szCs w:val="21"/>
              </w:rPr>
            </w:pPr>
            <w:r>
              <w:rPr>
                <w:rFonts w:ascii="Times New Roman"/>
                <w:sz w:val="21"/>
              </w:rPr>
              <w:t>110105002483632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京税证字</w:t>
            </w:r>
          </w:p>
          <w:p>
            <w:pPr>
              <w:pStyle w:val="TableParagraph"/>
              <w:spacing w:line="240" w:lineRule="auto" w:before="84"/>
              <w:ind w:left="24" w:right="0"/>
              <w:jc w:val="left"/>
              <w:rPr>
                <w:rFonts w:ascii="Times New Roman" w:hAnsi="Times New Roman" w:cs="Times New Roman" w:eastAsia="Times New Roman" w:hint="default"/>
                <w:sz w:val="21"/>
                <w:szCs w:val="21"/>
              </w:rPr>
            </w:pPr>
            <w:r>
              <w:rPr>
                <w:rFonts w:ascii="Times New Roman"/>
                <w:sz w:val="21"/>
              </w:rPr>
              <w:t>110105633024838</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5"/>
              <w:ind w:left="26" w:right="0"/>
              <w:jc w:val="left"/>
              <w:rPr>
                <w:rFonts w:ascii="Times New Roman" w:hAnsi="Times New Roman" w:cs="Times New Roman" w:eastAsia="Times New Roman" w:hint="default"/>
                <w:sz w:val="21"/>
                <w:szCs w:val="21"/>
              </w:rPr>
            </w:pPr>
            <w:r>
              <w:rPr>
                <w:rFonts w:ascii="Times New Roman"/>
                <w:sz w:val="21"/>
              </w:rPr>
              <w:t>63302483-8</w:t>
            </w:r>
          </w:p>
        </w:tc>
      </w:tr>
    </w:tbl>
    <w:p>
      <w:pPr>
        <w:spacing w:after="0" w:line="240" w:lineRule="auto"/>
        <w:jc w:val="left"/>
        <w:rPr>
          <w:rFonts w:ascii="Times New Roman" w:hAnsi="Times New Roman" w:cs="Times New Roman" w:eastAsia="Times New Roman" w:hint="default"/>
          <w:sz w:val="21"/>
          <w:szCs w:val="21"/>
        </w:rPr>
        <w:sectPr>
          <w:pgSz w:w="11910" w:h="16840"/>
          <w:pgMar w:header="884" w:footer="1007" w:top="1140" w:bottom="1200" w:left="980" w:right="980"/>
        </w:sectPr>
      </w:pPr>
    </w:p>
    <w:p>
      <w:pPr>
        <w:spacing w:line="240" w:lineRule="auto" w:before="0"/>
        <w:rPr>
          <w:rFonts w:ascii="宋体" w:hAnsi="宋体" w:cs="宋体" w:eastAsia="宋体" w:hint="default"/>
          <w:b/>
          <w:bCs/>
          <w:sz w:val="2"/>
          <w:szCs w:val="2"/>
        </w:rPr>
      </w:pPr>
      <w:r>
        <w:rPr/>
        <w:pict>
          <v:shape style="position:absolute;margin-left:186.518402pt;margin-top:390.454987pt;width:93.15pt;height:13.05pt;mso-position-horizontal-relative:page;mso-position-vertical-relative:page;z-index:-918688"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186.740005pt;margin-top:666.940002pt;width:91.95pt;height:15.6pt;mso-position-horizontal-relative:page;mso-position-vertical-relative:page;z-index:-918664"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shape style="position:absolute;margin-left:186.740005pt;margin-top:683.019958pt;width:91.95pt;height:15.6pt;mso-position-horizontal-relative:page;mso-position-vertical-relative:page;z-index:-918640"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193.369995pt;margin-top:395.689972pt;width:86.3pt;height:7.8pt;mso-position-horizontal-relative:page;mso-position-vertical-relative:page;z-index:-918616" coordorigin="3867,7914" coordsize="1726,156">
            <v:shape style="position:absolute;left:3867;top:7914;width:1726;height:156" coordorigin="3867,7914" coordsize="1726,156" path="m3867,8070l5593,8070,5593,7914,3867,7914,3867,8070xe" filled="true" fillcolor="#ffffff" stroked="false">
              <v:path arrowok="t"/>
              <v:fill type="solid"/>
            </v:shape>
            <w10:wrap type="none"/>
          </v:group>
        </w:pict>
      </w:r>
      <w:r>
        <w:rPr/>
        <w:pict>
          <v:group style="position:absolute;margin-left:193.610001pt;margin-top:666.339966pt;width:85.1pt;height:32.9pt;mso-position-horizontal-relative:page;mso-position-vertical-relative:page;z-index:-918592" coordorigin="3872,13327" coordsize="1702,658">
            <v:group style="position:absolute;left:3884;top:13339;width:2;height:312" coordorigin="3884,13339" coordsize="2,312">
              <v:shape style="position:absolute;left:3884;top:13339;width:2;height:312" coordorigin="3884,13339" coordsize="0,312" path="m3884,13339l3884,13651e" filled="false" stroked="true" strokeweight="1.2pt" strokecolor="#ffffff">
                <v:path arrowok="t"/>
              </v:shape>
            </v:group>
            <v:group style="position:absolute;left:3896;top:13339;width:1678;height:312" coordorigin="3896,13339" coordsize="1678,312">
              <v:shape style="position:absolute;left:3896;top:13339;width:1678;height:312" coordorigin="3896,13339" coordsize="1678,312" path="m3896,13651l5574,13651,5574,13339,3896,13339,3896,13651xe" filled="true" fillcolor="#ffffff" stroked="false">
                <v:path arrowok="t"/>
                <v:fill type="solid"/>
              </v:shape>
            </v:group>
            <v:group style="position:absolute;left:3884;top:13660;width:2;height:312" coordorigin="3884,13660" coordsize="2,312">
              <v:shape style="position:absolute;left:3884;top:13660;width:2;height:312" coordorigin="3884,13660" coordsize="0,312" path="m3884,13660l3884,13972e" filled="false" stroked="true" strokeweight="1.2pt" strokecolor="#ffffff">
                <v:path arrowok="t"/>
              </v:shape>
            </v:group>
            <v:group style="position:absolute;left:3896;top:13660;width:1678;height:312" coordorigin="3896,13660" coordsize="1678,312">
              <v:shape style="position:absolute;left:3896;top:13660;width:1678;height:312" coordorigin="3896,13660" coordsize="1678,312" path="m3896,13972l5574,13972,5574,13660,3896,13660,3896,13972xe" filled="true" fillcolor="#ffffff" stroked="false">
                <v:path arrowok="t"/>
                <v:fill type="solid"/>
              </v:shape>
            </v:group>
            <w10:wrap type="none"/>
          </v:group>
        </w:pict>
      </w:r>
    </w:p>
    <w:p>
      <w:pPr>
        <w:spacing w:line="20" w:lineRule="exact"/>
        <w:ind w:left="220" w:right="0" w:firstLine="0"/>
        <w:rPr>
          <w:rFonts w:ascii="宋体" w:hAnsi="宋体" w:cs="宋体" w:eastAsia="宋体" w:hint="default"/>
          <w:sz w:val="2"/>
          <w:szCs w:val="2"/>
        </w:rPr>
      </w:pPr>
      <w:r>
        <w:rPr>
          <w:rFonts w:ascii="宋体" w:hAnsi="宋体" w:cs="宋体" w:eastAsia="宋体" w:hint="default"/>
          <w:sz w:val="2"/>
          <w:szCs w:val="2"/>
        </w:rPr>
        <w:pict>
          <v:group style="width:478.55pt;height:.75pt;mso-position-horizontal-relative:char;mso-position-vertical-relative:line" coordorigin="0,0" coordsize="9571,15">
            <v:group style="position:absolute;left:7;top:7;width:9557;height:2" coordorigin="7,7" coordsize="9557,2">
              <v:shape style="position:absolute;left:7;top:7;width:9557;height:2" coordorigin="7,7" coordsize="9557,0" path="m7,7l9564,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spacing w:before="0"/>
        <w:ind w:left="2676" w:right="1469" w:firstLine="0"/>
        <w:jc w:val="left"/>
        <w:rPr>
          <w:rFonts w:ascii="宋体" w:hAnsi="宋体" w:cs="宋体" w:eastAsia="宋体" w:hint="default"/>
          <w:sz w:val="32"/>
          <w:szCs w:val="32"/>
        </w:rPr>
      </w:pPr>
      <w:bookmarkStart w:name="_bookmark6" w:id="7"/>
      <w:bookmarkEnd w:id="7"/>
      <w:r>
        <w:rPr/>
      </w:r>
      <w:r>
        <w:rPr>
          <w:rFonts w:ascii="宋体" w:hAnsi="宋体" w:cs="宋体" w:eastAsia="宋体" w:hint="default"/>
          <w:b/>
          <w:bCs/>
          <w:sz w:val="32"/>
          <w:szCs w:val="32"/>
        </w:rPr>
        <w:t>第三节</w:t>
      </w:r>
      <w:r>
        <w:rPr>
          <w:rFonts w:ascii="宋体" w:hAnsi="宋体" w:cs="宋体" w:eastAsia="宋体" w:hint="default"/>
          <w:b/>
          <w:bCs/>
          <w:spacing w:val="-5"/>
          <w:sz w:val="32"/>
          <w:szCs w:val="32"/>
        </w:rPr>
        <w:t> </w:t>
      </w:r>
      <w:r>
        <w:rPr>
          <w:rFonts w:ascii="宋体" w:hAnsi="宋体" w:cs="宋体" w:eastAsia="宋体" w:hint="default"/>
          <w:b/>
          <w:bCs/>
          <w:sz w:val="32"/>
          <w:szCs w:val="32"/>
        </w:rPr>
        <w:t>会计数据和财务指标摘要</w:t>
      </w:r>
      <w:r>
        <w:rPr>
          <w:rFonts w:ascii="宋体" w:hAnsi="宋体" w:cs="宋体" w:eastAsia="宋体" w:hint="default"/>
          <w:sz w:val="32"/>
          <w:szCs w:val="32"/>
        </w:rPr>
      </w:r>
    </w:p>
    <w:p>
      <w:pPr>
        <w:spacing w:line="690" w:lineRule="atLeast" w:before="134"/>
        <w:ind w:left="257" w:right="1469" w:firstLine="0"/>
        <w:jc w:val="left"/>
        <w:rPr>
          <w:rFonts w:ascii="宋体" w:hAnsi="宋体" w:cs="宋体" w:eastAsia="宋体" w:hint="default"/>
          <w:sz w:val="24"/>
          <w:szCs w:val="24"/>
        </w:rPr>
      </w:pPr>
      <w:bookmarkStart w:name="_bookmark7" w:id="8"/>
      <w:bookmarkEnd w:id="8"/>
      <w:r>
        <w:rPr/>
      </w:r>
      <w:r>
        <w:rPr>
          <w:rFonts w:ascii="宋体" w:hAnsi="宋体" w:cs="宋体" w:eastAsia="宋体" w:hint="default"/>
          <w:b/>
          <w:bCs/>
          <w:sz w:val="24"/>
          <w:szCs w:val="24"/>
        </w:rPr>
        <w:t>一、主要会计数据和财务指标</w:t>
      </w:r>
      <w:r>
        <w:rPr>
          <w:rFonts w:ascii="宋体" w:hAnsi="宋体" w:cs="宋体" w:eastAsia="宋体" w:hint="default"/>
          <w:b/>
          <w:bCs/>
          <w:w w:val="99"/>
          <w:sz w:val="24"/>
          <w:szCs w:val="24"/>
        </w:rPr>
        <w:t> </w:t>
      </w:r>
      <w:r>
        <w:rPr>
          <w:rFonts w:ascii="宋体" w:hAnsi="宋体" w:cs="宋体" w:eastAsia="宋体" w:hint="default"/>
          <w:sz w:val="24"/>
          <w:szCs w:val="24"/>
        </w:rPr>
        <w:t>公司是否因会计政策变更及会计差错更正等追溯调整或重述以前年度会计数据</w:t>
      </w:r>
    </w:p>
    <w:p>
      <w:pPr>
        <w:tabs>
          <w:tab w:pos="1001" w:val="left" w:leader="none"/>
        </w:tabs>
        <w:spacing w:line="338" w:lineRule="auto" w:before="154"/>
        <w:ind w:left="257" w:right="820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是</w:t>
        <w:tab/>
      </w:r>
      <w:r>
        <w:rPr>
          <w:rFonts w:ascii="Times New Roman" w:hAnsi="Times New Roman" w:cs="Times New Roman" w:eastAsia="Times New Roman" w:hint="default"/>
          <w:sz w:val="24"/>
          <w:szCs w:val="24"/>
        </w:rPr>
        <w:t>√  </w:t>
      </w:r>
      <w:r>
        <w:rPr>
          <w:rFonts w:ascii="宋体" w:hAnsi="宋体" w:cs="宋体" w:eastAsia="宋体" w:hint="default"/>
          <w:sz w:val="24"/>
          <w:szCs w:val="24"/>
        </w:rPr>
        <w:t>否 </w:t>
      </w:r>
      <w:r>
        <w:rPr>
          <w:rFonts w:ascii="宋体" w:hAnsi="宋体" w:cs="宋体" w:eastAsia="宋体" w:hint="default"/>
          <w:b/>
          <w:bCs/>
          <w:sz w:val="24"/>
          <w:szCs w:val="24"/>
        </w:rPr>
        <w:t>主要会计数据</w:t>
      </w:r>
      <w:r>
        <w:rPr>
          <w:rFonts w:ascii="宋体" w:hAnsi="宋体" w:cs="宋体" w:eastAsia="宋体" w:hint="default"/>
          <w:sz w:val="24"/>
          <w:szCs w:val="24"/>
        </w:rPr>
      </w:r>
    </w:p>
    <w:tbl>
      <w:tblPr>
        <w:tblW w:w="0" w:type="auto"/>
        <w:jc w:val="left"/>
        <w:tblInd w:w="223" w:type="dxa"/>
        <w:tblLayout w:type="fixed"/>
        <w:tblCellMar>
          <w:top w:w="0" w:type="dxa"/>
          <w:left w:w="0" w:type="dxa"/>
          <w:bottom w:w="0" w:type="dxa"/>
          <w:right w:w="0" w:type="dxa"/>
        </w:tblCellMar>
        <w:tblLook w:val="01E0"/>
      </w:tblPr>
      <w:tblGrid>
        <w:gridCol w:w="2615"/>
        <w:gridCol w:w="236"/>
        <w:gridCol w:w="1499"/>
        <w:gridCol w:w="2105"/>
        <w:gridCol w:w="1366"/>
        <w:gridCol w:w="1733"/>
      </w:tblGrid>
      <w:tr>
        <w:trPr>
          <w:trHeight w:val="161" w:hRule="exact"/>
        </w:trPr>
        <w:tc>
          <w:tcPr>
            <w:tcW w:w="2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1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396" w:right="44" w:hanging="353"/>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本年比上年增</w:t>
            </w:r>
            <w:r>
              <w:rPr>
                <w:rFonts w:ascii="宋体" w:hAnsi="宋体" w:cs="宋体" w:eastAsia="宋体" w:hint="default"/>
                <w:b/>
                <w:bCs/>
                <w:spacing w:val="-104"/>
                <w:sz w:val="21"/>
                <w:szCs w:val="21"/>
              </w:rPr>
              <w:t> </w:t>
            </w:r>
            <w:r>
              <w:rPr>
                <w:rFonts w:ascii="宋体" w:hAnsi="宋体" w:cs="宋体" w:eastAsia="宋体" w:hint="default"/>
                <w:b/>
                <w:bCs/>
                <w:sz w:val="21"/>
                <w:szCs w:val="21"/>
              </w:rPr>
              <w:t>减</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3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2615" w:type="dxa"/>
            <w:tcBorders>
              <w:top w:val="nil" w:sz="6" w:space="0" w:color="auto"/>
              <w:left w:val="single" w:sz="4" w:space="0" w:color="000000"/>
              <w:bottom w:val="nil" w:sz="6" w:space="0" w:color="auto"/>
              <w:right w:val="single" w:sz="4" w:space="0" w:color="000000"/>
            </w:tcBorders>
            <w:shd w:val="clear" w:color="auto" w:fill="D2D2D2"/>
          </w:tcPr>
          <w:p>
            <w:pPr/>
          </w:p>
        </w:tc>
        <w:tc>
          <w:tcPr>
            <w:tcW w:w="17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518"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1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66" w:type="dxa"/>
            <w:vMerge/>
            <w:tcBorders>
              <w:left w:val="single" w:sz="4" w:space="0" w:color="000000"/>
              <w:right w:val="single" w:sz="4" w:space="0" w:color="000000"/>
            </w:tcBorders>
            <w:shd w:val="clear" w:color="auto" w:fill="D2D2D2"/>
          </w:tcPr>
          <w:p>
            <w:pPr/>
          </w:p>
        </w:tc>
        <w:tc>
          <w:tcPr>
            <w:tcW w:w="17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161" w:hRule="exact"/>
        </w:trPr>
        <w:tc>
          <w:tcPr>
            <w:tcW w:w="2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1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73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2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营业总收入（元）</w:t>
            </w:r>
          </w:p>
        </w:tc>
        <w:tc>
          <w:tcPr>
            <w:tcW w:w="173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191" w:right="0"/>
              <w:jc w:val="left"/>
              <w:rPr>
                <w:rFonts w:ascii="Times New Roman" w:hAnsi="Times New Roman" w:cs="Times New Roman" w:eastAsia="Times New Roman" w:hint="default"/>
                <w:sz w:val="21"/>
                <w:szCs w:val="21"/>
              </w:rPr>
            </w:pPr>
            <w:r>
              <w:rPr>
                <w:rFonts w:ascii="Times New Roman"/>
                <w:sz w:val="21"/>
              </w:rPr>
              <w:t>264,028,848.67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293,109,270.08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-9.92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202,537,982.90</w:t>
            </w:r>
          </w:p>
        </w:tc>
      </w:tr>
      <w:tr>
        <w:trPr>
          <w:trHeight w:val="322" w:hRule="exact"/>
        </w:trPr>
        <w:tc>
          <w:tcPr>
            <w:tcW w:w="2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营业成本（元）</w:t>
            </w:r>
          </w:p>
        </w:tc>
        <w:tc>
          <w:tcPr>
            <w:tcW w:w="173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251" w:right="0"/>
              <w:jc w:val="left"/>
              <w:rPr>
                <w:rFonts w:ascii="Times New Roman" w:hAnsi="Times New Roman" w:cs="Times New Roman" w:eastAsia="Times New Roman" w:hint="default"/>
                <w:sz w:val="21"/>
                <w:szCs w:val="21"/>
              </w:rPr>
            </w:pPr>
            <w:r>
              <w:rPr>
                <w:rFonts w:ascii="Times New Roman"/>
                <w:sz w:val="21"/>
              </w:rPr>
              <w:t>97,211,711.90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78,394,991.50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9" w:right="0"/>
              <w:jc w:val="left"/>
              <w:rPr>
                <w:rFonts w:ascii="Times New Roman" w:hAnsi="Times New Roman" w:cs="Times New Roman" w:eastAsia="Times New Roman" w:hint="default"/>
                <w:sz w:val="21"/>
                <w:szCs w:val="21"/>
              </w:rPr>
            </w:pPr>
            <w:r>
              <w:rPr>
                <w:rFonts w:ascii="Times New Roman"/>
                <w:sz w:val="21"/>
              </w:rPr>
              <w:t>64,205,977.99</w:t>
            </w:r>
          </w:p>
        </w:tc>
      </w:tr>
      <w:tr>
        <w:trPr>
          <w:trHeight w:val="322" w:hRule="exact"/>
        </w:trPr>
        <w:tc>
          <w:tcPr>
            <w:tcW w:w="2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营业利润（元）</w:t>
            </w:r>
          </w:p>
        </w:tc>
        <w:tc>
          <w:tcPr>
            <w:tcW w:w="173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211" w:right="0"/>
              <w:jc w:val="left"/>
              <w:rPr>
                <w:rFonts w:ascii="Times New Roman" w:hAnsi="Times New Roman" w:cs="Times New Roman" w:eastAsia="Times New Roman" w:hint="default"/>
                <w:sz w:val="21"/>
                <w:szCs w:val="21"/>
              </w:rPr>
            </w:pPr>
            <w:r>
              <w:rPr>
                <w:rFonts w:ascii="Times New Roman"/>
                <w:sz w:val="21"/>
              </w:rPr>
              <w:t>-12,797,506.36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40,685,627.73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52" w:right="0"/>
              <w:jc w:val="left"/>
              <w:rPr>
                <w:rFonts w:ascii="Times New Roman" w:hAnsi="Times New Roman" w:cs="Times New Roman" w:eastAsia="Times New Roman" w:hint="default"/>
                <w:sz w:val="21"/>
                <w:szCs w:val="21"/>
              </w:rPr>
            </w:pPr>
            <w:r>
              <w:rPr>
                <w:rFonts w:ascii="Times New Roman"/>
                <w:sz w:val="21"/>
              </w:rPr>
              <w:t>-131.45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2"/>
                <w:sz w:val="21"/>
              </w:rPr>
              <w:t>28,115,893.60</w:t>
            </w:r>
          </w:p>
        </w:tc>
      </w:tr>
      <w:tr>
        <w:trPr>
          <w:trHeight w:val="324" w:hRule="exact"/>
        </w:trPr>
        <w:tc>
          <w:tcPr>
            <w:tcW w:w="2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利润总额（元）</w:t>
            </w:r>
          </w:p>
        </w:tc>
        <w:tc>
          <w:tcPr>
            <w:tcW w:w="173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left="297" w:right="0"/>
              <w:jc w:val="left"/>
              <w:rPr>
                <w:rFonts w:ascii="Times New Roman" w:hAnsi="Times New Roman" w:cs="Times New Roman" w:eastAsia="Times New Roman" w:hint="default"/>
                <w:sz w:val="21"/>
                <w:szCs w:val="21"/>
              </w:rPr>
            </w:pPr>
            <w:r>
              <w:rPr>
                <w:rFonts w:ascii="Times New Roman"/>
                <w:sz w:val="21"/>
              </w:rPr>
              <w:t>4,419,618.47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53,895,296.27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05" w:right="0"/>
              <w:jc w:val="left"/>
              <w:rPr>
                <w:rFonts w:ascii="Times New Roman" w:hAnsi="Times New Roman" w:cs="Times New Roman" w:eastAsia="Times New Roman" w:hint="default"/>
                <w:sz w:val="21"/>
                <w:szCs w:val="21"/>
              </w:rPr>
            </w:pPr>
            <w:r>
              <w:rPr>
                <w:rFonts w:ascii="Times New Roman"/>
                <w:sz w:val="21"/>
              </w:rPr>
              <w:t>-91.80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48,557,693.89</w:t>
            </w:r>
          </w:p>
        </w:tc>
      </w:tr>
      <w:tr>
        <w:trPr>
          <w:trHeight w:val="634" w:hRule="exact"/>
        </w:trPr>
        <w:tc>
          <w:tcPr>
            <w:tcW w:w="2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55"/>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归属于上市公司股东的净利</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润（元）</w:t>
            </w:r>
          </w:p>
        </w:tc>
        <w:tc>
          <w:tcPr>
            <w:tcW w:w="173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97" w:right="0"/>
              <w:jc w:val="left"/>
              <w:rPr>
                <w:rFonts w:ascii="Times New Roman" w:hAnsi="Times New Roman" w:cs="Times New Roman" w:eastAsia="Times New Roman" w:hint="default"/>
                <w:sz w:val="21"/>
                <w:szCs w:val="21"/>
              </w:rPr>
            </w:pPr>
            <w:r>
              <w:rPr>
                <w:rFonts w:ascii="Times New Roman"/>
                <w:sz w:val="21"/>
              </w:rPr>
              <w:t>5,371,349.59</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46,761,088.46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-88.51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45,074,544.68</w:t>
            </w:r>
          </w:p>
        </w:tc>
      </w:tr>
      <w:tr>
        <w:trPr>
          <w:trHeight w:val="634" w:hRule="exact"/>
        </w:trPr>
        <w:tc>
          <w:tcPr>
            <w:tcW w:w="2615" w:type="dxa"/>
            <w:tcBorders>
              <w:top w:val="single" w:sz="4" w:space="0" w:color="000000"/>
              <w:left w:val="single" w:sz="4" w:space="0" w:color="000000"/>
              <w:bottom w:val="single" w:sz="4" w:space="0" w:color="000000"/>
              <w:right w:val="single" w:sz="12" w:space="0" w:color="FFFFFF"/>
            </w:tcBorders>
            <w:shd w:val="clear" w:color="auto" w:fill="D2D2D2"/>
          </w:tcPr>
          <w:p>
            <w:pPr>
              <w:pStyle w:val="TableParagraph"/>
              <w:spacing w:line="273" w:lineRule="auto"/>
              <w:ind w:left="24" w:right="44"/>
              <w:jc w:val="left"/>
              <w:rPr>
                <w:rFonts w:ascii="宋体" w:hAnsi="宋体" w:cs="宋体" w:eastAsia="宋体" w:hint="default"/>
                <w:sz w:val="21"/>
                <w:szCs w:val="21"/>
              </w:rPr>
            </w:pPr>
            <w:r>
              <w:rPr>
                <w:rFonts w:ascii="宋体" w:hAnsi="宋体" w:cs="宋体" w:eastAsia="宋体" w:hint="default"/>
                <w:sz w:val="21"/>
                <w:szCs w:val="21"/>
              </w:rPr>
              <w:t>归属于上市公司股东的扣除</w:t>
            </w:r>
            <w:r>
              <w:rPr>
                <w:rFonts w:ascii="宋体" w:hAnsi="宋体" w:cs="宋体" w:eastAsia="宋体" w:hint="default"/>
                <w:w w:val="100"/>
                <w:sz w:val="21"/>
                <w:szCs w:val="21"/>
              </w:rPr>
              <w:t> </w:t>
            </w:r>
            <w:r>
              <w:rPr>
                <w:rFonts w:ascii="宋体" w:hAnsi="宋体" w:cs="宋体" w:eastAsia="宋体" w:hint="default"/>
                <w:spacing w:val="-7"/>
                <w:sz w:val="21"/>
                <w:szCs w:val="21"/>
              </w:rPr>
              <w:t>非经常性损益的净利润（元</w:t>
            </w:r>
          </w:p>
        </w:tc>
        <w:tc>
          <w:tcPr>
            <w:tcW w:w="236" w:type="dxa"/>
            <w:tcBorders>
              <w:top w:val="single" w:sz="4" w:space="0" w:color="000000"/>
              <w:left w:val="single" w:sz="10" w:space="0" w:color="D2D2D2"/>
              <w:bottom w:val="single" w:sz="4" w:space="0" w:color="000000"/>
              <w:right w:val="nil" w:sz="6" w:space="0" w:color="auto"/>
            </w:tcBorders>
          </w:tcPr>
          <w:p>
            <w:pPr/>
          </w:p>
        </w:tc>
        <w:tc>
          <w:tcPr>
            <w:tcW w:w="14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57" w:right="0"/>
              <w:jc w:val="left"/>
              <w:rPr>
                <w:rFonts w:ascii="Times New Roman" w:hAnsi="Times New Roman" w:cs="Times New Roman" w:eastAsia="Times New Roman" w:hint="default"/>
                <w:sz w:val="21"/>
                <w:szCs w:val="21"/>
              </w:rPr>
            </w:pPr>
            <w:r>
              <w:rPr>
                <w:rFonts w:ascii="Times New Roman"/>
                <w:sz w:val="21"/>
              </w:rPr>
              <w:t>219,788.56</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43,200,646.58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405" w:right="0"/>
              <w:jc w:val="left"/>
              <w:rPr>
                <w:rFonts w:ascii="Times New Roman" w:hAnsi="Times New Roman" w:cs="Times New Roman" w:eastAsia="Times New Roman" w:hint="default"/>
                <w:sz w:val="21"/>
                <w:szCs w:val="21"/>
              </w:rPr>
            </w:pPr>
            <w:r>
              <w:rPr>
                <w:rFonts w:ascii="Times New Roman"/>
                <w:sz w:val="21"/>
              </w:rPr>
              <w:t>-99.49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35,476,651.62</w:t>
            </w:r>
          </w:p>
        </w:tc>
      </w:tr>
      <w:tr>
        <w:trPr>
          <w:trHeight w:val="634" w:hRule="exact"/>
        </w:trPr>
        <w:tc>
          <w:tcPr>
            <w:tcW w:w="2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55"/>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额（元）</w:t>
            </w:r>
          </w:p>
        </w:tc>
        <w:tc>
          <w:tcPr>
            <w:tcW w:w="173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44" w:right="0"/>
              <w:jc w:val="left"/>
              <w:rPr>
                <w:rFonts w:ascii="Times New Roman" w:hAnsi="Times New Roman" w:cs="Times New Roman" w:eastAsia="Times New Roman" w:hint="default"/>
                <w:sz w:val="21"/>
                <w:szCs w:val="21"/>
              </w:rPr>
            </w:pPr>
            <w:r>
              <w:rPr>
                <w:rFonts w:ascii="Times New Roman"/>
                <w:sz w:val="21"/>
              </w:rPr>
              <w:t>41,176,934.41</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842,753.72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336" w:right="0"/>
              <w:jc w:val="left"/>
              <w:rPr>
                <w:rFonts w:ascii="Times New Roman" w:hAnsi="Times New Roman" w:cs="Times New Roman" w:eastAsia="Times New Roman" w:hint="default"/>
                <w:sz w:val="21"/>
                <w:szCs w:val="21"/>
              </w:rPr>
            </w:pPr>
            <w:r>
              <w:rPr>
                <w:rFonts w:ascii="Times New Roman"/>
                <w:sz w:val="21"/>
              </w:rPr>
              <w:t>4786.00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26,975,393.38</w:t>
            </w:r>
          </w:p>
        </w:tc>
      </w:tr>
      <w:tr>
        <w:trPr>
          <w:trHeight w:val="161" w:hRule="exact"/>
        </w:trPr>
        <w:tc>
          <w:tcPr>
            <w:tcW w:w="2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1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184" w:right="44" w:hanging="142"/>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本年末比上年</w:t>
            </w:r>
            <w:r>
              <w:rPr>
                <w:rFonts w:ascii="宋体" w:hAnsi="宋体" w:cs="宋体" w:eastAsia="宋体" w:hint="default"/>
                <w:b/>
                <w:bCs/>
                <w:spacing w:val="-104"/>
                <w:sz w:val="21"/>
                <w:szCs w:val="21"/>
              </w:rPr>
              <w:t> </w:t>
            </w:r>
            <w:r>
              <w:rPr>
                <w:rFonts w:ascii="宋体" w:hAnsi="宋体" w:cs="宋体" w:eastAsia="宋体" w:hint="default"/>
                <w:b/>
                <w:bCs/>
                <w:sz w:val="21"/>
                <w:szCs w:val="21"/>
              </w:rPr>
              <w:t>末增减</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3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2615" w:type="dxa"/>
            <w:tcBorders>
              <w:top w:val="nil" w:sz="6" w:space="0" w:color="auto"/>
              <w:left w:val="single" w:sz="4" w:space="0" w:color="000000"/>
              <w:bottom w:val="nil" w:sz="6" w:space="0" w:color="auto"/>
              <w:right w:val="single" w:sz="4" w:space="0" w:color="000000"/>
            </w:tcBorders>
            <w:shd w:val="clear" w:color="auto" w:fill="D2D2D2"/>
          </w:tcPr>
          <w:p>
            <w:pPr/>
          </w:p>
        </w:tc>
        <w:tc>
          <w:tcPr>
            <w:tcW w:w="17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412"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 </w:t>
            </w:r>
            <w:r>
              <w:rPr>
                <w:rFonts w:ascii="宋体" w:hAnsi="宋体" w:cs="宋体" w:eastAsia="宋体" w:hint="default"/>
                <w:b/>
                <w:bCs/>
                <w:sz w:val="21"/>
                <w:szCs w:val="21"/>
              </w:rPr>
              <w:t>年末</w:t>
            </w:r>
            <w:r>
              <w:rPr>
                <w:rFonts w:ascii="宋体" w:hAnsi="宋体" w:cs="宋体" w:eastAsia="宋体" w:hint="default"/>
                <w:sz w:val="21"/>
                <w:szCs w:val="21"/>
              </w:rPr>
            </w:r>
          </w:p>
        </w:tc>
        <w:tc>
          <w:tcPr>
            <w:tcW w:w="21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4"/>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366" w:type="dxa"/>
            <w:vMerge/>
            <w:tcBorders>
              <w:left w:val="single" w:sz="4" w:space="0" w:color="000000"/>
              <w:right w:val="single" w:sz="4" w:space="0" w:color="000000"/>
            </w:tcBorders>
            <w:shd w:val="clear" w:color="auto" w:fill="D2D2D2"/>
          </w:tcPr>
          <w:p>
            <w:pPr/>
          </w:p>
        </w:tc>
        <w:tc>
          <w:tcPr>
            <w:tcW w:w="17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415"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161" w:hRule="exact"/>
        </w:trPr>
        <w:tc>
          <w:tcPr>
            <w:tcW w:w="2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21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73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2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资产总额（元）</w:t>
            </w:r>
          </w:p>
        </w:tc>
        <w:tc>
          <w:tcPr>
            <w:tcW w:w="173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191" w:right="0"/>
              <w:jc w:val="left"/>
              <w:rPr>
                <w:rFonts w:ascii="Times New Roman" w:hAnsi="Times New Roman" w:cs="Times New Roman" w:eastAsia="Times New Roman" w:hint="default"/>
                <w:sz w:val="21"/>
                <w:szCs w:val="21"/>
              </w:rPr>
            </w:pPr>
            <w:r>
              <w:rPr>
                <w:rFonts w:ascii="Times New Roman"/>
                <w:sz w:val="21"/>
              </w:rPr>
              <w:t>751,491,654.17</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724,800,295.50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3.68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642,169,596.43</w:t>
            </w:r>
          </w:p>
        </w:tc>
      </w:tr>
      <w:tr>
        <w:trPr>
          <w:trHeight w:val="324" w:hRule="exact"/>
        </w:trPr>
        <w:tc>
          <w:tcPr>
            <w:tcW w:w="2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负债总额（元）</w:t>
            </w:r>
          </w:p>
        </w:tc>
        <w:tc>
          <w:tcPr>
            <w:tcW w:w="173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left="191" w:right="0"/>
              <w:jc w:val="left"/>
              <w:rPr>
                <w:rFonts w:ascii="Times New Roman" w:hAnsi="Times New Roman" w:cs="Times New Roman" w:eastAsia="Times New Roman" w:hint="default"/>
                <w:sz w:val="21"/>
                <w:szCs w:val="21"/>
              </w:rPr>
            </w:pPr>
            <w:r>
              <w:rPr>
                <w:rFonts w:ascii="Times New Roman"/>
                <w:sz w:val="21"/>
              </w:rPr>
              <w:t>169,984,999.68</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157,554,449.58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sz w:val="21"/>
              </w:rPr>
              <w:t>7.89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pacing w:val="-1"/>
                <w:sz w:val="21"/>
              </w:rPr>
              <w:t>110,389,109.28</w:t>
            </w:r>
          </w:p>
        </w:tc>
      </w:tr>
      <w:tr>
        <w:trPr>
          <w:trHeight w:val="634" w:hRule="exact"/>
        </w:trPr>
        <w:tc>
          <w:tcPr>
            <w:tcW w:w="2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56"/>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归属于上市公司股东的所有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者权益（元）</w:t>
            </w:r>
          </w:p>
        </w:tc>
        <w:tc>
          <w:tcPr>
            <w:tcW w:w="173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91" w:right="0"/>
              <w:jc w:val="left"/>
              <w:rPr>
                <w:rFonts w:ascii="Times New Roman" w:hAnsi="Times New Roman" w:cs="Times New Roman" w:eastAsia="Times New Roman" w:hint="default"/>
                <w:sz w:val="21"/>
                <w:szCs w:val="21"/>
              </w:rPr>
            </w:pPr>
            <w:r>
              <w:rPr>
                <w:rFonts w:ascii="Times New Roman"/>
                <w:sz w:val="21"/>
              </w:rPr>
              <w:t>562,170,379.54</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546,527,702.70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2.86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546,527,702.70</w:t>
            </w:r>
          </w:p>
        </w:tc>
      </w:tr>
      <w:tr>
        <w:trPr>
          <w:trHeight w:val="322" w:hRule="exact"/>
        </w:trPr>
        <w:tc>
          <w:tcPr>
            <w:tcW w:w="2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期末总股本（股）</w:t>
            </w:r>
          </w:p>
        </w:tc>
        <w:tc>
          <w:tcPr>
            <w:tcW w:w="173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323" w:right="0"/>
              <w:jc w:val="left"/>
              <w:rPr>
                <w:rFonts w:ascii="Times New Roman" w:hAnsi="Times New Roman" w:cs="Times New Roman" w:eastAsia="Times New Roman" w:hint="default"/>
                <w:sz w:val="21"/>
                <w:szCs w:val="21"/>
              </w:rPr>
            </w:pPr>
            <w:r>
              <w:rPr>
                <w:rFonts w:ascii="Times New Roman"/>
                <w:sz w:val="21"/>
              </w:rPr>
              <w:t>120,000,000</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0.00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75,000,000.00</w:t>
            </w:r>
          </w:p>
        </w:tc>
      </w:tr>
    </w:tbl>
    <w:p>
      <w:pPr>
        <w:pStyle w:val="Heading4"/>
        <w:spacing w:line="240" w:lineRule="auto" w:before="55"/>
        <w:ind w:left="257" w:right="1469"/>
        <w:jc w:val="left"/>
        <w:rPr>
          <w:b w:val="0"/>
          <w:bCs w:val="0"/>
        </w:rPr>
      </w:pPr>
      <w:r>
        <w:rPr/>
        <w:t>主要财务指标</w:t>
      </w:r>
      <w:r>
        <w:rPr>
          <w:b w:val="0"/>
          <w:bCs w:val="0"/>
        </w:rPr>
      </w:r>
    </w:p>
    <w:p>
      <w:pPr>
        <w:spacing w:line="240" w:lineRule="auto" w:before="10"/>
        <w:rPr>
          <w:rFonts w:ascii="宋体" w:hAnsi="宋体" w:cs="宋体" w:eastAsia="宋体" w:hint="default"/>
          <w:b/>
          <w:bCs/>
          <w:sz w:val="8"/>
          <w:szCs w:val="8"/>
        </w:rPr>
      </w:pPr>
    </w:p>
    <w:tbl>
      <w:tblPr>
        <w:tblW w:w="0" w:type="auto"/>
        <w:jc w:val="left"/>
        <w:tblInd w:w="235" w:type="dxa"/>
        <w:tblLayout w:type="fixed"/>
        <w:tblCellMar>
          <w:top w:w="0" w:type="dxa"/>
          <w:left w:w="0" w:type="dxa"/>
          <w:bottom w:w="0" w:type="dxa"/>
          <w:right w:w="0" w:type="dxa"/>
        </w:tblCellMar>
        <w:tblLook w:val="01E0"/>
      </w:tblPr>
      <w:tblGrid>
        <w:gridCol w:w="2598"/>
        <w:gridCol w:w="391"/>
        <w:gridCol w:w="1356"/>
        <w:gridCol w:w="1956"/>
        <w:gridCol w:w="1508"/>
        <w:gridCol w:w="1733"/>
      </w:tblGrid>
      <w:tr>
        <w:trPr>
          <w:trHeight w:val="161" w:hRule="exact"/>
        </w:trPr>
        <w:tc>
          <w:tcPr>
            <w:tcW w:w="2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467" w:right="111" w:hanging="351"/>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本年比上年增</w:t>
            </w:r>
            <w:r>
              <w:rPr>
                <w:rFonts w:ascii="宋体" w:hAnsi="宋体" w:cs="宋体" w:eastAsia="宋体" w:hint="default"/>
                <w:b/>
                <w:bCs/>
                <w:spacing w:val="-104"/>
                <w:sz w:val="21"/>
                <w:szCs w:val="21"/>
              </w:rPr>
              <w:t> </w:t>
            </w:r>
            <w:r>
              <w:rPr>
                <w:rFonts w:ascii="宋体" w:hAnsi="宋体" w:cs="宋体" w:eastAsia="宋体" w:hint="default"/>
                <w:b/>
                <w:bCs/>
                <w:sz w:val="21"/>
                <w:szCs w:val="21"/>
              </w:rPr>
              <w:t>减</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73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2598" w:type="dxa"/>
            <w:tcBorders>
              <w:top w:val="nil" w:sz="6" w:space="0" w:color="auto"/>
              <w:left w:val="single" w:sz="4" w:space="0" w:color="000000"/>
              <w:bottom w:val="nil" w:sz="6" w:space="0" w:color="auto"/>
              <w:right w:val="single" w:sz="4" w:space="0" w:color="000000"/>
            </w:tcBorders>
            <w:shd w:val="clear" w:color="auto" w:fill="D2D2D2"/>
          </w:tcPr>
          <w:p>
            <w:pPr/>
          </w:p>
        </w:tc>
        <w:tc>
          <w:tcPr>
            <w:tcW w:w="1747"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53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08" w:type="dxa"/>
            <w:vMerge/>
            <w:tcBorders>
              <w:left w:val="single" w:sz="4" w:space="0" w:color="000000"/>
              <w:right w:val="single" w:sz="4" w:space="0" w:color="000000"/>
            </w:tcBorders>
            <w:shd w:val="clear" w:color="auto" w:fill="D2D2D2"/>
          </w:tcPr>
          <w:p>
            <w:pPr/>
          </w:p>
        </w:tc>
        <w:tc>
          <w:tcPr>
            <w:tcW w:w="17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161" w:hRule="exact"/>
        </w:trPr>
        <w:tc>
          <w:tcPr>
            <w:tcW w:w="2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8" w:type="dxa"/>
            <w:vMerge/>
            <w:tcBorders>
              <w:left w:val="single" w:sz="4" w:space="0" w:color="000000"/>
              <w:bottom w:val="single" w:sz="4" w:space="0" w:color="000000"/>
              <w:right w:val="single" w:sz="4" w:space="0" w:color="000000"/>
            </w:tcBorders>
            <w:shd w:val="clear" w:color="auto" w:fill="D2D2D2"/>
          </w:tcPr>
          <w:p>
            <w:pPr/>
          </w:p>
        </w:tc>
        <w:tc>
          <w:tcPr>
            <w:tcW w:w="173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4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0.045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0.390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-88.46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0.376</w:t>
            </w:r>
          </w:p>
        </w:tc>
      </w:tr>
      <w:tr>
        <w:trPr>
          <w:trHeight w:val="32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4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0.045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0.390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-88.46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0.376</w:t>
            </w:r>
          </w:p>
        </w:tc>
      </w:tr>
      <w:tr>
        <w:trPr>
          <w:trHeight w:val="63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5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扣除非经常性损益后的基本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4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0.002</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0.360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-99.44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0.296</w:t>
            </w:r>
          </w:p>
        </w:tc>
      </w:tr>
      <w:tr>
        <w:trPr>
          <w:trHeight w:val="32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全面摊薄净资产收益率（</w:t>
            </w:r>
            <w:r>
              <w:rPr>
                <w:rFonts w:ascii="Times New Roman" w:hAnsi="Times New Roman" w:cs="Times New Roman" w:eastAsia="Times New Roman" w:hint="default"/>
                <w:spacing w:val="-4"/>
                <w:sz w:val="21"/>
                <w:szCs w:val="21"/>
              </w:rPr>
              <w:t>%</w:t>
            </w:r>
          </w:p>
        </w:tc>
        <w:tc>
          <w:tcPr>
            <w:tcW w:w="391" w:type="dxa"/>
            <w:tcBorders>
              <w:top w:val="single" w:sz="4" w:space="0" w:color="000000"/>
              <w:left w:val="single" w:sz="13" w:space="0" w:color="D2D2D2"/>
              <w:bottom w:val="single" w:sz="4" w:space="0" w:color="000000"/>
              <w:right w:val="nil" w:sz="6" w:space="0" w:color="auto"/>
            </w:tcBorders>
          </w:tcPr>
          <w:p>
            <w:pPr/>
          </w:p>
        </w:tc>
        <w:tc>
          <w:tcPr>
            <w:tcW w:w="13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Times New Roman" w:hAnsi="Times New Roman" w:cs="Times New Roman" w:eastAsia="Times New Roman" w:hint="default"/>
                <w:sz w:val="21"/>
                <w:szCs w:val="21"/>
              </w:rPr>
            </w:pPr>
            <w:r>
              <w:rPr>
                <w:rFonts w:ascii="Times New Roman"/>
                <w:sz w:val="21"/>
              </w:rPr>
              <w:t>0.96</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8.56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-7.60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8.81</w:t>
            </w:r>
          </w:p>
        </w:tc>
      </w:tr>
      <w:tr>
        <w:trPr>
          <w:trHeight w:val="32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加权平均净资产收益率（</w:t>
            </w:r>
            <w:r>
              <w:rPr>
                <w:rFonts w:ascii="Times New Roman" w:hAnsi="Times New Roman" w:cs="Times New Roman" w:eastAsia="Times New Roman" w:hint="default"/>
                <w:spacing w:val="-4"/>
                <w:sz w:val="21"/>
                <w:szCs w:val="21"/>
              </w:rPr>
              <w:t>%</w:t>
            </w:r>
          </w:p>
        </w:tc>
        <w:tc>
          <w:tcPr>
            <w:tcW w:w="391" w:type="dxa"/>
            <w:tcBorders>
              <w:top w:val="single" w:sz="4" w:space="0" w:color="000000"/>
              <w:left w:val="single" w:sz="13" w:space="0" w:color="D2D2D2"/>
              <w:bottom w:val="single" w:sz="4" w:space="0" w:color="000000"/>
              <w:right w:val="nil" w:sz="6" w:space="0" w:color="auto"/>
            </w:tcBorders>
          </w:tcPr>
          <w:p>
            <w:pPr/>
          </w:p>
        </w:tc>
        <w:tc>
          <w:tcPr>
            <w:tcW w:w="13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4"/>
              <w:ind w:left="302" w:right="0"/>
              <w:jc w:val="left"/>
              <w:rPr>
                <w:rFonts w:ascii="Times New Roman" w:hAnsi="Times New Roman" w:cs="Times New Roman" w:eastAsia="Times New Roman" w:hint="default"/>
                <w:sz w:val="21"/>
                <w:szCs w:val="21"/>
              </w:rPr>
            </w:pPr>
            <w:r>
              <w:rPr>
                <w:rFonts w:ascii="Times New Roman"/>
                <w:sz w:val="21"/>
              </w:rPr>
              <w:t>0.98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8.89</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-7.91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9.09</w:t>
            </w:r>
          </w:p>
        </w:tc>
      </w:tr>
      <w:tr>
        <w:trPr>
          <w:trHeight w:val="63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5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扣除非经常性损益后全面摊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薄净资产收益率（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4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0.04</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7.90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-7.86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63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50"/>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扣除非经常性损益后的加权</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47"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0.04</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8.17</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-8.13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6.95</w:t>
            </w:r>
          </w:p>
        </w:tc>
      </w:tr>
    </w:tbl>
    <w:p>
      <w:pPr>
        <w:spacing w:after="0" w:line="240" w:lineRule="auto"/>
        <w:jc w:val="center"/>
        <w:rPr>
          <w:rFonts w:ascii="Times New Roman" w:hAnsi="Times New Roman" w:cs="Times New Roman" w:eastAsia="Times New Roman" w:hint="default"/>
          <w:sz w:val="21"/>
          <w:szCs w:val="21"/>
        </w:rPr>
        <w:sectPr>
          <w:pgSz w:w="11910" w:h="16840"/>
          <w:pgMar w:header="884" w:footer="1007" w:top="1100" w:bottom="1200" w:left="1020" w:right="980"/>
        </w:sectPr>
      </w:pPr>
    </w:p>
    <w:p>
      <w:pPr>
        <w:spacing w:line="240" w:lineRule="auto" w:before="8"/>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2622"/>
        <w:gridCol w:w="1735"/>
        <w:gridCol w:w="1956"/>
        <w:gridCol w:w="1508"/>
        <w:gridCol w:w="1733"/>
      </w:tblGrid>
      <w:tr>
        <w:trPr>
          <w:trHeight w:val="63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62"/>
              <w:jc w:val="left"/>
              <w:rPr>
                <w:rFonts w:ascii="宋体" w:hAnsi="宋体" w:cs="宋体" w:eastAsia="宋体" w:hint="default"/>
                <w:sz w:val="21"/>
                <w:szCs w:val="21"/>
              </w:rPr>
            </w:pPr>
            <w:r>
              <w:rPr>
                <w:rFonts w:ascii="宋体" w:hAnsi="宋体" w:cs="宋体" w:eastAsia="宋体" w:hint="default"/>
                <w:spacing w:val="-2"/>
                <w:sz w:val="21"/>
                <w:szCs w:val="21"/>
              </w:rPr>
              <w:t>每股经营活动产生的现金流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12"/>
              <w:jc w:val="center"/>
              <w:rPr>
                <w:rFonts w:ascii="Times New Roman" w:hAnsi="Times New Roman" w:cs="Times New Roman" w:eastAsia="Times New Roman" w:hint="default"/>
                <w:sz w:val="21"/>
                <w:szCs w:val="21"/>
              </w:rPr>
            </w:pPr>
            <w:r>
              <w:rPr>
                <w:rFonts w:ascii="Times New Roman"/>
                <w:sz w:val="21"/>
              </w:rPr>
              <w:t>0.343</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0.007</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07" w:right="0"/>
              <w:jc w:val="left"/>
              <w:rPr>
                <w:rFonts w:ascii="Times New Roman" w:hAnsi="Times New Roman" w:cs="Times New Roman" w:eastAsia="Times New Roman" w:hint="default"/>
                <w:sz w:val="21"/>
                <w:szCs w:val="21"/>
              </w:rPr>
            </w:pPr>
            <w:r>
              <w:rPr>
                <w:rFonts w:ascii="Times New Roman"/>
                <w:sz w:val="21"/>
              </w:rPr>
              <w:t>4801.43</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0.3597</w:t>
            </w:r>
          </w:p>
        </w:tc>
      </w:tr>
      <w:tr>
        <w:trPr>
          <w:trHeight w:val="161" w:hRule="exact"/>
        </w:trPr>
        <w:tc>
          <w:tcPr>
            <w:tcW w:w="26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75" w:right="113" w:hanging="156"/>
              <w:jc w:val="left"/>
              <w:rPr>
                <w:rFonts w:ascii="Times New Roman" w:hAnsi="Times New Roman" w:cs="Times New Roman" w:eastAsia="Times New Roman" w:hint="default"/>
                <w:sz w:val="21"/>
                <w:szCs w:val="21"/>
              </w:rPr>
            </w:pPr>
            <w:r>
              <w:rPr>
                <w:rFonts w:ascii="宋体" w:hAnsi="宋体" w:cs="宋体" w:eastAsia="宋体" w:hint="default"/>
                <w:sz w:val="21"/>
                <w:szCs w:val="21"/>
              </w:rPr>
              <w:t>本年末比上年</w:t>
            </w:r>
            <w:r>
              <w:rPr>
                <w:rFonts w:ascii="宋体" w:hAnsi="宋体" w:cs="宋体" w:eastAsia="宋体" w:hint="default"/>
                <w:w w:val="100"/>
                <w:sz w:val="21"/>
                <w:szCs w:val="21"/>
              </w:rPr>
              <w:t> </w:t>
            </w:r>
            <w:r>
              <w:rPr>
                <w:rFonts w:ascii="宋体" w:hAnsi="宋体" w:cs="宋体" w:eastAsia="宋体" w:hint="default"/>
                <w:sz w:val="21"/>
                <w:szCs w:val="21"/>
              </w:rPr>
              <w:t>末增减</w:t>
            </w:r>
            <w:r>
              <w:rPr>
                <w:rFonts w:ascii="Times New Roman" w:hAnsi="Times New Roman" w:cs="Times New Roman" w:eastAsia="Times New Roman" w:hint="default"/>
                <w:sz w:val="21"/>
                <w:szCs w:val="21"/>
              </w:rPr>
              <w:t>(%)</w:t>
            </w:r>
          </w:p>
        </w:tc>
        <w:tc>
          <w:tcPr>
            <w:tcW w:w="173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2622" w:type="dxa"/>
            <w:tcBorders>
              <w:top w:val="nil" w:sz="6" w:space="0" w:color="auto"/>
              <w:left w:val="single" w:sz="4" w:space="0" w:color="000000"/>
              <w:bottom w:val="nil" w:sz="6" w:space="0" w:color="auto"/>
              <w:right w:val="single" w:sz="4" w:space="0" w:color="000000"/>
            </w:tcBorders>
            <w:shd w:val="clear" w:color="auto" w:fill="D2D2D2"/>
          </w:tcPr>
          <w:p>
            <w:pPr/>
          </w:p>
        </w:tc>
        <w:tc>
          <w:tcPr>
            <w:tcW w:w="17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年末</w:t>
            </w:r>
          </w:p>
        </w:tc>
        <w:tc>
          <w:tcPr>
            <w:tcW w:w="1508" w:type="dxa"/>
            <w:vMerge/>
            <w:tcBorders>
              <w:left w:val="single" w:sz="4" w:space="0" w:color="000000"/>
              <w:right w:val="single" w:sz="4" w:space="0" w:color="000000"/>
            </w:tcBorders>
            <w:shd w:val="clear" w:color="auto" w:fill="D2D2D2"/>
          </w:tcPr>
          <w:p>
            <w:pPr/>
          </w:p>
        </w:tc>
        <w:tc>
          <w:tcPr>
            <w:tcW w:w="17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161" w:hRule="exact"/>
        </w:trPr>
        <w:tc>
          <w:tcPr>
            <w:tcW w:w="26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3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8" w:type="dxa"/>
            <w:vMerge/>
            <w:tcBorders>
              <w:left w:val="single" w:sz="4" w:space="0" w:color="000000"/>
              <w:bottom w:val="single" w:sz="4" w:space="0" w:color="000000"/>
              <w:right w:val="single" w:sz="4" w:space="0" w:color="000000"/>
            </w:tcBorders>
            <w:shd w:val="clear" w:color="auto" w:fill="D2D2D2"/>
          </w:tcPr>
          <w:p>
            <w:pPr/>
          </w:p>
        </w:tc>
        <w:tc>
          <w:tcPr>
            <w:tcW w:w="173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63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62"/>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归属于上市公司股东的每股</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7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2"/>
              <w:jc w:val="center"/>
              <w:rPr>
                <w:rFonts w:ascii="Times New Roman" w:hAnsi="Times New Roman" w:cs="Times New Roman" w:eastAsia="Times New Roman" w:hint="default"/>
                <w:sz w:val="21"/>
                <w:szCs w:val="21"/>
              </w:rPr>
            </w:pPr>
            <w:r>
              <w:rPr>
                <w:rFonts w:ascii="Times New Roman"/>
                <w:sz w:val="21"/>
              </w:rPr>
              <w:t>4.6848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4.5544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right="17"/>
              <w:jc w:val="right"/>
              <w:rPr>
                <w:rFonts w:ascii="Times New Roman" w:hAnsi="Times New Roman" w:cs="Times New Roman" w:eastAsia="Times New Roman" w:hint="default"/>
                <w:sz w:val="22"/>
                <w:szCs w:val="22"/>
              </w:rPr>
            </w:pPr>
            <w:r>
              <w:rPr>
                <w:rFonts w:ascii="Times New Roman"/>
                <w:sz w:val="22"/>
              </w:rPr>
              <w:t>2.86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6.8198</w:t>
            </w:r>
          </w:p>
        </w:tc>
      </w:tr>
      <w:tr>
        <w:trPr>
          <w:trHeight w:val="32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24"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12"/>
              <w:jc w:val="center"/>
              <w:rPr>
                <w:rFonts w:ascii="Times New Roman" w:hAnsi="Times New Roman" w:cs="Times New Roman" w:eastAsia="Times New Roman" w:hint="default"/>
                <w:sz w:val="21"/>
                <w:szCs w:val="21"/>
              </w:rPr>
            </w:pPr>
            <w:r>
              <w:rPr>
                <w:rFonts w:ascii="Times New Roman"/>
                <w:sz w:val="21"/>
              </w:rPr>
              <w:t>22.62</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21.74</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
              <w:jc w:val="right"/>
              <w:rPr>
                <w:rFonts w:ascii="Times New Roman" w:hAnsi="Times New Roman" w:cs="Times New Roman" w:eastAsia="Times New Roman" w:hint="default"/>
                <w:sz w:val="22"/>
                <w:szCs w:val="22"/>
              </w:rPr>
            </w:pPr>
            <w:r>
              <w:rPr>
                <w:rFonts w:ascii="Times New Roman"/>
                <w:sz w:val="22"/>
              </w:rPr>
              <w:t>0.88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17.19</w:t>
            </w:r>
          </w:p>
        </w:tc>
      </w:tr>
    </w:tbl>
    <w:p>
      <w:pPr>
        <w:pStyle w:val="BodyText"/>
        <w:spacing w:line="343" w:lineRule="auto" w:before="39"/>
        <w:ind w:left="137" w:right="89" w:firstLine="480"/>
        <w:jc w:val="left"/>
      </w:pP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15</w:t>
      </w:r>
      <w:r>
        <w:rPr/>
        <w:t>日召开第二届董事会第九次会议追溯重述了公司</w:t>
      </w:r>
      <w:r>
        <w:rPr>
          <w:rFonts w:ascii="Times New Roman" w:hAnsi="Times New Roman" w:cs="Times New Roman" w:eastAsia="Times New Roman" w:hint="default"/>
        </w:rPr>
        <w:t>2012</w:t>
      </w:r>
      <w:r>
        <w:rPr/>
        <w:t>年第一季度报 表相关项目，影响的报表项目为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w:t>
      </w:r>
      <w:r>
        <w:rPr>
          <w:rFonts w:ascii="Times New Roman" w:hAnsi="Times New Roman" w:cs="Times New Roman" w:eastAsia="Times New Roman" w:hint="default"/>
        </w:rPr>
        <w:t>3</w:t>
      </w:r>
      <w:r>
        <w:rPr/>
        <w:t>月的投资收益、营业利润、利润总额、净利润、 </w:t>
      </w:r>
      <w:r>
        <w:rPr>
          <w:spacing w:val="-3"/>
        </w:rPr>
        <w:t>归属于母公司股东的净利润、综合收益总额、归属于母公司股东的综合收益总额、长期股权</w:t>
      </w:r>
      <w:r>
        <w:rPr>
          <w:spacing w:val="-104"/>
        </w:rPr>
        <w:t> </w:t>
      </w:r>
      <w:r>
        <w:rPr>
          <w:spacing w:val="-104"/>
        </w:rPr>
      </w:r>
      <w:r>
        <w:rPr>
          <w:spacing w:val="-3"/>
        </w:rPr>
        <w:t>投资以及</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31</w:t>
      </w:r>
      <w:r>
        <w:rPr>
          <w:spacing w:val="-3"/>
        </w:rPr>
        <w:t>日的未分配利润数。详细内容请看</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16</w:t>
      </w:r>
      <w:r>
        <w:rPr>
          <w:spacing w:val="-3"/>
        </w:rPr>
        <w:t>日披露于中国证监局指</w:t>
      </w:r>
      <w:r>
        <w:rPr>
          <w:spacing w:val="-83"/>
        </w:rPr>
        <w:t> </w:t>
      </w:r>
      <w:r>
        <w:rPr/>
        <w:t>定创业板信息披露网站上的《关于前期会计差错更正的公告》。</w:t>
      </w:r>
    </w:p>
    <w:p>
      <w:pPr>
        <w:spacing w:line="240" w:lineRule="auto" w:before="0"/>
        <w:rPr>
          <w:rFonts w:ascii="宋体" w:hAnsi="宋体" w:cs="宋体" w:eastAsia="宋体" w:hint="default"/>
          <w:sz w:val="24"/>
          <w:szCs w:val="24"/>
        </w:rPr>
      </w:pPr>
    </w:p>
    <w:p>
      <w:pPr>
        <w:pStyle w:val="BodyText"/>
        <w:spacing w:line="357" w:lineRule="auto" w:before="204"/>
        <w:ind w:left="137" w:right="209"/>
        <w:jc w:val="left"/>
      </w:pPr>
      <w:r>
        <w:rPr>
          <w:spacing w:val="-3"/>
        </w:rPr>
        <w:t>公司报告期末至报告披露日股本是否因发行新股、增发、配股、股权激励行权、回购等原因</w:t>
      </w:r>
      <w:r>
        <w:rPr>
          <w:spacing w:val="-106"/>
        </w:rPr>
        <w:t> </w:t>
      </w:r>
      <w:r>
        <w:rPr>
          <w:spacing w:val="-106"/>
        </w:rPr>
      </w:r>
      <w:r>
        <w:rPr/>
        <w:t>发生变化且影响所有者权益金额</w:t>
      </w:r>
    </w:p>
    <w:p>
      <w:pPr>
        <w:pStyle w:val="BodyText"/>
        <w:spacing w:line="338" w:lineRule="auto" w:before="36"/>
        <w:ind w:left="137" w:right="58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是否存在公司债和可转债等其他证券</w:t>
      </w:r>
    </w:p>
    <w:p>
      <w:pPr>
        <w:pStyle w:val="BodyText"/>
        <w:spacing w:line="348" w:lineRule="auto" w:before="55"/>
        <w:ind w:left="137" w:right="2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w:t>
      </w:r>
      <w:r>
        <w:rPr>
          <w:spacing w:val="-3"/>
        </w:rPr>
        <w:t>如果公司存在最近两年连续亏损的情形，公司债和可转债等其他证券是否需要于次一交易日</w:t>
      </w:r>
      <w:r>
        <w:rPr>
          <w:spacing w:val="-104"/>
        </w:rPr>
        <w:t> </w:t>
      </w:r>
      <w:r>
        <w:rPr>
          <w:spacing w:val="-104"/>
        </w:rPr>
      </w:r>
      <w:r>
        <w:rPr/>
        <w:t>开市起停牌</w:t>
      </w:r>
    </w:p>
    <w:p>
      <w:pPr>
        <w:spacing w:line="499" w:lineRule="auto" w:before="46"/>
        <w:ind w:left="137" w:right="5834"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 </w:t>
      </w:r>
      <w:r>
        <w:rPr>
          <w:rFonts w:ascii="宋体" w:hAnsi="宋体" w:cs="宋体" w:eastAsia="宋体" w:hint="default"/>
          <w:sz w:val="24"/>
          <w:szCs w:val="24"/>
        </w:rPr>
        <w:t>否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_bookmark8" w:id="9"/>
      <w:bookmarkEnd w:id="9"/>
      <w:r>
        <w:rPr>
          <w:rFonts w:ascii="宋体" w:hAnsi="宋体" w:cs="宋体" w:eastAsia="宋体" w:hint="default"/>
          <w:sz w:val="24"/>
          <w:szCs w:val="24"/>
        </w:rPr>
      </w:r>
      <w:r>
        <w:rPr>
          <w:rFonts w:ascii="宋体" w:hAnsi="宋体" w:cs="宋体" w:eastAsia="宋体" w:hint="default"/>
          <w:b/>
          <w:bCs/>
          <w:sz w:val="24"/>
          <w:szCs w:val="24"/>
        </w:rPr>
        <w:t>二、境内外会计准则下会计数据差异</w:t>
      </w:r>
      <w:r>
        <w:rPr>
          <w:rFonts w:ascii="宋体" w:hAnsi="宋体" w:cs="宋体" w:eastAsia="宋体" w:hint="default"/>
          <w:sz w:val="24"/>
          <w:szCs w:val="24"/>
        </w:rPr>
      </w:r>
    </w:p>
    <w:p>
      <w:pPr>
        <w:spacing w:line="499" w:lineRule="auto" w:before="116"/>
        <w:ind w:left="137" w:right="5352"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_bookmark9" w:id="10"/>
      <w:bookmarkEnd w:id="10"/>
      <w:r>
        <w:rPr>
          <w:rFonts w:ascii="宋体" w:hAnsi="宋体" w:cs="宋体" w:eastAsia="宋体" w:hint="default"/>
          <w:sz w:val="24"/>
          <w:szCs w:val="24"/>
        </w:rPr>
      </w:r>
      <w:r>
        <w:rPr>
          <w:rFonts w:ascii="宋体" w:hAnsi="宋体" w:cs="宋体" w:eastAsia="宋体" w:hint="default"/>
          <w:b/>
          <w:bCs/>
          <w:sz w:val="24"/>
          <w:szCs w:val="24"/>
        </w:rPr>
        <w:t>三、报告期内非经常性损益的项目及金额</w:t>
      </w:r>
      <w:r>
        <w:rPr>
          <w:rFonts w:ascii="宋体" w:hAnsi="宋体" w:cs="宋体" w:eastAsia="宋体" w:hint="default"/>
          <w:sz w:val="24"/>
          <w:szCs w:val="24"/>
        </w:rPr>
      </w:r>
    </w:p>
    <w:p>
      <w:pPr>
        <w:spacing w:before="66"/>
        <w:ind w:left="0" w:right="20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4405"/>
        <w:gridCol w:w="1532"/>
        <w:gridCol w:w="1243"/>
        <w:gridCol w:w="1258"/>
        <w:gridCol w:w="1104"/>
      </w:tblGrid>
      <w:tr>
        <w:trPr>
          <w:trHeight w:val="322"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11"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67"/>
              <w:jc w:val="right"/>
              <w:rPr>
                <w:rFonts w:ascii="宋体" w:hAnsi="宋体" w:cs="宋体" w:eastAsia="宋体" w:hint="default"/>
                <w:sz w:val="21"/>
                <w:szCs w:val="21"/>
              </w:rPr>
            </w:pPr>
            <w:r>
              <w:rPr>
                <w:rFonts w:ascii="Times New Roman" w:hAnsi="Times New Roman" w:cs="Times New Roman" w:eastAsia="Times New Roman" w:hint="default"/>
                <w:b/>
                <w:bCs/>
                <w:spacing w:val="-3"/>
                <w:sz w:val="21"/>
                <w:szCs w:val="21"/>
              </w:rPr>
              <w:t>2011</w:t>
            </w:r>
            <w:r>
              <w:rPr>
                <w:rFonts w:ascii="Times New Roman" w:hAnsi="Times New Roman" w:cs="Times New Roman" w:eastAsia="Times New Roman" w:hint="default"/>
                <w:b/>
                <w:bCs/>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71"/>
              <w:jc w:val="righ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年金额</w:t>
            </w:r>
            <w:r>
              <w:rPr>
                <w:rFonts w:ascii="宋体" w:hAnsi="宋体" w:cs="宋体" w:eastAsia="宋体" w:hint="default"/>
                <w:sz w:val="21"/>
                <w:szCs w:val="21"/>
              </w:rPr>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35" w:right="0"/>
              <w:jc w:val="left"/>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634"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7"/>
              <w:jc w:val="left"/>
              <w:rPr>
                <w:rFonts w:ascii="宋体" w:hAnsi="宋体" w:cs="宋体" w:eastAsia="宋体" w:hint="default"/>
                <w:sz w:val="21"/>
                <w:szCs w:val="21"/>
              </w:rPr>
            </w:pPr>
            <w:r>
              <w:rPr>
                <w:rFonts w:ascii="宋体" w:hAnsi="宋体" w:cs="宋体" w:eastAsia="宋体" w:hint="default"/>
                <w:spacing w:val="-4"/>
                <w:sz w:val="21"/>
                <w:szCs w:val="21"/>
              </w:rPr>
              <w:t>非流动资产处置损益（包括已计提资产减值准备</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981,355.13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-423,261.20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6,684.26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3"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947"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7"/>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w:t>
            </w:r>
            <w:r>
              <w:rPr>
                <w:rFonts w:ascii="宋体" w:hAnsi="宋体" w:cs="宋体" w:eastAsia="宋体" w:hint="default"/>
                <w:w w:val="100"/>
                <w:sz w:val="21"/>
                <w:szCs w:val="21"/>
              </w:rPr>
              <w:t> </w:t>
            </w:r>
            <w:r>
              <w:rPr>
                <w:rFonts w:ascii="宋体" w:hAnsi="宋体" w:cs="宋体" w:eastAsia="宋体" w:hint="default"/>
                <w:spacing w:val="-4"/>
                <w:sz w:val="21"/>
                <w:szCs w:val="21"/>
              </w:rPr>
              <w:t>关，按照国家统一标准定额或定量享受的政府补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10,521,056.76</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4,782,726.00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2"/>
                <w:sz w:val="21"/>
              </w:rPr>
              <w:t>10,689,116.81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bl>
    <w:p>
      <w:pPr>
        <w:spacing w:after="0" w:line="240" w:lineRule="auto"/>
        <w:jc w:val="right"/>
        <w:rPr>
          <w:rFonts w:ascii="Times New Roman" w:hAnsi="Times New Roman" w:cs="Times New Roman" w:eastAsia="Times New Roman" w:hint="default"/>
          <w:sz w:val="21"/>
          <w:szCs w:val="21"/>
        </w:rPr>
        <w:sectPr>
          <w:footerReference w:type="default" r:id="rId13"/>
          <w:pgSz w:w="11910" w:h="16840"/>
          <w:pgMar w:footer="1007" w:header="884" w:top="1100" w:bottom="1200" w:left="1140" w:right="92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4405"/>
        <w:gridCol w:w="1532"/>
        <w:gridCol w:w="1243"/>
        <w:gridCol w:w="1258"/>
        <w:gridCol w:w="1104"/>
      </w:tblGrid>
      <w:tr>
        <w:trPr>
          <w:trHeight w:val="322"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24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7"/>
              <w:jc w:val="left"/>
              <w:rPr>
                <w:rFonts w:ascii="宋体" w:hAnsi="宋体" w:cs="宋体" w:eastAsia="宋体" w:hint="default"/>
                <w:sz w:val="21"/>
                <w:szCs w:val="21"/>
              </w:rPr>
            </w:pPr>
            <w:r>
              <w:rPr>
                <w:rFonts w:ascii="宋体" w:hAnsi="宋体" w:cs="宋体" w:eastAsia="宋体" w:hint="default"/>
                <w:spacing w:val="-4"/>
                <w:sz w:val="21"/>
                <w:szCs w:val="21"/>
              </w:rPr>
              <w:t>企业取得子公司、联营企业及合营企业的投资成</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本小于取得投资时应享有被投资单位可辨认净</w:t>
            </w:r>
            <w:r>
              <w:rPr>
                <w:rFonts w:ascii="宋体" w:hAnsi="宋体" w:cs="宋体" w:eastAsia="宋体" w:hint="default"/>
                <w:w w:val="100"/>
                <w:sz w:val="21"/>
                <w:szCs w:val="21"/>
              </w:rPr>
              <w:t> </w:t>
            </w:r>
            <w:r>
              <w:rPr>
                <w:rFonts w:ascii="宋体" w:hAnsi="宋体" w:cs="宋体" w:eastAsia="宋体" w:hint="default"/>
                <w:sz w:val="21"/>
                <w:szCs w:val="21"/>
              </w:rPr>
              <w:t>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3"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3"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2"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7"/>
              <w:jc w:val="left"/>
              <w:rPr>
                <w:rFonts w:ascii="宋体" w:hAnsi="宋体" w:cs="宋体" w:eastAsia="宋体" w:hint="default"/>
                <w:sz w:val="21"/>
                <w:szCs w:val="21"/>
              </w:rPr>
            </w:pPr>
            <w:r>
              <w:rPr>
                <w:rFonts w:ascii="宋体" w:hAnsi="宋体" w:cs="宋体" w:eastAsia="宋体" w:hint="default"/>
                <w:spacing w:val="-4"/>
                <w:sz w:val="21"/>
                <w:szCs w:val="21"/>
              </w:rPr>
              <w:t>因不可抗力因素，如遭受自然灾害而计提的各项</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资产减值准备</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pacing w:val="-4"/>
                <w:sz w:val="21"/>
                <w:szCs w:val="21"/>
              </w:rPr>
              <w:t>企业重组费用，如安置职工的支出、整合费用等</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175"/>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交易价格显失公允的交易产生的超过公允价值</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部分的损益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635"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175"/>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同一控制下企业合并产生的子公司期初至合并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日的当期净损益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635"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175"/>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与公司正常经营业务无关的或有事项产生的损</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1570"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7"/>
              <w:jc w:val="left"/>
              <w:rPr>
                <w:rFonts w:ascii="宋体" w:hAnsi="宋体" w:cs="宋体" w:eastAsia="宋体" w:hint="default"/>
                <w:sz w:val="21"/>
                <w:szCs w:val="21"/>
              </w:rPr>
            </w:pPr>
            <w:r>
              <w:rPr>
                <w:rFonts w:ascii="宋体" w:hAnsi="宋体" w:cs="宋体" w:eastAsia="宋体" w:hint="default"/>
                <w:sz w:val="21"/>
                <w:szCs w:val="21"/>
              </w:rPr>
              <w:t>除同公司正常经营业务相关的有效套期保值业</w:t>
            </w:r>
            <w:r>
              <w:rPr>
                <w:rFonts w:ascii="宋体" w:hAnsi="宋体" w:cs="宋体" w:eastAsia="宋体" w:hint="default"/>
                <w:w w:val="100"/>
                <w:sz w:val="21"/>
                <w:szCs w:val="21"/>
              </w:rPr>
              <w:t> </w:t>
            </w:r>
            <w:r>
              <w:rPr>
                <w:rFonts w:ascii="宋体" w:hAnsi="宋体" w:cs="宋体" w:eastAsia="宋体" w:hint="default"/>
                <w:spacing w:val="-4"/>
                <w:sz w:val="21"/>
                <w:szCs w:val="21"/>
              </w:rPr>
              <w:t>务外，持有交易性金融资产、交易性金融负债产</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pacing w:val="-4"/>
                <w:sz w:val="21"/>
                <w:szCs w:val="21"/>
              </w:rPr>
              <w:t>生的公允价值变动损益，以及处置交易性金融资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4"/>
                <w:sz w:val="21"/>
                <w:szCs w:val="21"/>
              </w:rPr>
              <w:t>产、交易性金融负债和可供出售金融资产取得的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1"/>
              <w:jc w:val="right"/>
              <w:rPr>
                <w:rFonts w:ascii="Times New Roman" w:hAnsi="Times New Roman" w:cs="Times New Roman" w:eastAsia="Times New Roman" w:hint="default"/>
                <w:sz w:val="21"/>
                <w:szCs w:val="21"/>
              </w:rPr>
            </w:pPr>
            <w:r>
              <w:rPr>
                <w:rFonts w:ascii="Times New Roman"/>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175"/>
              <w:jc w:val="left"/>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采用公允价值模式进行后续计量的投资性房地</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产公允价值变动产生的损益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635"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2" w:right="7"/>
              <w:jc w:val="left"/>
              <w:rPr>
                <w:rFonts w:ascii="宋体" w:hAnsi="宋体" w:cs="宋体" w:eastAsia="宋体" w:hint="default"/>
                <w:sz w:val="21"/>
                <w:szCs w:val="21"/>
              </w:rPr>
            </w:pPr>
            <w:r>
              <w:rPr>
                <w:rFonts w:ascii="宋体" w:hAnsi="宋体" w:cs="宋体" w:eastAsia="宋体" w:hint="default"/>
                <w:spacing w:val="-4"/>
                <w:sz w:val="21"/>
                <w:szCs w:val="21"/>
              </w:rPr>
              <w:t>根据税收、会计等法律、法规的要求对当期损益</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进行一次性调整对当期损益的影响</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4,619,715.89</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3"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w w:val="100"/>
                <w:sz w:val="21"/>
              </w:rPr>
              <w:t>-</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-260,089.04</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17,873.56</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-2,499.26</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-9,675,090.11</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-978,706.48</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-731,647.50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-1,062,258.91</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-56,681.12</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7"/>
              <w:jc w:val="right"/>
              <w:rPr>
                <w:rFonts w:ascii="Times New Roman" w:hAnsi="Times New Roman" w:cs="Times New Roman" w:eastAsia="Times New Roman" w:hint="default"/>
                <w:sz w:val="21"/>
                <w:szCs w:val="21"/>
              </w:rPr>
            </w:pPr>
            <w:r>
              <w:rPr>
                <w:rFonts w:ascii="Times New Roman"/>
                <w:spacing w:val="-1"/>
                <w:sz w:val="21"/>
              </w:rPr>
              <w:t>-85,248.98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Times New Roman" w:hAnsi="Times New Roman" w:cs="Times New Roman" w:eastAsia="Times New Roman" w:hint="default"/>
                <w:sz w:val="21"/>
                <w:szCs w:val="21"/>
              </w:rPr>
            </w:pPr>
            <w:r>
              <w:rPr>
                <w:rFonts w:ascii="Times New Roman"/>
                <w:spacing w:val="-1"/>
                <w:sz w:val="21"/>
              </w:rPr>
              <w:t>-33,149.84</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8"/>
              <w:jc w:val="right"/>
              <w:rPr>
                <w:rFonts w:ascii="Times New Roman" w:hAnsi="Times New Roman" w:cs="Times New Roman" w:eastAsia="Times New Roman" w:hint="default"/>
                <w:sz w:val="21"/>
                <w:szCs w:val="21"/>
              </w:rPr>
            </w:pPr>
            <w:r>
              <w:rPr>
                <w:rFonts w:ascii="Times New Roman"/>
                <w:w w:val="100"/>
                <w:sz w:val="21"/>
              </w:rPr>
              <w:t>-</w:t>
            </w:r>
          </w:p>
        </w:tc>
      </w:tr>
      <w:tr>
        <w:trPr>
          <w:trHeight w:val="324" w:hRule="exact"/>
        </w:trPr>
        <w:tc>
          <w:tcPr>
            <w:tcW w:w="4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5,151,561.03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3,560,441.88</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9,597,893.06</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r>
    </w:tbl>
    <w:p>
      <w:pPr>
        <w:spacing w:line="240" w:lineRule="auto" w:before="2"/>
        <w:rPr>
          <w:rFonts w:ascii="宋体" w:hAnsi="宋体" w:cs="宋体" w:eastAsia="宋体" w:hint="default"/>
          <w:sz w:val="20"/>
          <w:szCs w:val="20"/>
        </w:rPr>
      </w:pPr>
    </w:p>
    <w:p>
      <w:pPr>
        <w:spacing w:before="36"/>
        <w:ind w:left="137" w:right="0" w:firstLine="0"/>
        <w:jc w:val="left"/>
        <w:rPr>
          <w:rFonts w:ascii="宋体" w:hAnsi="宋体" w:cs="宋体" w:eastAsia="宋体" w:hint="default"/>
          <w:sz w:val="21"/>
          <w:szCs w:val="21"/>
        </w:rPr>
      </w:pPr>
      <w:r>
        <w:rPr>
          <w:rFonts w:ascii="宋体" w:hAnsi="宋体" w:cs="宋体" w:eastAsia="宋体" w:hint="default"/>
          <w:sz w:val="21"/>
          <w:szCs w:val="21"/>
        </w:rPr>
        <w:t>对公司根据《公开发行证券的公司信息披露解释性公告第</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非经常性损益》定义界定的非经常性</w:t>
      </w:r>
    </w:p>
    <w:p>
      <w:pPr>
        <w:spacing w:line="256" w:lineRule="auto" w:before="21"/>
        <w:ind w:left="137" w:right="186" w:firstLine="0"/>
        <w:jc w:val="left"/>
        <w:rPr>
          <w:rFonts w:ascii="宋体" w:hAnsi="宋体" w:cs="宋体" w:eastAsia="宋体" w:hint="default"/>
          <w:sz w:val="21"/>
          <w:szCs w:val="21"/>
        </w:rPr>
      </w:pPr>
      <w:r>
        <w:rPr>
          <w:rFonts w:ascii="宋体" w:hAnsi="宋体" w:cs="宋体" w:eastAsia="宋体" w:hint="default"/>
          <w:sz w:val="21"/>
          <w:szCs w:val="21"/>
        </w:rPr>
        <w:t>损益项目，以及把《公开发行证券的公司信息披露解释性公告第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非经常性损益》中列举的非经</w:t>
      </w:r>
      <w:r>
        <w:rPr>
          <w:rFonts w:ascii="宋体" w:hAnsi="宋体" w:cs="宋体" w:eastAsia="宋体" w:hint="default"/>
          <w:w w:val="100"/>
          <w:sz w:val="21"/>
          <w:szCs w:val="21"/>
        </w:rPr>
        <w:t> </w:t>
      </w:r>
      <w:r>
        <w:rPr>
          <w:rFonts w:ascii="宋体" w:hAnsi="宋体" w:cs="宋体" w:eastAsia="宋体" w:hint="default"/>
          <w:sz w:val="21"/>
          <w:szCs w:val="21"/>
        </w:rPr>
        <w:t>常性损益项目界定为经常性损益的项目，应说明原因：</w:t>
      </w:r>
    </w:p>
    <w:p>
      <w:pPr>
        <w:tabs>
          <w:tab w:pos="1219" w:val="left" w:leader="none"/>
        </w:tabs>
        <w:spacing w:before="22"/>
        <w:ind w:left="13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tab/>
      </w:r>
      <w:r>
        <w:rPr>
          <w:rFonts w:ascii="宋体" w:hAnsi="宋体" w:cs="宋体" w:eastAsia="宋体" w:hint="default"/>
          <w:sz w:val="21"/>
          <w:szCs w:val="21"/>
        </w:rPr>
        <w:t>不适用</w:t>
      </w:r>
    </w:p>
    <w:p>
      <w:pPr>
        <w:spacing w:line="240" w:lineRule="auto" w:before="9"/>
        <w:rPr>
          <w:rFonts w:ascii="宋体" w:hAnsi="宋体" w:cs="宋体" w:eastAsia="宋体" w:hint="default"/>
          <w:sz w:val="27"/>
          <w:szCs w:val="27"/>
        </w:rPr>
      </w:pPr>
    </w:p>
    <w:p>
      <w:pPr>
        <w:spacing w:before="0"/>
        <w:ind w:left="137" w:right="0" w:firstLine="0"/>
        <w:jc w:val="left"/>
        <w:rPr>
          <w:rFonts w:ascii="宋体" w:hAnsi="宋体" w:cs="宋体" w:eastAsia="宋体" w:hint="default"/>
          <w:sz w:val="30"/>
          <w:szCs w:val="30"/>
        </w:rPr>
      </w:pPr>
      <w:bookmarkStart w:name="_bookmark10" w:id="11"/>
      <w:bookmarkEnd w:id="11"/>
      <w:r>
        <w:rPr/>
      </w:r>
      <w:r>
        <w:rPr>
          <w:rFonts w:ascii="宋体" w:hAnsi="宋体" w:cs="宋体" w:eastAsia="宋体" w:hint="default"/>
          <w:b/>
          <w:bCs/>
          <w:spacing w:val="3"/>
          <w:sz w:val="30"/>
          <w:szCs w:val="30"/>
        </w:rPr>
        <w:t>四、重大风险提示</w:t>
      </w:r>
      <w:r>
        <w:rPr>
          <w:rFonts w:ascii="宋体" w:hAnsi="宋体" w:cs="宋体" w:eastAsia="宋体" w:hint="default"/>
          <w:spacing w:val="3"/>
          <w:sz w:val="30"/>
          <w:szCs w:val="30"/>
        </w:rPr>
      </w:r>
    </w:p>
    <w:p>
      <w:pPr>
        <w:spacing w:line="240" w:lineRule="auto" w:before="2"/>
        <w:rPr>
          <w:rFonts w:ascii="宋体" w:hAnsi="宋体" w:cs="宋体" w:eastAsia="宋体" w:hint="default"/>
          <w:b/>
          <w:bCs/>
          <w:sz w:val="35"/>
          <w:szCs w:val="35"/>
        </w:rPr>
      </w:pPr>
    </w:p>
    <w:p>
      <w:pPr>
        <w:pStyle w:val="BodyText"/>
        <w:spacing w:line="240" w:lineRule="auto"/>
        <w:ind w:left="617" w:right="0"/>
        <w:jc w:val="left"/>
      </w:pPr>
      <w:r>
        <w:rPr/>
        <w:t>详见“第四节</w:t>
      </w:r>
      <w:r>
        <w:rPr>
          <w:spacing w:val="11"/>
        </w:rPr>
        <w:t> </w:t>
      </w:r>
      <w:r>
        <w:rPr/>
        <w:t>董事会报告”中“三、公司未来发展展望之（五）对公司未来发展战略</w:t>
      </w:r>
    </w:p>
    <w:p>
      <w:pPr>
        <w:spacing w:after="0" w:line="240" w:lineRule="auto"/>
        <w:jc w:val="left"/>
        <w:sectPr>
          <w:footerReference w:type="default" r:id="rId14"/>
          <w:pgSz w:w="11910" w:h="16840"/>
          <w:pgMar w:footer="1007" w:header="884" w:top="1100" w:bottom="1200" w:left="1140" w:right="980"/>
          <w:pgNumType w:start="11"/>
        </w:sectPr>
      </w:pPr>
    </w:p>
    <w:p>
      <w:pPr>
        <w:spacing w:line="240" w:lineRule="auto" w:before="8"/>
        <w:rPr>
          <w:rFonts w:ascii="宋体" w:hAnsi="宋体" w:cs="宋体" w:eastAsia="宋体" w:hint="default"/>
          <w:sz w:val="25"/>
          <w:szCs w:val="25"/>
        </w:rPr>
      </w:pPr>
    </w:p>
    <w:p>
      <w:pPr>
        <w:pStyle w:val="BodyText"/>
        <w:spacing w:line="240" w:lineRule="auto" w:before="26"/>
        <w:ind w:left="137" w:right="0"/>
        <w:jc w:val="left"/>
      </w:pPr>
      <w:r>
        <w:rPr/>
        <w:t>和经营目标的实现产生不利影响的风险因素分析</w:t>
      </w:r>
      <w:r>
        <w:rPr>
          <w:rFonts w:ascii="Times New Roman" w:hAnsi="Times New Roman" w:cs="Times New Roman" w:eastAsia="Times New Roman" w:hint="default"/>
        </w:rPr>
        <w:t>”</w:t>
      </w:r>
      <w:r>
        <w:rPr/>
        <w:t>。</w:t>
      </w:r>
    </w:p>
    <w:p>
      <w:pPr>
        <w:spacing w:after="0" w:line="240" w:lineRule="auto"/>
        <w:jc w:val="left"/>
        <w:sectPr>
          <w:pgSz w:w="11910" w:h="16840"/>
          <w:pgMar w:header="884" w:footer="1007" w:top="1100" w:bottom="1200" w:left="114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1"/>
        <w:spacing w:line="460" w:lineRule="exact"/>
        <w:ind w:left="3324" w:right="3405"/>
        <w:jc w:val="center"/>
        <w:rPr>
          <w:b w:val="0"/>
          <w:bCs w:val="0"/>
        </w:rPr>
      </w:pPr>
      <w:bookmarkStart w:name="_bookmark11" w:id="12"/>
      <w:bookmarkEnd w:id="12"/>
      <w:r>
        <w:rPr>
          <w:b w:val="0"/>
          <w:bCs w:val="0"/>
        </w:rPr>
      </w:r>
      <w:r>
        <w:rPr>
          <w:spacing w:val="3"/>
        </w:rPr>
        <w:t>第四节</w:t>
      </w:r>
      <w:r>
        <w:rPr>
          <w:spacing w:val="-21"/>
        </w:rPr>
        <w:t> </w:t>
      </w:r>
      <w:r>
        <w:rPr>
          <w:spacing w:val="3"/>
        </w:rPr>
        <w:t>董事会报告</w:t>
      </w:r>
      <w:r>
        <w:rPr>
          <w:b w:val="0"/>
          <w:bCs w:val="0"/>
          <w:spacing w:val="3"/>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pStyle w:val="Heading3"/>
        <w:spacing w:line="240" w:lineRule="auto" w:before="7"/>
        <w:ind w:right="89"/>
        <w:jc w:val="left"/>
        <w:rPr>
          <w:b w:val="0"/>
          <w:bCs w:val="0"/>
        </w:rPr>
      </w:pPr>
      <w:bookmarkStart w:name="_bookmark12" w:id="13"/>
      <w:bookmarkEnd w:id="13"/>
      <w:r>
        <w:rPr>
          <w:b w:val="0"/>
          <w:bCs w:val="0"/>
        </w:rPr>
      </w:r>
      <w:r>
        <w:rPr>
          <w:spacing w:val="3"/>
        </w:rPr>
        <w:t>一、管理层讨论与分析</w:t>
      </w:r>
      <w:r>
        <w:rPr>
          <w:b w:val="0"/>
          <w:bCs w:val="0"/>
          <w:spacing w:val="3"/>
        </w:rPr>
      </w:r>
    </w:p>
    <w:p>
      <w:pPr>
        <w:spacing w:line="240" w:lineRule="auto" w:before="2"/>
        <w:rPr>
          <w:rFonts w:ascii="宋体" w:hAnsi="宋体" w:cs="宋体" w:eastAsia="宋体" w:hint="default"/>
          <w:b/>
          <w:bCs/>
          <w:sz w:val="35"/>
          <w:szCs w:val="35"/>
        </w:rPr>
      </w:pPr>
    </w:p>
    <w:p>
      <w:pPr>
        <w:pStyle w:val="BodyText"/>
        <w:spacing w:line="240" w:lineRule="auto"/>
        <w:ind w:left="617" w:right="89"/>
        <w:jc w:val="left"/>
      </w:pPr>
      <w:r>
        <w:rPr>
          <w:rFonts w:ascii="Times New Roman" w:hAnsi="Times New Roman" w:cs="Times New Roman" w:eastAsia="Times New Roman" w:hint="default"/>
        </w:rPr>
        <w:t>2012 </w:t>
      </w:r>
      <w:r>
        <w:rPr>
          <w:rFonts w:ascii="Times New Roman" w:hAnsi="Times New Roman" w:cs="Times New Roman" w:eastAsia="Times New Roman" w:hint="default"/>
          <w:spacing w:val="12"/>
        </w:rPr>
        <w:t> </w:t>
      </w:r>
      <w:r>
        <w:rPr/>
        <w:t>年我国经济增速整体放缓，地方财政有所紧缩，部分项目推迟上马。受大环境的</w:t>
      </w:r>
    </w:p>
    <w:p>
      <w:pPr>
        <w:pStyle w:val="BodyText"/>
        <w:spacing w:line="345" w:lineRule="auto" w:before="135"/>
        <w:ind w:left="137" w:right="107"/>
        <w:jc w:val="left"/>
      </w:pPr>
      <w:r>
        <w:rPr>
          <w:spacing w:val="-7"/>
        </w:rPr>
        <w:t>影响，公司</w:t>
      </w:r>
      <w:r>
        <w:rPr>
          <w:spacing w:val="-6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年经营业绩有所下降，公司全年实现营业收入</w:t>
      </w:r>
      <w:r>
        <w:rPr>
          <w:spacing w:val="-64"/>
        </w:rPr>
        <w:t> </w:t>
      </w:r>
      <w:r>
        <w:rPr>
          <w:rFonts w:ascii="Times New Roman" w:hAnsi="Times New Roman" w:cs="Times New Roman" w:eastAsia="Times New Roman" w:hint="default"/>
        </w:rPr>
        <w:t>26,402.88</w:t>
      </w:r>
      <w:r>
        <w:rPr>
          <w:rFonts w:ascii="Times New Roman" w:hAnsi="Times New Roman" w:cs="Times New Roman" w:eastAsia="Times New Roman" w:hint="default"/>
          <w:spacing w:val="-5"/>
        </w:rPr>
        <w:t> </w:t>
      </w:r>
      <w:r>
        <w:rPr>
          <w:spacing w:val="-5"/>
        </w:rPr>
        <w:t>万元，较上年下降</w:t>
      </w:r>
      <w:r>
        <w:rPr/>
        <w:t> </w:t>
      </w:r>
      <w:r>
        <w:rPr>
          <w:rFonts w:ascii="Times New Roman" w:hAnsi="Times New Roman" w:cs="Times New Roman" w:eastAsia="Times New Roman" w:hint="default"/>
        </w:rPr>
        <w:t>9.92%</w:t>
      </w:r>
      <w:r>
        <w:rPr/>
        <w:t>，实现营业利润</w:t>
      </w:r>
      <w:r>
        <w:rPr>
          <w:rFonts w:ascii="Times New Roman" w:hAnsi="Times New Roman" w:cs="Times New Roman" w:eastAsia="Times New Roman" w:hint="default"/>
        </w:rPr>
        <w:t>-1,279.75</w:t>
      </w:r>
      <w:r>
        <w:rPr>
          <w:rFonts w:ascii="Times New Roman" w:hAnsi="Times New Roman" w:cs="Times New Roman" w:eastAsia="Times New Roman" w:hint="default"/>
          <w:spacing w:val="-6"/>
        </w:rPr>
        <w:t> </w:t>
      </w:r>
      <w:r>
        <w:rPr/>
        <w:t>万元，较上年下降</w:t>
      </w:r>
      <w:r>
        <w:rPr>
          <w:spacing w:val="-66"/>
        </w:rPr>
        <w:t> </w:t>
      </w:r>
      <w:r>
        <w:rPr>
          <w:rFonts w:ascii="Times New Roman" w:hAnsi="Times New Roman" w:cs="Times New Roman" w:eastAsia="Times New Roman" w:hint="default"/>
        </w:rPr>
        <w:t>131.45%</w:t>
      </w:r>
      <w:r>
        <w:rPr/>
        <w:t>，实现利润总额</w:t>
      </w:r>
      <w:r>
        <w:rPr>
          <w:spacing w:val="-66"/>
        </w:rPr>
        <w:t> </w:t>
      </w:r>
      <w:r>
        <w:rPr>
          <w:rFonts w:ascii="Times New Roman" w:hAnsi="Times New Roman" w:cs="Times New Roman" w:eastAsia="Times New Roman" w:hint="default"/>
        </w:rPr>
        <w:t>441.96</w:t>
      </w:r>
      <w:r>
        <w:rPr>
          <w:rFonts w:ascii="Times New Roman" w:hAnsi="Times New Roman" w:cs="Times New Roman" w:eastAsia="Times New Roman" w:hint="default"/>
          <w:spacing w:val="-6"/>
        </w:rPr>
        <w:t> </w:t>
      </w:r>
      <w:r>
        <w:rPr>
          <w:spacing w:val="-3"/>
        </w:rPr>
        <w:t>万元，较</w:t>
      </w:r>
      <w:r>
        <w:rPr/>
        <w:t> 上年下降</w:t>
      </w:r>
      <w:r>
        <w:rPr>
          <w:spacing w:val="-66"/>
        </w:rPr>
        <w:t> </w:t>
      </w:r>
      <w:r>
        <w:rPr>
          <w:rFonts w:ascii="Times New Roman" w:hAnsi="Times New Roman" w:cs="Times New Roman" w:eastAsia="Times New Roman" w:hint="default"/>
        </w:rPr>
        <w:t>91.80%</w:t>
      </w:r>
      <w:r>
        <w:rPr/>
        <w:t>，实现归属于公司股东的净利润</w:t>
      </w:r>
      <w:r>
        <w:rPr>
          <w:spacing w:val="-64"/>
        </w:rPr>
        <w:t> </w:t>
      </w:r>
      <w:r>
        <w:rPr>
          <w:rFonts w:ascii="Times New Roman" w:hAnsi="Times New Roman" w:cs="Times New Roman" w:eastAsia="Times New Roman" w:hint="default"/>
        </w:rPr>
        <w:t>537.13</w:t>
      </w:r>
      <w:r>
        <w:rPr>
          <w:rFonts w:ascii="Times New Roman" w:hAnsi="Times New Roman" w:cs="Times New Roman" w:eastAsia="Times New Roman" w:hint="default"/>
          <w:spacing w:val="-5"/>
        </w:rPr>
        <w:t> </w:t>
      </w:r>
      <w:r>
        <w:rPr>
          <w:spacing w:val="-4"/>
        </w:rPr>
        <w:t>万元，较上年下降</w:t>
      </w:r>
      <w:r>
        <w:rPr>
          <w:spacing w:val="-65"/>
        </w:rPr>
        <w:t> </w:t>
      </w:r>
      <w:r>
        <w:rPr>
          <w:rFonts w:ascii="Times New Roman" w:hAnsi="Times New Roman" w:cs="Times New Roman" w:eastAsia="Times New Roman" w:hint="default"/>
          <w:spacing w:val="-3"/>
        </w:rPr>
        <w:t>88.51%</w:t>
      </w:r>
      <w:r>
        <w:rPr>
          <w:spacing w:val="-3"/>
        </w:rPr>
        <w:t>。与去年</w:t>
      </w:r>
      <w:r>
        <w:rPr/>
        <w:t> 相比，影响本年度利润有较大变化的因素，除受宏观环境导致公司主营业务有所减缓以外， </w:t>
      </w:r>
      <w:r>
        <w:rPr>
          <w:spacing w:val="-3"/>
        </w:rPr>
        <w:t>主要还有：报告期内，公司整体撤销股权激励计划，致使原本应在剩余等待期内分期确认的</w:t>
      </w:r>
      <w:r>
        <w:rPr>
          <w:spacing w:val="-104"/>
        </w:rPr>
        <w:t> </w:t>
      </w:r>
      <w:r>
        <w:rPr>
          <w:spacing w:val="-104"/>
        </w:rPr>
      </w:r>
      <w:r>
        <w:rPr/>
        <w:t>股份支付费用 </w:t>
      </w:r>
      <w:r>
        <w:rPr>
          <w:rFonts w:ascii="Times New Roman" w:hAnsi="Times New Roman" w:cs="Times New Roman" w:eastAsia="Times New Roman" w:hint="default"/>
        </w:rPr>
        <w:t>967.51</w:t>
      </w:r>
      <w:r>
        <w:rPr>
          <w:rFonts w:ascii="Times New Roman" w:hAnsi="Times New Roman" w:cs="Times New Roman" w:eastAsia="Times New Roman" w:hint="default"/>
          <w:spacing w:val="16"/>
        </w:rPr>
        <w:t> </w:t>
      </w:r>
      <w:r>
        <w:rPr/>
        <w:t>万元在报告期内一次性确认并计提；报告期内，人工成本和采购成本</w:t>
      </w:r>
    </w:p>
    <w:p>
      <w:pPr>
        <w:pStyle w:val="BodyText"/>
        <w:spacing w:line="240" w:lineRule="auto" w:before="19"/>
        <w:ind w:left="137" w:right="89"/>
        <w:jc w:val="left"/>
      </w:pPr>
      <w:r>
        <w:rPr>
          <w:spacing w:val="6"/>
        </w:rPr>
        <w:t>有所上升，公司研发费用与去年同期比较上升 </w:t>
      </w:r>
      <w:r>
        <w:rPr>
          <w:rFonts w:ascii="Times New Roman" w:hAnsi="Times New Roman" w:cs="Times New Roman" w:eastAsia="Times New Roman" w:hint="default"/>
        </w:rPr>
        <w:t>1,065.06 </w:t>
      </w:r>
      <w:r>
        <w:rPr>
          <w:rFonts w:ascii="Times New Roman" w:hAnsi="Times New Roman" w:cs="Times New Roman" w:eastAsia="Times New Roman" w:hint="default"/>
          <w:spacing w:val="26"/>
        </w:rPr>
        <w:t> </w:t>
      </w:r>
      <w:r>
        <w:rPr>
          <w:spacing w:val="6"/>
        </w:rPr>
        <w:t>万元，公司管理费用同比上升了</w:t>
      </w:r>
    </w:p>
    <w:p>
      <w:pPr>
        <w:pStyle w:val="BodyText"/>
        <w:spacing w:line="338" w:lineRule="auto" w:before="135"/>
        <w:ind w:left="617" w:right="196" w:hanging="480"/>
        <w:jc w:val="left"/>
      </w:pPr>
      <w:r>
        <w:rPr>
          <w:rFonts w:ascii="Times New Roman" w:hAnsi="Times New Roman" w:cs="Times New Roman" w:eastAsia="Times New Roman" w:hint="default"/>
        </w:rPr>
        <w:t>18.65%</w:t>
      </w:r>
      <w:r>
        <w:rPr/>
        <w:t>；此外，报告期内，公司募集资金余额减少致使相应减少</w:t>
      </w:r>
      <w:r>
        <w:rPr>
          <w:spacing w:val="-60"/>
        </w:rPr>
        <w:t> </w:t>
      </w:r>
      <w:r>
        <w:rPr>
          <w:rFonts w:ascii="Times New Roman" w:hAnsi="Times New Roman" w:cs="Times New Roman" w:eastAsia="Times New Roman" w:hint="default"/>
        </w:rPr>
        <w:t>500</w:t>
      </w:r>
      <w:r>
        <w:rPr>
          <w:rFonts w:ascii="Times New Roman" w:hAnsi="Times New Roman" w:cs="Times New Roman" w:eastAsia="Times New Roman" w:hint="default"/>
          <w:spacing w:val="-1"/>
        </w:rPr>
        <w:t> </w:t>
      </w:r>
      <w:r>
        <w:rPr/>
        <w:t>多万元的利息收入。</w:t>
      </w:r>
      <w:r>
        <w:rPr>
          <w:w w:val="99"/>
        </w:rPr>
        <w:t> </w:t>
      </w:r>
      <w:r>
        <w:rPr/>
        <w:t>面对宏观环境不理想、成本费用上升的压力。</w:t>
      </w:r>
      <w:r>
        <w:rPr>
          <w:rFonts w:ascii="Times New Roman" w:hAnsi="Times New Roman" w:cs="Times New Roman" w:eastAsia="Times New Roman" w:hint="default"/>
        </w:rPr>
        <w:t>2012 </w:t>
      </w:r>
      <w:r>
        <w:rPr>
          <w:rFonts w:ascii="Times New Roman" w:hAnsi="Times New Roman" w:cs="Times New Roman" w:eastAsia="Times New Roman" w:hint="default"/>
          <w:spacing w:val="13"/>
        </w:rPr>
        <w:t> </w:t>
      </w:r>
      <w:r>
        <w:rPr/>
        <w:t>年，公司管理层结合实际情况及时</w:t>
      </w:r>
    </w:p>
    <w:p>
      <w:pPr>
        <w:pStyle w:val="BodyText"/>
        <w:spacing w:line="357" w:lineRule="auto" w:before="27"/>
        <w:ind w:left="137" w:right="207"/>
        <w:jc w:val="both"/>
      </w:pPr>
      <w:r>
        <w:rPr>
          <w:spacing w:val="-3"/>
        </w:rPr>
        <w:t>调整经营策略和思路，加强战略领域的新应用探索，加强公司内控管理和研发投入，为公司</w:t>
      </w:r>
      <w:r>
        <w:rPr>
          <w:spacing w:val="-102"/>
        </w:rPr>
        <w:t> </w:t>
      </w:r>
      <w:r>
        <w:rPr>
          <w:spacing w:val="-102"/>
        </w:rPr>
      </w:r>
      <w:r>
        <w:rPr>
          <w:spacing w:val="-3"/>
        </w:rPr>
        <w:t>的下一阶段的发展打下坚实基础。报告期内，公司围绕发展规划和经营目标，完成了以下工</w:t>
      </w:r>
      <w:r>
        <w:rPr>
          <w:spacing w:val="-104"/>
        </w:rPr>
        <w:t> </w:t>
      </w:r>
      <w:r>
        <w:rPr>
          <w:spacing w:val="-104"/>
        </w:rPr>
      </w:r>
      <w:r>
        <w:rPr/>
        <w:t>作：</w:t>
      </w:r>
    </w:p>
    <w:p>
      <w:pPr>
        <w:pStyle w:val="BodyText"/>
        <w:spacing w:line="240" w:lineRule="auto" w:before="36"/>
        <w:ind w:left="617" w:right="89"/>
        <w:jc w:val="left"/>
      </w:pPr>
      <w:r>
        <w:rPr>
          <w:rFonts w:ascii="Times New Roman" w:hAnsi="Times New Roman" w:cs="Times New Roman" w:eastAsia="Times New Roman" w:hint="default"/>
        </w:rPr>
        <w:t>1</w:t>
      </w:r>
      <w:r>
        <w:rPr/>
        <w:t>、大力推动技术创新，突破关键技术</w:t>
      </w:r>
    </w:p>
    <w:p>
      <w:pPr>
        <w:pStyle w:val="BodyText"/>
        <w:spacing w:line="340" w:lineRule="auto" w:before="135"/>
        <w:ind w:left="137" w:right="208" w:firstLine="48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9"/>
        </w:rPr>
        <w:t> </w:t>
      </w:r>
      <w:r>
        <w:rPr/>
        <w:t>年，结合移动应用的技术发展趋势，公司加大了云</w:t>
      </w:r>
      <w:r>
        <w:rPr>
          <w:spacing w:val="-40"/>
        </w:rPr>
        <w:t> </w:t>
      </w:r>
      <w:r>
        <w:rPr>
          <w:rFonts w:ascii="Times New Roman" w:hAnsi="Times New Roman" w:cs="Times New Roman" w:eastAsia="Times New Roman" w:hint="default"/>
        </w:rPr>
        <w:t>GIS</w:t>
      </w:r>
      <w:r>
        <w:rPr/>
        <w:t>、移动</w:t>
      </w:r>
      <w:r>
        <w:rPr>
          <w:spacing w:val="-41"/>
        </w:rPr>
        <w:t> </w:t>
      </w:r>
      <w:r>
        <w:rPr>
          <w:rFonts w:ascii="Times New Roman" w:hAnsi="Times New Roman" w:cs="Times New Roman" w:eastAsia="Times New Roman" w:hint="default"/>
        </w:rPr>
        <w:t>GIS</w:t>
      </w:r>
      <w:r>
        <w:rPr>
          <w:rFonts w:ascii="Times New Roman" w:hAnsi="Times New Roman" w:cs="Times New Roman" w:eastAsia="Times New Roman" w:hint="default"/>
          <w:spacing w:val="21"/>
        </w:rPr>
        <w:t> </w:t>
      </w:r>
      <w:r>
        <w:rPr/>
        <w:t>相关产品和关 </w:t>
      </w:r>
      <w:r>
        <w:rPr>
          <w:spacing w:val="-8"/>
        </w:rPr>
        <w:t>键技术的研发投入。</w:t>
      </w:r>
      <w:r>
        <w:rPr>
          <w:rFonts w:ascii="Times New Roman" w:hAnsi="Times New Roman" w:cs="Times New Roman" w:eastAsia="Times New Roman" w:hint="default"/>
          <w:spacing w:val="-8"/>
        </w:rPr>
        <w:t>2012</w:t>
      </w:r>
      <w:r>
        <w:rPr>
          <w:rFonts w:ascii="Times New Roman" w:hAnsi="Times New Roman" w:cs="Times New Roman" w:eastAsia="Times New Roman" w:hint="default"/>
        </w:rPr>
        <w:t> </w:t>
      </w:r>
      <w:r>
        <w:rPr>
          <w:spacing w:val="-7"/>
        </w:rPr>
        <w:t>年度，公司正式发布了全功能移动</w:t>
      </w:r>
      <w:r>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w w:val="99"/>
        </w:rPr>
        <w:t> </w:t>
      </w:r>
      <w:r>
        <w:rPr>
          <w:spacing w:val="-1"/>
          <w:w w:val="99"/>
        </w:rPr>
        <w:t>产品—</w:t>
      </w:r>
      <w:r>
        <w:rPr>
          <w:rFonts w:ascii="Times New Roman" w:hAnsi="Times New Roman" w:cs="Times New Roman" w:eastAsia="Times New Roman" w:hint="default"/>
          <w:spacing w:val="-1"/>
          <w:w w:val="99"/>
        </w:rPr>
        <w:t>SuperMap</w:t>
      </w:r>
      <w:r>
        <w:rPr>
          <w:rFonts w:ascii="Times New Roman" w:hAnsi="Times New Roman" w:cs="Times New Roman" w:eastAsia="Times New Roman" w:hint="default"/>
          <w:w w:val="99"/>
        </w:rPr>
        <w:t> </w:t>
      </w:r>
      <w:r>
        <w:rPr>
          <w:rFonts w:ascii="Times New Roman" w:hAnsi="Times New Roman" w:cs="Times New Roman" w:eastAsia="Times New Roman" w:hint="default"/>
        </w:rPr>
        <w:t>iMobile</w:t>
      </w:r>
      <w:r>
        <w:rPr>
          <w:rFonts w:ascii="Times New Roman" w:hAnsi="Times New Roman" w:cs="Times New Roman" w:eastAsia="Times New Roman" w:hint="default"/>
          <w:spacing w:val="-34"/>
        </w:rPr>
        <w:t> </w:t>
      </w:r>
      <w:r>
        <w:rPr>
          <w:rFonts w:ascii="Times New Roman" w:hAnsi="Times New Roman" w:cs="Times New Roman" w:eastAsia="Times New Roman" w:hint="default"/>
        </w:rPr>
        <w:t>for</w:t>
      </w:r>
      <w:r>
        <w:rPr>
          <w:rFonts w:ascii="Times New Roman" w:hAnsi="Times New Roman" w:cs="Times New Roman" w:eastAsia="Times New Roman" w:hint="default"/>
        </w:rPr>
        <w:t> Android/iOS</w:t>
      </w:r>
      <w:r>
        <w:rPr>
          <w:rFonts w:ascii="Times New Roman" w:hAnsi="Times New Roman" w:cs="Times New Roman" w:eastAsia="Times New Roman" w:hint="default"/>
          <w:spacing w:val="14"/>
        </w:rPr>
        <w:t> </w:t>
      </w:r>
      <w:r>
        <w:rPr/>
        <w:t>专业</w:t>
      </w:r>
      <w:r>
        <w:rPr>
          <w:spacing w:val="-47"/>
        </w:rPr>
        <w:t> </w:t>
      </w:r>
      <w:r>
        <w:rPr>
          <w:rFonts w:ascii="Times New Roman" w:hAnsi="Times New Roman" w:cs="Times New Roman" w:eastAsia="Times New Roman" w:hint="default"/>
        </w:rPr>
        <w:t>GIS</w:t>
      </w:r>
      <w:r>
        <w:rPr>
          <w:rFonts w:ascii="Times New Roman" w:hAnsi="Times New Roman" w:cs="Times New Roman" w:eastAsia="Times New Roman" w:hint="default"/>
          <w:spacing w:val="17"/>
        </w:rPr>
        <w:t> </w:t>
      </w:r>
      <w:r>
        <w:rPr/>
        <w:t>开发平台；此外，公司进一步完善了</w:t>
      </w:r>
      <w:r>
        <w:rPr>
          <w:spacing w:val="-46"/>
        </w:rPr>
        <w:t> </w:t>
      </w:r>
      <w:r>
        <w:rPr>
          <w:rFonts w:ascii="Times New Roman" w:hAnsi="Times New Roman" w:cs="Times New Roman" w:eastAsia="Times New Roman" w:hint="default"/>
        </w:rPr>
        <w:t>64</w:t>
      </w:r>
      <w:r>
        <w:rPr>
          <w:rFonts w:ascii="Times New Roman" w:hAnsi="Times New Roman" w:cs="Times New Roman" w:eastAsia="Times New Roman" w:hint="default"/>
          <w:spacing w:val="13"/>
        </w:rPr>
        <w:t> </w:t>
      </w:r>
      <w:r>
        <w:rPr/>
        <w:t>位</w:t>
      </w:r>
      <w:r>
        <w:rPr>
          <w:spacing w:val="-47"/>
        </w:rPr>
        <w:t> </w:t>
      </w:r>
      <w:r>
        <w:rPr>
          <w:rFonts w:ascii="Times New Roman" w:hAnsi="Times New Roman" w:cs="Times New Roman" w:eastAsia="Times New Roman" w:hint="default"/>
        </w:rPr>
        <w:t>GIS</w:t>
      </w:r>
      <w:r>
        <w:rPr>
          <w:rFonts w:ascii="Times New Roman" w:hAnsi="Times New Roman" w:cs="Times New Roman" w:eastAsia="Times New Roman" w:hint="default"/>
          <w:spacing w:val="13"/>
        </w:rPr>
        <w:t> </w:t>
      </w:r>
      <w:r>
        <w:rPr/>
        <w:t>内核，推出了全系列 的</w:t>
      </w:r>
      <w:r>
        <w:rPr>
          <w:spacing w:val="-64"/>
        </w:rPr>
        <w:t> </w:t>
      </w:r>
      <w:r>
        <w:rPr>
          <w:rFonts w:ascii="Times New Roman" w:hAnsi="Times New Roman" w:cs="Times New Roman" w:eastAsia="Times New Roman" w:hint="default"/>
        </w:rPr>
        <w:t>64</w:t>
      </w:r>
      <w:r>
        <w:rPr>
          <w:rFonts w:ascii="Times New Roman" w:hAnsi="Times New Roman" w:cs="Times New Roman" w:eastAsia="Times New Roman" w:hint="default"/>
          <w:spacing w:val="-4"/>
        </w:rPr>
        <w:t> </w:t>
      </w:r>
      <w:r>
        <w:rPr/>
        <w:t>位服务器端</w:t>
      </w:r>
      <w:r>
        <w:rPr>
          <w:spacing w:val="-65"/>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产品，使海量空间数据的处理效率在最新的多种软硬件平台上得到了 大幅度的提升；报告期内，公司基本完成了完整的云上的高端 </w:t>
      </w:r>
      <w:r>
        <w:rPr>
          <w:rFonts w:ascii="Times New Roman" w:hAnsi="Times New Roman" w:cs="Times New Roman" w:eastAsia="Times New Roman" w:hint="default"/>
        </w:rPr>
        <w:t>GIS</w:t>
      </w:r>
      <w:r>
        <w:rPr>
          <w:rFonts w:ascii="Times New Roman" w:hAnsi="Times New Roman" w:cs="Times New Roman" w:eastAsia="Times New Roman" w:hint="default"/>
          <w:spacing w:val="47"/>
        </w:rPr>
        <w:t> </w:t>
      </w:r>
      <w:r>
        <w:rPr/>
        <w:t>服务引擎和终端的移动 </w:t>
      </w:r>
      <w:r>
        <w:rPr>
          <w:rFonts w:ascii="Times New Roman" w:hAnsi="Times New Roman" w:cs="Times New Roman" w:eastAsia="Times New Roman" w:hint="default"/>
        </w:rPr>
        <w:t>GIS </w:t>
      </w:r>
      <w:r>
        <w:rPr>
          <w:spacing w:val="4"/>
        </w:rPr>
        <w:t>基础产品体系的布局，形成了面向新一代信息技术的 </w:t>
      </w:r>
      <w:r>
        <w:rPr>
          <w:rFonts w:ascii="Times New Roman" w:hAnsi="Times New Roman" w:cs="Times New Roman" w:eastAsia="Times New Roman" w:hint="default"/>
        </w:rPr>
        <w:t>GIS</w:t>
      </w:r>
      <w:r>
        <w:rPr>
          <w:rFonts w:ascii="Times New Roman" w:hAnsi="Times New Roman" w:cs="Times New Roman" w:eastAsia="Times New Roman" w:hint="default"/>
          <w:spacing w:val="36"/>
        </w:rPr>
        <w:t> </w:t>
      </w:r>
      <w:r>
        <w:rPr>
          <w:spacing w:val="4"/>
        </w:rPr>
        <w:t>基础平台新格局，推出了</w:t>
      </w:r>
      <w:r>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1"/>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rFonts w:ascii="Times New Roman" w:hAnsi="Times New Roman" w:cs="Times New Roman" w:eastAsia="Times New Roman" w:hint="default"/>
        </w:rPr>
        <w:t>6(R)</w:t>
      </w:r>
      <w:r>
        <w:rPr>
          <w:rFonts w:ascii="Times New Roman" w:hAnsi="Times New Roman" w:cs="Times New Roman" w:eastAsia="Times New Roman" w:hint="default"/>
          <w:spacing w:val="-2"/>
        </w:rPr>
        <w:t> </w:t>
      </w:r>
      <w:r>
        <w:rPr>
          <w:rFonts w:ascii="Times New Roman" w:hAnsi="Times New Roman" w:cs="Times New Roman" w:eastAsia="Times New Roman" w:hint="default"/>
        </w:rPr>
        <w:t>SP2 </w:t>
      </w:r>
      <w:r>
        <w:rPr>
          <w:spacing w:val="-4"/>
        </w:rPr>
        <w:t>版本。公司产品在</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年度科技部</w:t>
      </w:r>
      <w:r>
        <w:rPr>
          <w:spacing w:val="-61"/>
        </w:rPr>
        <w:t> </w:t>
      </w:r>
      <w:r>
        <w:rPr>
          <w:rFonts w:ascii="Times New Roman" w:hAnsi="Times New Roman" w:cs="Times New Roman" w:eastAsia="Times New Roman" w:hint="default"/>
        </w:rPr>
        <w:t>GIS </w:t>
      </w:r>
      <w:r>
        <w:rPr>
          <w:spacing w:val="-3"/>
        </w:rPr>
        <w:t>软件测评中再获佳绩，实现</w:t>
      </w:r>
      <w:r>
        <w:rPr/>
        <w:t> 了自</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spacing w:val="-8"/>
        </w:rPr>
        <w:t>年以来连续夺冠，网络</w:t>
      </w:r>
      <w:r>
        <w:rPr>
          <w:spacing w:val="-57"/>
        </w:rPr>
        <w:t> </w:t>
      </w:r>
      <w:r>
        <w:rPr>
          <w:rFonts w:ascii="Times New Roman" w:hAnsi="Times New Roman" w:cs="Times New Roman" w:eastAsia="Times New Roman" w:hint="default"/>
        </w:rPr>
        <w:t>GIS</w:t>
      </w:r>
      <w:r>
        <w:rPr>
          <w:rFonts w:ascii="Times New Roman" w:hAnsi="Times New Roman" w:cs="Times New Roman" w:eastAsia="Times New Roman" w:hint="default"/>
          <w:spacing w:val="4"/>
        </w:rPr>
        <w:t> </w:t>
      </w:r>
      <w:r>
        <w:rPr>
          <w:spacing w:val="-13"/>
        </w:rPr>
        <w:t>十连冠。此外，报告期内，公司获批北京市发改委“</w:t>
      </w:r>
      <w:r>
        <w:rPr>
          <w:rFonts w:ascii="Times New Roman" w:hAnsi="Times New Roman" w:cs="Times New Roman" w:eastAsia="Times New Roman" w:hint="default"/>
          <w:spacing w:val="-13"/>
        </w:rPr>
        <w:t>GIS</w:t>
      </w:r>
      <w:r>
        <w:rPr>
          <w:rFonts w:ascii="Times New Roman" w:hAnsi="Times New Roman" w:cs="Times New Roman" w:eastAsia="Times New Roman" w:hint="default"/>
          <w:w w:val="99"/>
        </w:rPr>
        <w:t> </w:t>
      </w:r>
      <w:r>
        <w:rPr>
          <w:spacing w:val="-3"/>
        </w:rPr>
        <w:t>云计算服务平台关键技术北京市工程实验室”，公司将在后期重点围绕该领域方向开展研发</w:t>
      </w:r>
      <w:r>
        <w:rPr>
          <w:spacing w:val="-106"/>
        </w:rPr>
        <w:t> </w:t>
      </w:r>
      <w:r>
        <w:rPr>
          <w:spacing w:val="-106"/>
        </w:rPr>
      </w:r>
      <w:r>
        <w:rPr/>
        <w:t>工作。这些技术进展和突破，为公司未来的业务成长奠定基础。</w:t>
      </w:r>
    </w:p>
    <w:p>
      <w:pPr>
        <w:spacing w:after="0" w:line="340" w:lineRule="auto"/>
        <w:jc w:val="both"/>
        <w:sectPr>
          <w:pgSz w:w="11910" w:h="16840"/>
          <w:pgMar w:header="884" w:footer="1007" w:top="1100" w:bottom="1200" w:left="1140" w:right="920"/>
        </w:sectPr>
      </w:pPr>
    </w:p>
    <w:p>
      <w:pPr>
        <w:spacing w:line="240" w:lineRule="auto" w:before="8"/>
        <w:rPr>
          <w:rFonts w:ascii="宋体" w:hAnsi="宋体" w:cs="宋体" w:eastAsia="宋体" w:hint="default"/>
          <w:sz w:val="25"/>
          <w:szCs w:val="25"/>
        </w:rPr>
      </w:pPr>
    </w:p>
    <w:p>
      <w:pPr>
        <w:pStyle w:val="BodyText"/>
        <w:spacing w:line="338" w:lineRule="auto" w:before="26"/>
        <w:ind w:left="617" w:right="143"/>
        <w:jc w:val="left"/>
      </w:pPr>
      <w:r>
        <w:rPr>
          <w:rFonts w:ascii="Times New Roman" w:hAnsi="Times New Roman" w:cs="Times New Roman" w:eastAsia="Times New Roman" w:hint="default"/>
        </w:rPr>
        <w:t>2</w:t>
      </w:r>
      <w:r>
        <w:rPr/>
        <w:t>、积极推动应用创新，探索新模式 </w:t>
      </w:r>
      <w:r>
        <w:rPr>
          <w:spacing w:val="-3"/>
        </w:rPr>
        <w:t>结合专业机构的位置应用需求，报告期内，公司基于超图云平台探索并尝试了部分互联</w:t>
      </w:r>
    </w:p>
    <w:p>
      <w:pPr>
        <w:pStyle w:val="BodyText"/>
        <w:spacing w:line="348" w:lineRule="auto" w:before="55"/>
        <w:ind w:left="137" w:right="149"/>
        <w:jc w:val="both"/>
      </w:pPr>
      <w:r>
        <w:rPr>
          <w:spacing w:val="-3"/>
        </w:rPr>
        <w:t>网应用，推出了面向大众化的交互式互联网地图模式“地图汇”产品，推出了面向物流配送</w:t>
      </w:r>
      <w:r>
        <w:rPr>
          <w:spacing w:val="-107"/>
        </w:rPr>
        <w:t> </w:t>
      </w:r>
      <w:r>
        <w:rPr>
          <w:spacing w:val="-107"/>
        </w:rPr>
      </w:r>
      <w:r>
        <w:rPr>
          <w:spacing w:val="-3"/>
        </w:rPr>
        <w:t>企业的“分单宝”产品、面向制造型企业的“售后服务调度应用”，用户可以通过互联网即</w:t>
      </w:r>
      <w:r>
        <w:rPr>
          <w:spacing w:val="-106"/>
        </w:rPr>
        <w:t> </w:t>
      </w:r>
      <w:r>
        <w:rPr>
          <w:spacing w:val="-106"/>
        </w:rPr>
      </w:r>
      <w:r>
        <w:rPr/>
        <w:t>可共享到超图云平台端的专业服务。其中地图汇产品入选</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年度北京市祥云工程优秀云 服务产品以及</w:t>
      </w:r>
      <w:r>
        <w:rPr>
          <w:spacing w:val="-67"/>
        </w:rPr>
        <w:t> </w:t>
      </w:r>
      <w:r>
        <w:rPr>
          <w:rFonts w:ascii="Times New Roman" w:hAnsi="Times New Roman" w:cs="Times New Roman" w:eastAsia="Times New Roman" w:hint="default"/>
        </w:rPr>
        <w:t>3Snews</w:t>
      </w:r>
      <w:r>
        <w:rPr>
          <w:rFonts w:ascii="Times New Roman" w:hAnsi="Times New Roman" w:cs="Times New Roman" w:eastAsia="Times New Roman" w:hint="default"/>
          <w:spacing w:val="-6"/>
        </w:rPr>
        <w:t> </w:t>
      </w:r>
      <w:r>
        <w:rPr/>
        <w:t>年度十大事件。这些新业务模式的尝试，为公司创新模式和业务形态 奠定了基础。</w:t>
      </w:r>
    </w:p>
    <w:p>
      <w:pPr>
        <w:pStyle w:val="BodyText"/>
        <w:spacing w:line="240" w:lineRule="auto" w:before="46"/>
        <w:ind w:left="617" w:right="0"/>
        <w:jc w:val="left"/>
      </w:pPr>
      <w:r>
        <w:rPr>
          <w:rFonts w:ascii="Times New Roman" w:hAnsi="Times New Roman" w:cs="Times New Roman" w:eastAsia="Times New Roman" w:hint="default"/>
        </w:rPr>
        <w:t>3</w:t>
      </w:r>
      <w:r>
        <w:rPr/>
        <w:t>、结合云</w:t>
      </w:r>
      <w:r>
        <w:rPr>
          <w:spacing w:val="-63"/>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主题，推动品牌建设</w:t>
      </w:r>
    </w:p>
    <w:p>
      <w:pPr>
        <w:pStyle w:val="BodyText"/>
        <w:spacing w:line="343" w:lineRule="auto" w:before="135"/>
        <w:ind w:left="137" w:right="151" w:firstLine="48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3"/>
        </w:rPr>
        <w:t> </w:t>
      </w:r>
      <w:r>
        <w:rPr/>
        <w:t>年，公司在南昌、长春、太原、合肥、昆明、沈阳、济南、南宁、上海、兰州等 </w:t>
      </w:r>
      <w:r>
        <w:rPr>
          <w:spacing w:val="-3"/>
        </w:rPr>
        <w:t>十个城市开展了题为“图启云涌、共享精彩”的巡展，加强公司品牌建设和行业解决方案推</w:t>
      </w:r>
      <w:r>
        <w:rPr>
          <w:spacing w:val="-108"/>
        </w:rPr>
        <w:t> </w:t>
      </w:r>
      <w:r>
        <w:rPr>
          <w:spacing w:val="-108"/>
        </w:rPr>
      </w:r>
      <w:r>
        <w:rPr>
          <w:spacing w:val="-4"/>
        </w:rPr>
        <w:t>广力度。公司在业内权威媒体《软件和信息服务》杂志社中国</w:t>
      </w:r>
      <w:r>
        <w:rPr>
          <w:spacing w:val="-48"/>
        </w:rPr>
        <w:t> </w:t>
      </w:r>
      <w:r>
        <w:rPr>
          <w:rFonts w:ascii="Times New Roman" w:hAnsi="Times New Roman" w:cs="Times New Roman" w:eastAsia="Times New Roman" w:hint="default"/>
        </w:rPr>
        <w:t>IT</w:t>
      </w:r>
      <w:r>
        <w:rPr>
          <w:rFonts w:ascii="Times New Roman" w:hAnsi="Times New Roman" w:cs="Times New Roman" w:eastAsia="Times New Roman" w:hint="default"/>
          <w:spacing w:val="9"/>
        </w:rPr>
        <w:t> </w:t>
      </w:r>
      <w:r>
        <w:rPr/>
        <w:t>价值链研究中心发起</w:t>
      </w:r>
      <w:r>
        <w:rPr>
          <w:rFonts w:ascii="Times New Roman" w:hAnsi="Times New Roman" w:cs="Times New Roman" w:eastAsia="Times New Roman" w:hint="default"/>
        </w:rPr>
        <w:t>“2012</w:t>
      </w:r>
      <w:r>
        <w:rPr>
          <w:rFonts w:ascii="Times New Roman" w:hAnsi="Times New Roman" w:cs="Times New Roman" w:eastAsia="Times New Roman" w:hint="default"/>
          <w:spacing w:val="-58"/>
        </w:rPr>
        <w:t> </w:t>
      </w:r>
      <w:r>
        <w:rPr>
          <w:rFonts w:ascii="Times New Roman" w:hAnsi="Times New Roman" w:cs="Times New Roman" w:eastAsia="Times New Roman" w:hint="default"/>
          <w:spacing w:val="-58"/>
        </w:rPr>
      </w:r>
      <w:r>
        <w:rPr/>
        <w:t>年中国方案商首选品牌调查</w:t>
      </w:r>
      <w:r>
        <w:rPr>
          <w:rFonts w:ascii="Times New Roman" w:hAnsi="Times New Roman" w:cs="Times New Roman" w:eastAsia="Times New Roman" w:hint="default"/>
        </w:rPr>
        <w:t>”</w:t>
      </w:r>
      <w:r>
        <w:rPr/>
        <w:t>中被评为“</w:t>
      </w:r>
      <w:r>
        <w:rPr>
          <w:rFonts w:ascii="Times New Roman" w:hAnsi="Times New Roman" w:cs="Times New Roman" w:eastAsia="Times New Roman" w:hint="default"/>
        </w:rPr>
        <w:t>2012</w:t>
      </w:r>
      <w:r>
        <w:rPr>
          <w:rFonts w:ascii="Times New Roman" w:hAnsi="Times New Roman" w:cs="Times New Roman" w:eastAsia="Times New Roman" w:hint="default"/>
          <w:spacing w:val="57"/>
        </w:rPr>
        <w:t> </w:t>
      </w:r>
      <w:r>
        <w:rPr/>
        <w:t>年地理信息系统软件（</w:t>
      </w:r>
      <w:r>
        <w:rPr>
          <w:rFonts w:ascii="Times New Roman" w:hAnsi="Times New Roman" w:cs="Times New Roman" w:eastAsia="Times New Roman" w:hint="default"/>
        </w:rPr>
        <w:t>GIS</w:t>
      </w:r>
      <w:r>
        <w:rPr/>
        <w:t>）中国方案商首选 </w:t>
      </w:r>
      <w:r>
        <w:rPr>
          <w:spacing w:val="-24"/>
        </w:rPr>
        <w:t>品牌”，是</w:t>
      </w:r>
      <w:r>
        <w:rPr>
          <w:spacing w:val="-60"/>
        </w:rPr>
        <w:t> </w:t>
      </w:r>
      <w:r>
        <w:rPr>
          <w:rFonts w:ascii="Times New Roman" w:hAnsi="Times New Roman" w:cs="Times New Roman" w:eastAsia="Times New Roman" w:hint="default"/>
          <w:spacing w:val="-2"/>
          <w:w w:val="99"/>
        </w:rPr>
        <w:t>GIS</w:t>
      </w:r>
      <w:r>
        <w:rPr>
          <w:rFonts w:ascii="Times New Roman" w:hAnsi="Times New Roman" w:cs="Times New Roman" w:eastAsia="Times New Roman" w:hint="default"/>
          <w:spacing w:val="2"/>
          <w:w w:val="99"/>
        </w:rPr>
        <w:t> </w:t>
      </w:r>
      <w:r>
        <w:rPr/>
        <w:t>领域唯一一家入选企业。</w:t>
      </w:r>
    </w:p>
    <w:p>
      <w:pPr>
        <w:pStyle w:val="BodyText"/>
        <w:spacing w:line="240" w:lineRule="auto" w:before="21"/>
        <w:ind w:left="617" w:right="0"/>
        <w:jc w:val="left"/>
      </w:pPr>
      <w:r>
        <w:rPr>
          <w:rFonts w:ascii="Times New Roman" w:hAnsi="Times New Roman" w:cs="Times New Roman" w:eastAsia="Times New Roman" w:hint="default"/>
        </w:rPr>
        <w:t>4</w:t>
      </w:r>
      <w:r>
        <w:rPr/>
        <w:t>、加强内控管理，促进工作效率、管理效率提升</w:t>
      </w:r>
    </w:p>
    <w:p>
      <w:pPr>
        <w:pStyle w:val="BodyText"/>
        <w:spacing w:line="240" w:lineRule="auto" w:before="136"/>
        <w:ind w:left="617"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2"/>
        </w:rPr>
        <w:t> </w:t>
      </w:r>
      <w:r>
        <w:rPr/>
        <w:t>年，公司启动控编增效行动和计划执行行动（具体内容详见公司</w:t>
      </w:r>
      <w:r>
        <w:rPr>
          <w:spacing w:val="-70"/>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年年度报告</w:t>
      </w:r>
    </w:p>
    <w:p>
      <w:pPr>
        <w:pStyle w:val="BodyText"/>
        <w:spacing w:line="345" w:lineRule="auto" w:before="135"/>
        <w:ind w:left="137" w:right="132"/>
        <w:jc w:val="both"/>
      </w:pPr>
      <w:r>
        <w:rPr/>
        <w:t>中关于公司</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spacing w:val="-7"/>
        </w:rPr>
        <w:t>年及未来三年的具体业务计划），进一步优化公司组织架构、岗位结构和流</w:t>
      </w:r>
      <w:r>
        <w:rPr/>
        <w:t> </w:t>
      </w:r>
      <w:r>
        <w:rPr>
          <w:spacing w:val="-3"/>
        </w:rPr>
        <w:t>程效率，提高了工作效率，提升管理效益。此外，为了进一步巩固公司的管理流程，公司信</w:t>
      </w:r>
      <w:r>
        <w:rPr>
          <w:spacing w:val="-106"/>
        </w:rPr>
        <w:t> </w:t>
      </w:r>
      <w:r>
        <w:rPr>
          <w:spacing w:val="-106"/>
        </w:rPr>
      </w:r>
      <w:r>
        <w:rPr/>
        <w:t>息化部对公司信息化系统——</w:t>
      </w:r>
      <w:r>
        <w:rPr>
          <w:rFonts w:ascii="Times New Roman" w:hAnsi="Times New Roman" w:cs="Times New Roman" w:eastAsia="Times New Roman" w:hint="default"/>
        </w:rPr>
        <w:t>SERP</w:t>
      </w:r>
      <w:r>
        <w:rPr>
          <w:rFonts w:ascii="Times New Roman" w:hAnsi="Times New Roman" w:cs="Times New Roman" w:eastAsia="Times New Roman" w:hint="default"/>
          <w:spacing w:val="-3"/>
        </w:rPr>
        <w:t> </w:t>
      </w:r>
      <w:r>
        <w:rPr/>
        <w:t>进行了升级，对合同商机管理模块的功能进行了升级，</w:t>
      </w:r>
      <w:r>
        <w:rPr>
          <w:w w:val="99"/>
        </w:rPr>
        <w:t> </w:t>
      </w:r>
      <w:r>
        <w:rPr/>
        <w:t>增强了对合同商机的梳理和统计分析；增加了计划执行管理子系统和</w:t>
      </w:r>
      <w:r>
        <w:rPr>
          <w:spacing w:val="-77"/>
        </w:rPr>
        <w:t> </w:t>
      </w:r>
      <w:r>
        <w:rPr>
          <w:rFonts w:ascii="Times New Roman" w:hAnsi="Times New Roman" w:cs="Times New Roman" w:eastAsia="Times New Roman" w:hint="default"/>
        </w:rPr>
        <w:t>HR</w:t>
      </w:r>
      <w:r>
        <w:rPr>
          <w:rFonts w:ascii="Times New Roman" w:hAnsi="Times New Roman" w:cs="Times New Roman" w:eastAsia="Times New Roman" w:hint="default"/>
          <w:spacing w:val="-16"/>
        </w:rPr>
        <w:t> </w:t>
      </w:r>
      <w:r>
        <w:rPr>
          <w:spacing w:val="-5"/>
        </w:rPr>
        <w:t>管理模块，加强了</w:t>
      </w:r>
      <w:r>
        <w:rPr>
          <w:w w:val="99"/>
        </w:rPr>
        <w:t> </w:t>
      </w:r>
      <w:r>
        <w:rPr>
          <w:spacing w:val="3"/>
        </w:rPr>
        <w:t>公司各级工作计划的管理和对工作完成情况的考核评价。确保公司的人员绩效管理覆盖全</w:t>
      </w:r>
      <w:r>
        <w:rPr>
          <w:w w:val="99"/>
        </w:rPr>
        <w:t> </w:t>
      </w:r>
      <w:r>
        <w:rPr/>
        <w:t>员，公司优化后的流程可以固化和稳定。</w:t>
      </w:r>
    </w:p>
    <w:p>
      <w:pPr>
        <w:pStyle w:val="BodyText"/>
        <w:spacing w:line="338" w:lineRule="auto" w:before="49"/>
        <w:ind w:left="137" w:right="154" w:firstLine="480"/>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10"/>
        </w:rPr>
        <w:t> </w:t>
      </w:r>
      <w:r>
        <w:rPr/>
        <w:t>年，公司将进一步加大市场开拓力度，提升技术开发和服务能力，加强管理以提 高公司经营业绩。</w:t>
      </w:r>
    </w:p>
    <w:p>
      <w:pPr>
        <w:spacing w:line="240" w:lineRule="auto" w:before="5"/>
        <w:rPr>
          <w:rFonts w:ascii="宋体" w:hAnsi="宋体" w:cs="宋体" w:eastAsia="宋体" w:hint="default"/>
          <w:sz w:val="26"/>
          <w:szCs w:val="26"/>
        </w:rPr>
      </w:pPr>
    </w:p>
    <w:p>
      <w:pPr>
        <w:pStyle w:val="Heading3"/>
        <w:spacing w:line="240" w:lineRule="auto"/>
        <w:ind w:right="0"/>
        <w:jc w:val="both"/>
        <w:rPr>
          <w:b w:val="0"/>
          <w:bCs w:val="0"/>
        </w:rPr>
      </w:pPr>
      <w:bookmarkStart w:name="_bookmark13" w:id="14"/>
      <w:bookmarkEnd w:id="14"/>
      <w:r>
        <w:rPr>
          <w:b w:val="0"/>
          <w:bCs w:val="0"/>
        </w:rPr>
      </w:r>
      <w:r>
        <w:rPr>
          <w:spacing w:val="4"/>
        </w:rPr>
        <w:t>二、报告期内主要经营情况</w:t>
      </w:r>
      <w:r>
        <w:rPr>
          <w:b w:val="0"/>
          <w:bCs w:val="0"/>
          <w:spacing w:val="4"/>
        </w:rPr>
      </w:r>
    </w:p>
    <w:p>
      <w:pPr>
        <w:spacing w:line="240" w:lineRule="auto" w:before="8"/>
        <w:rPr>
          <w:rFonts w:ascii="宋体" w:hAnsi="宋体" w:cs="宋体" w:eastAsia="宋体" w:hint="default"/>
          <w:b/>
          <w:bCs/>
          <w:sz w:val="32"/>
          <w:szCs w:val="32"/>
        </w:rPr>
      </w:pPr>
    </w:p>
    <w:p>
      <w:pPr>
        <w:pStyle w:val="Heading4"/>
        <w:spacing w:line="240" w:lineRule="auto"/>
        <w:ind w:right="0"/>
        <w:jc w:val="both"/>
        <w:rPr>
          <w:b w:val="0"/>
          <w:bCs w:val="0"/>
        </w:rPr>
      </w:pPr>
      <w:bookmarkStart w:name="_bookmark14" w:id="15"/>
      <w:bookmarkEnd w:id="15"/>
      <w:r>
        <w:rPr>
          <w:b w:val="0"/>
          <w:bCs w:val="0"/>
        </w:rPr>
      </w:r>
      <w:r>
        <w:rPr>
          <w:rFonts w:ascii="Times New Roman" w:hAnsi="Times New Roman" w:cs="Times New Roman" w:eastAsia="Times New Roman" w:hint="default"/>
        </w:rPr>
        <w:t>1</w:t>
      </w:r>
      <w:r>
        <w:rPr/>
        <w:t>、主营业务分析</w:t>
      </w:r>
      <w:r>
        <w:rPr>
          <w:b w:val="0"/>
          <w:bCs w:val="0"/>
        </w:rPr>
      </w:r>
    </w:p>
    <w:p>
      <w:pPr>
        <w:spacing w:line="240" w:lineRule="auto" w:before="5"/>
        <w:rPr>
          <w:rFonts w:ascii="宋体" w:hAnsi="宋体" w:cs="宋体" w:eastAsia="宋体" w:hint="default"/>
          <w:b/>
          <w:bCs/>
          <w:sz w:val="21"/>
          <w:szCs w:val="21"/>
        </w:rPr>
      </w:pPr>
    </w:p>
    <w:p>
      <w:pPr>
        <w:spacing w:line="496" w:lineRule="auto" w:before="0"/>
        <w:ind w:left="137" w:right="578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）收入</w:t>
      </w:r>
      <w:r>
        <w:rPr>
          <w:rFonts w:ascii="宋体" w:hAnsi="宋体" w:cs="宋体" w:eastAsia="宋体" w:hint="default"/>
          <w:b/>
          <w:bCs/>
          <w:w w:val="99"/>
          <w:sz w:val="24"/>
          <w:szCs w:val="24"/>
        </w:rPr>
        <w:t> </w:t>
      </w:r>
      <w:r>
        <w:rPr>
          <w:rFonts w:ascii="宋体" w:hAnsi="宋体" w:cs="宋体" w:eastAsia="宋体" w:hint="default"/>
          <w:sz w:val="24"/>
          <w:szCs w:val="24"/>
        </w:rPr>
        <w:t>公司实物销售收入是否大于劳务收入</w:t>
      </w:r>
    </w:p>
    <w:p>
      <w:pPr>
        <w:spacing w:after="0" w:line="496" w:lineRule="auto"/>
        <w:jc w:val="left"/>
        <w:rPr>
          <w:rFonts w:ascii="宋体" w:hAnsi="宋体" w:cs="宋体" w:eastAsia="宋体" w:hint="default"/>
          <w:sz w:val="24"/>
          <w:szCs w:val="24"/>
        </w:rPr>
        <w:sectPr>
          <w:pgSz w:w="11910" w:h="16840"/>
          <w:pgMar w:header="884" w:footer="1007" w:top="1100" w:bottom="1200" w:left="1140" w:right="980"/>
        </w:sectPr>
      </w:pPr>
    </w:p>
    <w:p>
      <w:pPr>
        <w:spacing w:line="240" w:lineRule="auto" w:before="8"/>
        <w:rPr>
          <w:rFonts w:ascii="宋体" w:hAnsi="宋体" w:cs="宋体" w:eastAsia="宋体" w:hint="default"/>
          <w:sz w:val="25"/>
          <w:szCs w:val="25"/>
        </w:rPr>
      </w:pPr>
    </w:p>
    <w:p>
      <w:pPr>
        <w:pStyle w:val="BodyText"/>
        <w:spacing w:line="240" w:lineRule="auto" w:before="26"/>
        <w:ind w:left="137"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7"/>
        <w:rPr>
          <w:rFonts w:ascii="宋体" w:hAnsi="宋体" w:cs="宋体" w:eastAsia="宋体" w:hint="default"/>
          <w:sz w:val="9"/>
          <w:szCs w:val="9"/>
        </w:rPr>
      </w:pPr>
    </w:p>
    <w:p>
      <w:pPr>
        <w:spacing w:before="36"/>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1"/>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2364"/>
        <w:gridCol w:w="2401"/>
        <w:gridCol w:w="2388"/>
        <w:gridCol w:w="2389"/>
      </w:tblGrid>
      <w:tr>
        <w:trPr>
          <w:trHeight w:val="322"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451"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2"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主营业务收入</w:t>
            </w:r>
          </w:p>
        </w:tc>
        <w:tc>
          <w:tcPr>
            <w:tcW w:w="24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262,411,128.67</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291,893,770.08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-10.10</w:t>
            </w:r>
          </w:p>
        </w:tc>
      </w:tr>
      <w:tr>
        <w:trPr>
          <w:trHeight w:val="324" w:hRule="exact"/>
        </w:trPr>
        <w:tc>
          <w:tcPr>
            <w:tcW w:w="2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其他业务收入</w:t>
            </w:r>
          </w:p>
        </w:tc>
        <w:tc>
          <w:tcPr>
            <w:tcW w:w="24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1,617,720.00</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pacing w:val="-1"/>
                <w:sz w:val="21"/>
              </w:rPr>
              <w:t>1,215,500.00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33.09</w:t>
            </w:r>
          </w:p>
        </w:tc>
      </w:tr>
    </w:tbl>
    <w:p>
      <w:pPr>
        <w:pStyle w:val="BodyText"/>
        <w:spacing w:line="240" w:lineRule="auto" w:before="39"/>
        <w:ind w:left="137" w:right="0"/>
        <w:jc w:val="left"/>
      </w:pPr>
      <w:r>
        <w:rPr/>
        <w:t>相关数据同比发生变动</w:t>
      </w:r>
      <w:r>
        <w:rPr>
          <w:spacing w:val="-62"/>
        </w:rPr>
        <w:t> </w:t>
      </w:r>
      <w:r>
        <w:rPr>
          <w:rFonts w:ascii="Times New Roman" w:hAnsi="Times New Roman" w:cs="Times New Roman" w:eastAsia="Times New Roman" w:hint="default"/>
        </w:rPr>
        <w:t>30%</w:t>
      </w:r>
      <w:r>
        <w:rPr/>
        <w:t>以上的原因说明</w:t>
      </w:r>
    </w:p>
    <w:p>
      <w:pPr>
        <w:pStyle w:val="BodyText"/>
        <w:spacing w:line="240" w:lineRule="auto" w:before="135"/>
        <w:ind w:left="137"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38" w:lineRule="auto" w:before="135"/>
        <w:ind w:left="137" w:right="135"/>
        <w:jc w:val="left"/>
      </w:pPr>
      <w:r>
        <w:rPr/>
        <w:t>报告期内，公司其他业务收入增加幅度为</w:t>
      </w:r>
      <w:r>
        <w:rPr>
          <w:spacing w:val="-6"/>
        </w:rPr>
        <w:t> </w:t>
      </w:r>
      <w:r>
        <w:rPr>
          <w:rFonts w:ascii="Times New Roman" w:hAnsi="Times New Roman" w:cs="Times New Roman" w:eastAsia="Times New Roman" w:hint="default"/>
        </w:rPr>
        <w:t>33.09%</w:t>
      </w:r>
      <w:r>
        <w:rPr/>
        <w:t>，系公司经营性房产获得房租收入增加所 致。</w:t>
      </w:r>
    </w:p>
    <w:p>
      <w:pPr>
        <w:pStyle w:val="BodyText"/>
        <w:spacing w:line="240" w:lineRule="auto" w:before="55"/>
        <w:ind w:left="137" w:right="0"/>
        <w:jc w:val="left"/>
      </w:pPr>
      <w:r>
        <w:rPr/>
        <w:t>公司重大的在手订单情况</w:t>
      </w:r>
    </w:p>
    <w:p>
      <w:pPr>
        <w:pStyle w:val="BodyText"/>
        <w:spacing w:line="338" w:lineRule="auto" w:before="154"/>
        <w:ind w:left="137" w:right="74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数量分散的订单情况</w:t>
      </w:r>
    </w:p>
    <w:p>
      <w:pPr>
        <w:pStyle w:val="BodyText"/>
        <w:spacing w:line="338" w:lineRule="auto" w:before="55"/>
        <w:ind w:left="137" w:right="3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公司报告期内产品或服务发生重大变化或调整有关情况</w:t>
      </w:r>
    </w:p>
    <w:p>
      <w:pPr>
        <w:pStyle w:val="BodyText"/>
        <w:spacing w:line="240" w:lineRule="auto" w:before="55"/>
        <w:ind w:left="137"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4"/>
        <w:rPr>
          <w:rFonts w:ascii="宋体" w:hAnsi="宋体" w:cs="宋体" w:eastAsia="宋体" w:hint="default"/>
          <w:b/>
          <w:bCs/>
          <w:sz w:val="23"/>
          <w:szCs w:val="23"/>
        </w:rPr>
      </w:pPr>
    </w:p>
    <w:p>
      <w:pPr>
        <w:spacing w:before="0"/>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368"/>
        <w:gridCol w:w="1364"/>
        <w:gridCol w:w="1363"/>
        <w:gridCol w:w="1366"/>
        <w:gridCol w:w="1366"/>
        <w:gridCol w:w="1364"/>
        <w:gridCol w:w="1363"/>
      </w:tblGrid>
      <w:tr>
        <w:trPr>
          <w:trHeight w:val="32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57" w:right="0"/>
              <w:jc w:val="left"/>
              <w:rPr>
                <w:rFonts w:ascii="宋体" w:hAnsi="宋体" w:cs="宋体" w:eastAsia="宋体" w:hint="default"/>
                <w:sz w:val="21"/>
                <w:szCs w:val="21"/>
              </w:rPr>
            </w:pPr>
            <w:r>
              <w:rPr>
                <w:rFonts w:ascii="宋体" w:hAnsi="宋体" w:cs="宋体" w:eastAsia="宋体" w:hint="default"/>
                <w:b/>
                <w:bCs/>
                <w:sz w:val="21"/>
                <w:szCs w:val="21"/>
              </w:rPr>
              <w:t>行业分类</w:t>
            </w:r>
            <w:r>
              <w:rPr>
                <w:rFonts w:ascii="宋体" w:hAnsi="宋体" w:cs="宋体" w:eastAsia="宋体" w:hint="default"/>
                <w:sz w:val="21"/>
                <w:szCs w:val="21"/>
              </w:rPr>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3"/>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79" w:right="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同比增减</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3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56" w:right="41" w:hanging="212"/>
              <w:jc w:val="left"/>
              <w:rPr>
                <w:rFonts w:ascii="宋体" w:hAnsi="宋体" w:cs="宋体" w:eastAsia="宋体" w:hint="default"/>
                <w:sz w:val="21"/>
                <w:szCs w:val="21"/>
              </w:rPr>
            </w:pPr>
            <w:r>
              <w:rPr>
                <w:rFonts w:ascii="宋体" w:hAnsi="宋体" w:cs="宋体" w:eastAsia="宋体" w:hint="default"/>
                <w:b/>
                <w:bCs/>
                <w:sz w:val="21"/>
                <w:szCs w:val="21"/>
              </w:rPr>
              <w:t>占营业成本比</w:t>
            </w:r>
            <w:r>
              <w:rPr>
                <w:rFonts w:ascii="宋体" w:hAnsi="宋体" w:cs="宋体" w:eastAsia="宋体" w:hint="default"/>
                <w:b/>
                <w:bCs/>
                <w:spacing w:val="-104"/>
                <w:sz w:val="21"/>
                <w:szCs w:val="21"/>
              </w:rPr>
              <w:t> </w:t>
            </w:r>
            <w:r>
              <w:rPr>
                <w:rFonts w:ascii="宋体" w:hAnsi="宋体" w:cs="宋体" w:eastAsia="宋体" w:hint="default"/>
                <w:b/>
                <w:bCs/>
                <w:sz w:val="21"/>
                <w:szCs w:val="21"/>
              </w:rPr>
              <w:t>重（</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54" w:right="41" w:hanging="212"/>
              <w:jc w:val="left"/>
              <w:rPr>
                <w:rFonts w:ascii="宋体" w:hAnsi="宋体" w:cs="宋体" w:eastAsia="宋体" w:hint="default"/>
                <w:sz w:val="21"/>
                <w:szCs w:val="21"/>
              </w:rPr>
            </w:pPr>
            <w:r>
              <w:rPr>
                <w:rFonts w:ascii="宋体" w:hAnsi="宋体" w:cs="宋体" w:eastAsia="宋体" w:hint="default"/>
                <w:b/>
                <w:bCs/>
                <w:sz w:val="21"/>
                <w:szCs w:val="21"/>
              </w:rPr>
              <w:t>占营业成本比</w:t>
            </w:r>
            <w:r>
              <w:rPr>
                <w:rFonts w:ascii="宋体" w:hAnsi="宋体" w:cs="宋体" w:eastAsia="宋体" w:hint="default"/>
                <w:b/>
                <w:bCs/>
                <w:spacing w:val="-104"/>
                <w:sz w:val="21"/>
                <w:szCs w:val="21"/>
              </w:rPr>
              <w:t> </w:t>
            </w:r>
            <w:r>
              <w:rPr>
                <w:rFonts w:ascii="宋体" w:hAnsi="宋体" w:cs="宋体" w:eastAsia="宋体" w:hint="default"/>
                <w:b/>
                <w:bCs/>
                <w:sz w:val="21"/>
                <w:szCs w:val="21"/>
              </w:rPr>
              <w:t>重（</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363"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59"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6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GIS </w:t>
            </w:r>
            <w:r>
              <w:rPr>
                <w:rFonts w:ascii="宋体" w:hAnsi="宋体" w:cs="宋体" w:eastAsia="宋体" w:hint="default"/>
                <w:sz w:val="21"/>
                <w:szCs w:val="21"/>
              </w:rPr>
              <w:t>软件</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00" w:right="0"/>
              <w:jc w:val="center"/>
              <w:rPr>
                <w:rFonts w:ascii="Times New Roman" w:hAnsi="Times New Roman" w:cs="Times New Roman" w:eastAsia="Times New Roman" w:hint="default"/>
                <w:sz w:val="21"/>
                <w:szCs w:val="21"/>
              </w:rPr>
            </w:pPr>
            <w:r>
              <w:rPr>
                <w:rFonts w:ascii="Times New Roman"/>
                <w:sz w:val="21"/>
              </w:rPr>
              <w:t>74,750,358.15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Times New Roman" w:hAnsi="Times New Roman" w:cs="Times New Roman" w:eastAsia="Times New Roman" w:hint="default"/>
                <w:sz w:val="21"/>
                <w:szCs w:val="21"/>
              </w:rPr>
            </w:pPr>
            <w:r>
              <w:rPr>
                <w:rFonts w:ascii="Times New Roman"/>
                <w:sz w:val="21"/>
              </w:rPr>
              <w:t>76.89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66,911,540.13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85.35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11.72</w:t>
            </w:r>
          </w:p>
        </w:tc>
      </w:tr>
      <w:tr>
        <w:trPr>
          <w:trHeight w:val="63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59"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465" w:right="58" w:hanging="406"/>
              <w:jc w:val="left"/>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软件配套</w:t>
            </w:r>
            <w:r>
              <w:rPr>
                <w:rFonts w:ascii="宋体" w:hAnsi="宋体" w:cs="宋体" w:eastAsia="宋体" w:hint="default"/>
                <w:w w:val="100"/>
                <w:sz w:val="21"/>
                <w:szCs w:val="21"/>
              </w:rPr>
              <w:t> </w:t>
            </w:r>
            <w:r>
              <w:rPr>
                <w:rFonts w:ascii="宋体" w:hAnsi="宋体" w:cs="宋体" w:eastAsia="宋体" w:hint="default"/>
                <w:sz w:val="21"/>
                <w:szCs w:val="21"/>
              </w:rPr>
              <w:t>产品</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center"/>
              <w:rPr>
                <w:rFonts w:ascii="Times New Roman" w:hAnsi="Times New Roman" w:cs="Times New Roman" w:eastAsia="Times New Roman" w:hint="default"/>
                <w:sz w:val="21"/>
                <w:szCs w:val="21"/>
              </w:rPr>
            </w:pPr>
            <w:r>
              <w:rPr>
                <w:rFonts w:ascii="Times New Roman"/>
                <w:sz w:val="21"/>
              </w:rPr>
              <w:t>21,956,324.97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22.59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11,483,451.37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14.65</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91.20</w:t>
            </w:r>
          </w:p>
        </w:tc>
      </w:tr>
      <w:tr>
        <w:trPr>
          <w:trHeight w:val="32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9" w:right="0"/>
              <w:jc w:val="left"/>
              <w:rPr>
                <w:rFonts w:ascii="宋体" w:hAnsi="宋体" w:cs="宋体" w:eastAsia="宋体" w:hint="default"/>
                <w:sz w:val="21"/>
                <w:szCs w:val="21"/>
              </w:rPr>
            </w:pPr>
            <w:r>
              <w:rPr>
                <w:rFonts w:ascii="宋体" w:hAnsi="宋体" w:cs="宋体" w:eastAsia="宋体" w:hint="default"/>
                <w:sz w:val="21"/>
                <w:szCs w:val="21"/>
              </w:rPr>
              <w:t>软件行业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54"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center"/>
              <w:rPr>
                <w:rFonts w:ascii="Times New Roman" w:hAnsi="Times New Roman" w:cs="Times New Roman" w:eastAsia="Times New Roman" w:hint="default"/>
                <w:sz w:val="21"/>
                <w:szCs w:val="21"/>
              </w:rPr>
            </w:pPr>
            <w:r>
              <w:rPr>
                <w:rFonts w:ascii="Times New Roman"/>
                <w:sz w:val="21"/>
              </w:rPr>
              <w:t>96,706,683.12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Times New Roman" w:hAnsi="Times New Roman" w:cs="Times New Roman" w:eastAsia="Times New Roman" w:hint="default"/>
                <w:sz w:val="21"/>
                <w:szCs w:val="21"/>
              </w:rPr>
            </w:pPr>
            <w:r>
              <w:rPr>
                <w:rFonts w:ascii="Times New Roman"/>
                <w:sz w:val="21"/>
              </w:rPr>
              <w:t>99.48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78,394,991.50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23.36</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0"/>
        <w:rPr>
          <w:rFonts w:ascii="宋体" w:hAnsi="宋体" w:cs="宋体" w:eastAsia="宋体" w:hint="default"/>
          <w:b/>
          <w:bCs/>
          <w:sz w:val="20"/>
          <w:szCs w:val="20"/>
        </w:rPr>
      </w:pPr>
    </w:p>
    <w:p>
      <w:pPr>
        <w:spacing w:before="36"/>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916"/>
        <w:gridCol w:w="1635"/>
        <w:gridCol w:w="1632"/>
        <w:gridCol w:w="1459"/>
        <w:gridCol w:w="2912"/>
      </w:tblGrid>
      <w:tr>
        <w:trPr>
          <w:trHeight w:val="32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67" w:right="0"/>
              <w:jc w:val="left"/>
              <w:rPr>
                <w:rFonts w:ascii="宋体" w:hAnsi="宋体" w:cs="宋体" w:eastAsia="宋体" w:hint="default"/>
                <w:sz w:val="21"/>
                <w:szCs w:val="21"/>
              </w:rPr>
            </w:pPr>
            <w:r>
              <w:rPr>
                <w:rFonts w:ascii="Calibri" w:hAnsi="Calibri" w:cs="Calibri" w:eastAsia="Calibri" w:hint="default"/>
                <w:b/>
                <w:bCs/>
                <w:sz w:val="21"/>
                <w:szCs w:val="21"/>
              </w:rPr>
              <w:t>2012</w:t>
            </w:r>
            <w:r>
              <w:rPr>
                <w:rFonts w:ascii="Calibri" w:hAnsi="Calibri" w:cs="Calibri" w:eastAsia="Calibri"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65" w:right="0"/>
              <w:jc w:val="left"/>
              <w:rPr>
                <w:rFonts w:ascii="宋体" w:hAnsi="宋体" w:cs="宋体" w:eastAsia="宋体" w:hint="default"/>
                <w:sz w:val="21"/>
                <w:szCs w:val="21"/>
              </w:rPr>
            </w:pPr>
            <w:r>
              <w:rPr>
                <w:rFonts w:ascii="Calibri" w:hAnsi="Calibri" w:cs="Calibri" w:eastAsia="Calibri" w:hint="default"/>
                <w:b/>
                <w:bCs/>
                <w:sz w:val="21"/>
                <w:szCs w:val="21"/>
              </w:rPr>
              <w:t>2011</w:t>
            </w:r>
            <w:r>
              <w:rPr>
                <w:rFonts w:ascii="Calibri" w:hAnsi="Calibri" w:cs="Calibri" w:eastAsia="Calibri"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7"/>
              <w:jc w:val="right"/>
              <w:rPr>
                <w:rFonts w:ascii="宋体" w:hAnsi="宋体" w:cs="宋体" w:eastAsia="宋体" w:hint="default"/>
                <w:sz w:val="21"/>
                <w:szCs w:val="21"/>
              </w:rPr>
            </w:pPr>
            <w:r>
              <w:rPr>
                <w:rFonts w:ascii="宋体" w:hAnsi="宋体" w:cs="宋体" w:eastAsia="宋体" w:hint="default"/>
                <w:b/>
                <w:bCs/>
                <w:spacing w:val="-1"/>
                <w:sz w:val="21"/>
                <w:szCs w:val="21"/>
              </w:rPr>
              <w:t>同比增减（</w:t>
            </w:r>
            <w:r>
              <w:rPr>
                <w:rFonts w:ascii="Calibri" w:hAnsi="Calibri" w:cs="Calibri" w:eastAsia="Calibri" w:hint="default"/>
                <w:b/>
                <w:bCs/>
                <w:spacing w:val="-1"/>
                <w:sz w:val="21"/>
                <w:szCs w:val="21"/>
              </w:rPr>
              <w:t>%</w:t>
            </w:r>
            <w:r>
              <w:rPr>
                <w:rFonts w:ascii="宋体" w:hAnsi="宋体" w:cs="宋体" w:eastAsia="宋体" w:hint="default"/>
                <w:b/>
                <w:bCs/>
                <w:spacing w:val="-1"/>
                <w:sz w:val="21"/>
                <w:szCs w:val="21"/>
              </w:rPr>
              <w:t>）</w:t>
            </w:r>
            <w:r>
              <w:rPr>
                <w:rFonts w:ascii="宋体" w:hAnsi="宋体" w:cs="宋体" w:eastAsia="宋体" w:hint="default"/>
                <w:spacing w:val="-1"/>
                <w:sz w:val="21"/>
                <w:szCs w:val="21"/>
              </w:rPr>
            </w:r>
          </w:p>
        </w:tc>
        <w:tc>
          <w:tcPr>
            <w:tcW w:w="2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15" w:right="0"/>
              <w:jc w:val="left"/>
              <w:rPr>
                <w:rFonts w:ascii="宋体" w:hAnsi="宋体" w:cs="宋体" w:eastAsia="宋体" w:hint="default"/>
                <w:sz w:val="21"/>
                <w:szCs w:val="21"/>
              </w:rPr>
            </w:pPr>
            <w:r>
              <w:rPr>
                <w:rFonts w:ascii="宋体" w:hAnsi="宋体" w:cs="宋体" w:eastAsia="宋体" w:hint="default"/>
                <w:b/>
                <w:bCs/>
                <w:sz w:val="21"/>
                <w:szCs w:val="21"/>
              </w:rPr>
              <w:t>重大变动说明</w:t>
            </w:r>
            <w:r>
              <w:rPr>
                <w:rFonts w:ascii="宋体" w:hAnsi="宋体" w:cs="宋体" w:eastAsia="宋体" w:hint="default"/>
                <w:sz w:val="21"/>
                <w:szCs w:val="21"/>
              </w:rPr>
            </w: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6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61,530,487.64</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56,964,243.07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8.02</w:t>
            </w: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6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128,485,828.58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108,286,196.63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z w:val="21"/>
              </w:rPr>
              <w:t>18.65</w:t>
            </w:r>
          </w:p>
        </w:tc>
        <w:tc>
          <w:tcPr>
            <w:tcW w:w="291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5" w:type="dxa"/>
            <w:vMerge w:val="restart"/>
            <w:tcBorders>
              <w:top w:val="single" w:sz="4" w:space="0" w:color="000000"/>
              <w:left w:val="single" w:sz="10" w:space="0" w:color="D2D2D2"/>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20" w:right="0"/>
              <w:jc w:val="left"/>
              <w:rPr>
                <w:rFonts w:ascii="Times New Roman" w:hAnsi="Times New Roman" w:cs="Times New Roman" w:eastAsia="Times New Roman" w:hint="default"/>
                <w:sz w:val="21"/>
                <w:szCs w:val="21"/>
              </w:rPr>
            </w:pPr>
            <w:r>
              <w:rPr>
                <w:rFonts w:ascii="Times New Roman"/>
                <w:sz w:val="21"/>
              </w:rPr>
              <w:t>-1,967,552.94</w:t>
            </w:r>
          </w:p>
        </w:tc>
        <w:tc>
          <w:tcPr>
            <w:tcW w:w="1632"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24" w:right="0"/>
              <w:jc w:val="left"/>
              <w:rPr>
                <w:rFonts w:ascii="Times New Roman" w:hAnsi="Times New Roman" w:cs="Times New Roman" w:eastAsia="Times New Roman" w:hint="default"/>
                <w:sz w:val="21"/>
                <w:szCs w:val="21"/>
              </w:rPr>
            </w:pPr>
            <w:r>
              <w:rPr>
                <w:rFonts w:ascii="Times New Roman"/>
                <w:sz w:val="21"/>
              </w:rPr>
              <w:t>-7,121,997.43</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80" w:right="0"/>
              <w:jc w:val="left"/>
              <w:rPr>
                <w:rFonts w:ascii="Times New Roman" w:hAnsi="Times New Roman" w:cs="Times New Roman" w:eastAsia="Times New Roman" w:hint="default"/>
                <w:sz w:val="21"/>
                <w:szCs w:val="21"/>
              </w:rPr>
            </w:pPr>
            <w:r>
              <w:rPr>
                <w:rFonts w:ascii="Times New Roman"/>
                <w:sz w:val="21"/>
              </w:rPr>
              <w:t>-72.37</w:t>
            </w:r>
          </w:p>
        </w:tc>
        <w:tc>
          <w:tcPr>
            <w:tcW w:w="2912" w:type="dxa"/>
            <w:vMerge w:val="restart"/>
            <w:tcBorders>
              <w:top w:val="single" w:sz="4" w:space="0" w:color="000000"/>
              <w:left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pacing w:val="-8"/>
                <w:sz w:val="21"/>
                <w:szCs w:val="21"/>
              </w:rPr>
              <w:t>主要系募集资金减少，利息收入</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减少所致。</w:t>
            </w:r>
          </w:p>
        </w:tc>
      </w:tr>
      <w:tr>
        <w:trPr>
          <w:trHeight w:val="31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635" w:type="dxa"/>
            <w:vMerge/>
            <w:tcBorders>
              <w:left w:val="single" w:sz="10" w:space="0" w:color="D2D2D2"/>
              <w:right w:val="single" w:sz="4" w:space="0" w:color="000000"/>
            </w:tcBorders>
          </w:tcPr>
          <w:p>
            <w:pPr/>
          </w:p>
        </w:tc>
        <w:tc>
          <w:tcPr>
            <w:tcW w:w="1632"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c>
          <w:tcPr>
            <w:tcW w:w="2912" w:type="dxa"/>
            <w:vMerge/>
            <w:tcBorders>
              <w:left w:val="single" w:sz="4" w:space="0" w:color="000000"/>
              <w:right w:val="single" w:sz="4" w:space="0" w:color="000000"/>
            </w:tcBorders>
          </w:tcPr>
          <w:p>
            <w:pPr/>
          </w:p>
        </w:tc>
      </w:tr>
      <w:tr>
        <w:trPr>
          <w:trHeight w:val="161"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5" w:type="dxa"/>
            <w:vMerge/>
            <w:tcBorders>
              <w:left w:val="single" w:sz="10" w:space="0" w:color="D2D2D2"/>
              <w:bottom w:val="single" w:sz="4" w:space="0" w:color="000000"/>
              <w:right w:val="single" w:sz="4" w:space="0" w:color="000000"/>
            </w:tcBorders>
          </w:tcPr>
          <w:p>
            <w:pPr/>
          </w:p>
        </w:tc>
        <w:tc>
          <w:tcPr>
            <w:tcW w:w="1632"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2912" w:type="dxa"/>
            <w:vMerge/>
            <w:tcBorders>
              <w:left w:val="single" w:sz="4" w:space="0" w:color="000000"/>
              <w:bottom w:val="single" w:sz="4" w:space="0" w:color="000000"/>
              <w:right w:val="single" w:sz="4" w:space="0" w:color="000000"/>
            </w:tcBorders>
          </w:tcPr>
          <w:p>
            <w:pPr/>
          </w:p>
        </w:tc>
      </w:tr>
      <w:tr>
        <w:trPr>
          <w:trHeight w:val="319" w:hRule="exact"/>
        </w:trPr>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5" w:type="dxa"/>
            <w:vMerge w:val="restart"/>
            <w:tcBorders>
              <w:top w:val="single" w:sz="4" w:space="0" w:color="000000"/>
              <w:left w:val="single" w:sz="10" w:space="0" w:color="D2D2D2"/>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20" w:right="0"/>
              <w:jc w:val="left"/>
              <w:rPr>
                <w:rFonts w:ascii="Times New Roman" w:hAnsi="Times New Roman" w:cs="Times New Roman" w:eastAsia="Times New Roman" w:hint="default"/>
                <w:sz w:val="21"/>
                <w:szCs w:val="21"/>
              </w:rPr>
            </w:pPr>
            <w:r>
              <w:rPr>
                <w:rFonts w:ascii="Times New Roman"/>
                <w:sz w:val="21"/>
              </w:rPr>
              <w:t>-2,350,318.62</w:t>
            </w:r>
          </w:p>
        </w:tc>
        <w:tc>
          <w:tcPr>
            <w:tcW w:w="163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496" w:right="0"/>
              <w:jc w:val="left"/>
              <w:rPr>
                <w:rFonts w:ascii="Times New Roman" w:hAnsi="Times New Roman" w:cs="Times New Roman" w:eastAsia="Times New Roman" w:hint="default"/>
                <w:sz w:val="21"/>
                <w:szCs w:val="21"/>
              </w:rPr>
            </w:pPr>
            <w:r>
              <w:rPr>
                <w:rFonts w:ascii="Times New Roman"/>
                <w:sz w:val="21"/>
              </w:rPr>
              <w:t>6,755,387.93</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775" w:right="0"/>
              <w:jc w:val="left"/>
              <w:rPr>
                <w:rFonts w:ascii="Times New Roman" w:hAnsi="Times New Roman" w:cs="Times New Roman" w:eastAsia="Times New Roman" w:hint="default"/>
                <w:sz w:val="21"/>
                <w:szCs w:val="21"/>
              </w:rPr>
            </w:pPr>
            <w:r>
              <w:rPr>
                <w:rFonts w:ascii="Times New Roman"/>
                <w:sz w:val="21"/>
              </w:rPr>
              <w:t>-134.79</w:t>
            </w:r>
          </w:p>
        </w:tc>
        <w:tc>
          <w:tcPr>
            <w:tcW w:w="2912" w:type="dxa"/>
            <w:vMerge w:val="restart"/>
            <w:tcBorders>
              <w:top w:val="single" w:sz="4" w:space="0" w:color="000000"/>
              <w:left w:val="single" w:sz="4" w:space="0" w:color="000000"/>
              <w:right w:val="single" w:sz="4" w:space="0" w:color="000000"/>
            </w:tcBorders>
          </w:tcPr>
          <w:p>
            <w:pPr>
              <w:pStyle w:val="TableParagraph"/>
              <w:spacing w:line="261" w:lineRule="auto"/>
              <w:ind w:left="21" w:right="7"/>
              <w:jc w:val="both"/>
              <w:rPr>
                <w:rFonts w:ascii="宋体" w:hAnsi="宋体" w:cs="宋体" w:eastAsia="宋体" w:hint="default"/>
                <w:sz w:val="21"/>
                <w:szCs w:val="21"/>
              </w:rPr>
            </w:pPr>
            <w:r>
              <w:rPr>
                <w:rFonts w:ascii="宋体" w:hAnsi="宋体" w:cs="宋体" w:eastAsia="宋体" w:hint="default"/>
                <w:spacing w:val="7"/>
                <w:sz w:val="21"/>
                <w:szCs w:val="21"/>
              </w:rPr>
              <w:t>主要冲销本年度取得免税证明</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10"/>
                <w:sz w:val="21"/>
                <w:szCs w:val="21"/>
              </w:rPr>
              <w:t>的未缴营业税及</w:t>
            </w:r>
            <w:r>
              <w:rPr>
                <w:rFonts w:ascii="Calibri" w:hAnsi="Calibri" w:cs="Calibri" w:eastAsia="Calibri" w:hint="default"/>
                <w:spacing w:val="10"/>
                <w:sz w:val="21"/>
                <w:szCs w:val="21"/>
              </w:rPr>
              <w:t>“</w:t>
            </w:r>
            <w:r>
              <w:rPr>
                <w:rFonts w:ascii="宋体" w:hAnsi="宋体" w:cs="宋体" w:eastAsia="宋体" w:hint="default"/>
                <w:spacing w:val="10"/>
                <w:sz w:val="21"/>
                <w:szCs w:val="21"/>
              </w:rPr>
              <w:t>营改增</w:t>
            </w:r>
            <w:r>
              <w:rPr>
                <w:rFonts w:ascii="Calibri" w:hAnsi="Calibri" w:cs="Calibri" w:eastAsia="Calibri" w:hint="default"/>
                <w:spacing w:val="10"/>
                <w:sz w:val="21"/>
                <w:szCs w:val="21"/>
              </w:rPr>
              <w:t>”</w:t>
            </w:r>
            <w:r>
              <w:rPr>
                <w:rFonts w:ascii="宋体" w:hAnsi="宋体" w:cs="宋体" w:eastAsia="宋体" w:hint="default"/>
                <w:spacing w:val="10"/>
                <w:sz w:val="21"/>
                <w:szCs w:val="21"/>
              </w:rPr>
              <w:t>政策</w:t>
            </w:r>
            <w:r>
              <w:rPr>
                <w:rFonts w:ascii="宋体" w:hAnsi="宋体" w:cs="宋体" w:eastAsia="宋体" w:hint="default"/>
                <w:spacing w:val="-76"/>
                <w:sz w:val="21"/>
                <w:szCs w:val="21"/>
              </w:rPr>
              <w:t> </w:t>
            </w:r>
            <w:r>
              <w:rPr>
                <w:rFonts w:ascii="宋体" w:hAnsi="宋体" w:cs="宋体" w:eastAsia="宋体" w:hint="default"/>
                <w:sz w:val="21"/>
                <w:szCs w:val="21"/>
              </w:rPr>
              <w:t>需冲回的未缴营业税所致</w:t>
            </w:r>
          </w:p>
        </w:tc>
      </w:tr>
      <w:tr>
        <w:trPr>
          <w:trHeight w:val="312" w:hRule="exact"/>
        </w:trPr>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3" w:lineRule="exact"/>
              <w:ind w:left="5" w:right="0"/>
              <w:jc w:val="center"/>
              <w:rPr>
                <w:rFonts w:ascii="宋体" w:hAnsi="宋体" w:cs="宋体" w:eastAsia="宋体" w:hint="default"/>
                <w:sz w:val="21"/>
                <w:szCs w:val="21"/>
              </w:rPr>
            </w:pPr>
            <w:r>
              <w:rPr>
                <w:rFonts w:ascii="宋体" w:hAnsi="宋体" w:cs="宋体" w:eastAsia="宋体" w:hint="default"/>
                <w:sz w:val="21"/>
                <w:szCs w:val="21"/>
              </w:rPr>
              <w:t>营业税金及附加</w:t>
            </w:r>
          </w:p>
        </w:tc>
        <w:tc>
          <w:tcPr>
            <w:tcW w:w="1635" w:type="dxa"/>
            <w:vMerge/>
            <w:tcBorders>
              <w:left w:val="single" w:sz="10" w:space="0" w:color="D2D2D2"/>
              <w:right w:val="single" w:sz="4" w:space="0" w:color="000000"/>
            </w:tcBorders>
          </w:tcPr>
          <w:p>
            <w:pPr/>
          </w:p>
        </w:tc>
        <w:tc>
          <w:tcPr>
            <w:tcW w:w="1632" w:type="dxa"/>
            <w:vMerge/>
            <w:tcBorders>
              <w:left w:val="single" w:sz="4" w:space="0" w:color="000000"/>
              <w:right w:val="single" w:sz="4" w:space="0" w:color="000000"/>
            </w:tcBorders>
          </w:tcPr>
          <w:p>
            <w:pPr/>
          </w:p>
        </w:tc>
        <w:tc>
          <w:tcPr>
            <w:tcW w:w="1459" w:type="dxa"/>
            <w:vMerge/>
            <w:tcBorders>
              <w:left w:val="single" w:sz="4" w:space="0" w:color="000000"/>
              <w:right w:val="single" w:sz="4" w:space="0" w:color="000000"/>
            </w:tcBorders>
          </w:tcPr>
          <w:p>
            <w:pPr/>
          </w:p>
        </w:tc>
        <w:tc>
          <w:tcPr>
            <w:tcW w:w="2912" w:type="dxa"/>
            <w:vMerge/>
            <w:tcBorders>
              <w:left w:val="single" w:sz="4" w:space="0" w:color="000000"/>
              <w:right w:val="single" w:sz="4" w:space="0" w:color="000000"/>
            </w:tcBorders>
          </w:tcPr>
          <w:p>
            <w:pPr/>
          </w:p>
        </w:tc>
      </w:tr>
      <w:tr>
        <w:trPr>
          <w:trHeight w:val="317" w:hRule="exact"/>
        </w:trPr>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5" w:type="dxa"/>
            <w:vMerge/>
            <w:tcBorders>
              <w:left w:val="single" w:sz="10" w:space="0" w:color="D2D2D2"/>
              <w:bottom w:val="single" w:sz="4" w:space="0" w:color="000000"/>
              <w:right w:val="single" w:sz="4" w:space="0" w:color="000000"/>
            </w:tcBorders>
          </w:tcPr>
          <w:p>
            <w:pPr/>
          </w:p>
        </w:tc>
        <w:tc>
          <w:tcPr>
            <w:tcW w:w="1632"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2912" w:type="dxa"/>
            <w:vMerge/>
            <w:tcBorders>
              <w:left w:val="single" w:sz="4" w:space="0" w:color="000000"/>
              <w:bottom w:val="single" w:sz="4" w:space="0" w:color="000000"/>
              <w:right w:val="single" w:sz="4" w:space="0" w:color="000000"/>
            </w:tcBorders>
          </w:tcPr>
          <w:p>
            <w:pPr/>
          </w:p>
        </w:tc>
      </w:tr>
    </w:tbl>
    <w:p>
      <w:pPr>
        <w:spacing w:after="0"/>
        <w:sectPr>
          <w:pgSz w:w="11910" w:h="16840"/>
          <w:pgMar w:header="884" w:footer="1007" w:top="1100" w:bottom="1200" w:left="1140" w:right="980"/>
        </w:sectPr>
      </w:pPr>
    </w:p>
    <w:p>
      <w:pPr>
        <w:spacing w:line="240" w:lineRule="auto" w:before="8"/>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916"/>
        <w:gridCol w:w="1635"/>
        <w:gridCol w:w="1632"/>
        <w:gridCol w:w="1459"/>
        <w:gridCol w:w="2912"/>
      </w:tblGrid>
      <w:tr>
        <w:trPr>
          <w:trHeight w:val="94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638"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-608,365.73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59" w:right="0"/>
              <w:jc w:val="left"/>
              <w:rPr>
                <w:rFonts w:ascii="Times New Roman" w:hAnsi="Times New Roman" w:cs="Times New Roman" w:eastAsia="Times New Roman" w:hint="default"/>
                <w:sz w:val="21"/>
                <w:szCs w:val="21"/>
              </w:rPr>
            </w:pPr>
            <w:r>
              <w:rPr>
                <w:rFonts w:ascii="Times New Roman"/>
                <w:sz w:val="21"/>
              </w:rPr>
              <w:t>6,621,880.83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98" w:right="0"/>
              <w:jc w:val="left"/>
              <w:rPr>
                <w:rFonts w:ascii="Times New Roman" w:hAnsi="Times New Roman" w:cs="Times New Roman" w:eastAsia="Times New Roman" w:hint="default"/>
                <w:sz w:val="21"/>
                <w:szCs w:val="21"/>
              </w:rPr>
            </w:pPr>
            <w:r>
              <w:rPr>
                <w:rFonts w:ascii="Times New Roman"/>
                <w:sz w:val="21"/>
              </w:rPr>
              <w:t>-109.19</w:t>
            </w:r>
          </w:p>
        </w:tc>
        <w:tc>
          <w:tcPr>
            <w:tcW w:w="29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7"/>
              <w:jc w:val="both"/>
              <w:rPr>
                <w:rFonts w:ascii="宋体" w:hAnsi="宋体" w:cs="宋体" w:eastAsia="宋体" w:hint="default"/>
                <w:sz w:val="21"/>
                <w:szCs w:val="21"/>
              </w:rPr>
            </w:pPr>
            <w:r>
              <w:rPr>
                <w:rFonts w:ascii="宋体" w:hAnsi="宋体" w:cs="宋体" w:eastAsia="宋体" w:hint="default"/>
                <w:spacing w:val="-8"/>
                <w:w w:val="100"/>
                <w:sz w:val="21"/>
                <w:szCs w:val="21"/>
              </w:rPr>
              <w:t>主要系本期收入及毛利下降、费</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pacing w:val="-8"/>
                <w:w w:val="100"/>
                <w:sz w:val="21"/>
                <w:szCs w:val="21"/>
              </w:rPr>
              <w:t>用有所提高，应纳税所得额减少</w:t>
            </w:r>
            <w:r>
              <w:rPr>
                <w:rFonts w:ascii="宋体" w:hAnsi="宋体" w:cs="宋体" w:eastAsia="宋体" w:hint="default"/>
                <w:spacing w:val="-97"/>
                <w:w w:val="100"/>
                <w:sz w:val="21"/>
                <w:szCs w:val="21"/>
              </w:rPr>
              <w:t> </w:t>
            </w:r>
            <w:r>
              <w:rPr>
                <w:rFonts w:ascii="宋体" w:hAnsi="宋体" w:cs="宋体" w:eastAsia="宋体" w:hint="default"/>
                <w:spacing w:val="-97"/>
                <w:w w:val="100"/>
                <w:sz w:val="21"/>
                <w:szCs w:val="21"/>
              </w:rPr>
            </w:r>
            <w:r>
              <w:rPr>
                <w:rFonts w:ascii="宋体" w:hAnsi="宋体" w:cs="宋体" w:eastAsia="宋体" w:hint="default"/>
                <w:sz w:val="21"/>
                <w:szCs w:val="21"/>
              </w:rPr>
              <w:t>所致。</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6"/>
        <w:rPr>
          <w:rFonts w:ascii="宋体" w:hAnsi="宋体" w:cs="宋体" w:eastAsia="宋体" w:hint="default"/>
          <w:b/>
          <w:bCs/>
          <w:sz w:val="27"/>
          <w:szCs w:val="27"/>
        </w:rPr>
      </w:pPr>
    </w:p>
    <w:p>
      <w:pPr>
        <w:pStyle w:val="BodyText"/>
        <w:spacing w:line="240" w:lineRule="auto"/>
        <w:ind w:left="617" w:right="0"/>
        <w:jc w:val="left"/>
      </w:pPr>
      <w:r>
        <w:rPr/>
        <w:t>近三年公司研发投入金额及占营业收入的比例</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1901"/>
        <w:gridCol w:w="1923"/>
        <w:gridCol w:w="1911"/>
        <w:gridCol w:w="1911"/>
        <w:gridCol w:w="1908"/>
      </w:tblGrid>
      <w:tr>
        <w:trPr>
          <w:trHeight w:val="32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619"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2012 </w:t>
            </w:r>
            <w:r>
              <w:rPr>
                <w:rFonts w:ascii="宋体" w:hAnsi="宋体" w:cs="宋体" w:eastAsia="宋体" w:hint="default"/>
                <w:b/>
                <w:bCs/>
                <w:sz w:val="21"/>
                <w:szCs w:val="21"/>
              </w:rPr>
              <w:t>年</w:t>
            </w:r>
            <w:r>
              <w:rPr>
                <w:rFonts w:ascii="宋体" w:hAnsi="宋体" w:cs="宋体" w:eastAsia="宋体" w:hint="default"/>
                <w:sz w:val="21"/>
                <w:szCs w:val="21"/>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215"/>
              <w:jc w:val="right"/>
              <w:rPr>
                <w:rFonts w:ascii="宋体" w:hAnsi="宋体" w:cs="宋体" w:eastAsia="宋体" w:hint="default"/>
                <w:sz w:val="21"/>
                <w:szCs w:val="21"/>
              </w:rPr>
            </w:pPr>
            <w:r>
              <w:rPr>
                <w:rFonts w:ascii="宋体" w:hAnsi="宋体" w:cs="宋体" w:eastAsia="宋体" w:hint="default"/>
                <w:b/>
                <w:bCs/>
                <w:spacing w:val="-1"/>
                <w:sz w:val="21"/>
                <w:szCs w:val="21"/>
              </w:rPr>
              <w:t>同比增减（</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w:t>
            </w:r>
            <w:r>
              <w:rPr>
                <w:rFonts w:ascii="宋体" w:hAnsi="宋体" w:cs="宋体" w:eastAsia="宋体" w:hint="default"/>
                <w:spacing w:val="-1"/>
                <w:sz w:val="21"/>
                <w:szCs w:val="21"/>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612"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604"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334" w:hRule="exact"/>
        </w:trPr>
        <w:tc>
          <w:tcPr>
            <w:tcW w:w="1901"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67" w:lineRule="exact"/>
              <w:ind w:left="24" w:right="-34"/>
              <w:jc w:val="center"/>
              <w:rPr>
                <w:rFonts w:ascii="宋体" w:hAnsi="宋体" w:cs="宋体" w:eastAsia="宋体" w:hint="default"/>
                <w:sz w:val="21"/>
                <w:szCs w:val="21"/>
              </w:rPr>
            </w:pPr>
            <w:r>
              <w:rPr>
                <w:rFonts w:ascii="宋体" w:hAnsi="宋体" w:cs="宋体" w:eastAsia="宋体" w:hint="default"/>
                <w:spacing w:val="-1"/>
                <w:sz w:val="21"/>
                <w:szCs w:val="21"/>
              </w:rPr>
              <w:t>研发投入金额（元）</w:t>
            </w:r>
          </w:p>
        </w:tc>
        <w:tc>
          <w:tcPr>
            <w:tcW w:w="1923" w:type="dxa"/>
            <w:tcBorders>
              <w:top w:val="single" w:sz="4" w:space="0" w:color="000000"/>
              <w:left w:val="single" w:sz="22" w:space="0" w:color="FFFFFF"/>
              <w:bottom w:val="single" w:sz="4" w:space="0" w:color="000000"/>
              <w:right w:val="single" w:sz="4" w:space="0" w:color="000000"/>
            </w:tcBorders>
          </w:tcPr>
          <w:p>
            <w:pPr>
              <w:pStyle w:val="TableParagraph"/>
              <w:spacing w:line="240" w:lineRule="auto" w:before="56"/>
              <w:ind w:right="211"/>
              <w:jc w:val="right"/>
              <w:rPr>
                <w:rFonts w:ascii="Times New Roman" w:hAnsi="Times New Roman" w:cs="Times New Roman" w:eastAsia="Times New Roman" w:hint="default"/>
                <w:sz w:val="21"/>
                <w:szCs w:val="21"/>
              </w:rPr>
            </w:pPr>
            <w:r>
              <w:rPr>
                <w:rFonts w:ascii="Times New Roman"/>
                <w:spacing w:val="-2"/>
                <w:sz w:val="21"/>
              </w:rPr>
              <w:t>78,616,116.01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4"/>
              <w:jc w:val="right"/>
              <w:rPr>
                <w:rFonts w:ascii="Times New Roman" w:hAnsi="Times New Roman" w:cs="Times New Roman" w:eastAsia="Times New Roman" w:hint="default"/>
                <w:sz w:val="21"/>
                <w:szCs w:val="21"/>
              </w:rPr>
            </w:pPr>
            <w:r>
              <w:rPr>
                <w:rFonts w:ascii="Times New Roman"/>
                <w:sz w:val="21"/>
              </w:rPr>
              <w:t>15.67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4"/>
              <w:jc w:val="right"/>
              <w:rPr>
                <w:rFonts w:ascii="Times New Roman" w:hAnsi="Times New Roman" w:cs="Times New Roman" w:eastAsia="Times New Roman" w:hint="default"/>
                <w:sz w:val="21"/>
                <w:szCs w:val="21"/>
              </w:rPr>
            </w:pPr>
            <w:r>
              <w:rPr>
                <w:rFonts w:ascii="Times New Roman"/>
                <w:spacing w:val="-1"/>
                <w:sz w:val="21"/>
              </w:rPr>
              <w:t>67,965,534.39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1"/>
              <w:jc w:val="right"/>
              <w:rPr>
                <w:rFonts w:ascii="Times New Roman" w:hAnsi="Times New Roman" w:cs="Times New Roman" w:eastAsia="Times New Roman" w:hint="default"/>
                <w:sz w:val="21"/>
                <w:szCs w:val="21"/>
              </w:rPr>
            </w:pPr>
            <w:r>
              <w:rPr>
                <w:rFonts w:ascii="Times New Roman"/>
                <w:spacing w:val="-1"/>
                <w:sz w:val="21"/>
              </w:rPr>
              <w:t>48,693,435.43</w:t>
            </w:r>
          </w:p>
        </w:tc>
      </w:tr>
      <w:tr>
        <w:trPr>
          <w:trHeight w:val="33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15" w:right="0"/>
              <w:jc w:val="center"/>
              <w:rPr>
                <w:rFonts w:ascii="宋体" w:hAnsi="宋体" w:cs="宋体" w:eastAsia="宋体" w:hint="default"/>
                <w:sz w:val="21"/>
                <w:szCs w:val="21"/>
              </w:rPr>
            </w:pPr>
            <w:r>
              <w:rPr>
                <w:rFonts w:ascii="宋体" w:hAnsi="宋体" w:cs="宋体" w:eastAsia="宋体" w:hint="default"/>
                <w:sz w:val="21"/>
                <w:szCs w:val="21"/>
              </w:rPr>
              <w:t>营业收入（元）</w:t>
            </w:r>
          </w:p>
        </w:tc>
        <w:tc>
          <w:tcPr>
            <w:tcW w:w="19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right="212"/>
              <w:jc w:val="right"/>
              <w:rPr>
                <w:rFonts w:ascii="Times New Roman" w:hAnsi="Times New Roman" w:cs="Times New Roman" w:eastAsia="Times New Roman" w:hint="default"/>
                <w:sz w:val="21"/>
                <w:szCs w:val="21"/>
              </w:rPr>
            </w:pPr>
            <w:r>
              <w:rPr>
                <w:rFonts w:ascii="Times New Roman"/>
                <w:spacing w:val="-1"/>
                <w:sz w:val="21"/>
              </w:rPr>
              <w:t>264,028,848.67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216"/>
              <w:jc w:val="right"/>
              <w:rPr>
                <w:rFonts w:ascii="Times New Roman" w:hAnsi="Times New Roman" w:cs="Times New Roman" w:eastAsia="Times New Roman" w:hint="default"/>
                <w:sz w:val="21"/>
                <w:szCs w:val="21"/>
              </w:rPr>
            </w:pPr>
            <w:r>
              <w:rPr>
                <w:rFonts w:ascii="Times New Roman"/>
                <w:spacing w:val="-1"/>
                <w:sz w:val="21"/>
              </w:rPr>
              <w:t>-9.92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4"/>
              <w:jc w:val="right"/>
              <w:rPr>
                <w:rFonts w:ascii="Times New Roman" w:hAnsi="Times New Roman" w:cs="Times New Roman" w:eastAsia="Times New Roman" w:hint="default"/>
                <w:sz w:val="21"/>
                <w:szCs w:val="21"/>
              </w:rPr>
            </w:pPr>
            <w:r>
              <w:rPr>
                <w:rFonts w:ascii="Times New Roman"/>
                <w:spacing w:val="-1"/>
                <w:sz w:val="21"/>
              </w:rPr>
              <w:t>293,109,270.08</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211"/>
              <w:jc w:val="right"/>
              <w:rPr>
                <w:rFonts w:ascii="Times New Roman" w:hAnsi="Times New Roman" w:cs="Times New Roman" w:eastAsia="Times New Roman" w:hint="default"/>
                <w:sz w:val="21"/>
                <w:szCs w:val="21"/>
              </w:rPr>
            </w:pPr>
            <w:r>
              <w:rPr>
                <w:rFonts w:ascii="Times New Roman"/>
                <w:spacing w:val="-1"/>
                <w:sz w:val="21"/>
              </w:rPr>
              <w:t>202,537,982.90</w:t>
            </w:r>
          </w:p>
        </w:tc>
      </w:tr>
      <w:tr>
        <w:trPr>
          <w:trHeight w:val="65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38" w:right="96" w:hanging="228"/>
              <w:jc w:val="left"/>
              <w:rPr>
                <w:rFonts w:ascii="宋体" w:hAnsi="宋体" w:cs="宋体" w:eastAsia="宋体" w:hint="default"/>
                <w:sz w:val="21"/>
                <w:szCs w:val="21"/>
              </w:rPr>
            </w:pPr>
            <w:r>
              <w:rPr>
                <w:rFonts w:ascii="宋体" w:hAnsi="宋体" w:cs="宋体" w:eastAsia="宋体" w:hint="default"/>
                <w:sz w:val="21"/>
                <w:szCs w:val="21"/>
              </w:rPr>
              <w:t>研发投入占营业收</w:t>
            </w:r>
            <w:r>
              <w:rPr>
                <w:rFonts w:ascii="宋体" w:hAnsi="宋体" w:cs="宋体" w:eastAsia="宋体" w:hint="default"/>
                <w:w w:val="100"/>
                <w:sz w:val="21"/>
                <w:szCs w:val="21"/>
              </w:rPr>
              <w:t> </w:t>
            </w:r>
            <w:r>
              <w:rPr>
                <w:rFonts w:ascii="宋体" w:hAnsi="宋体" w:cs="宋体" w:eastAsia="宋体" w:hint="default"/>
                <w:sz w:val="21"/>
                <w:szCs w:val="21"/>
              </w:rPr>
              <w:t>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11"/>
              <w:jc w:val="right"/>
              <w:rPr>
                <w:rFonts w:ascii="Times New Roman" w:hAnsi="Times New Roman" w:cs="Times New Roman" w:eastAsia="Times New Roman" w:hint="default"/>
                <w:sz w:val="21"/>
                <w:szCs w:val="21"/>
              </w:rPr>
            </w:pPr>
            <w:r>
              <w:rPr>
                <w:rFonts w:ascii="Times New Roman"/>
                <w:sz w:val="21"/>
              </w:rPr>
              <w:t>29.92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15"/>
              <w:jc w:val="right"/>
              <w:rPr>
                <w:rFonts w:ascii="Times New Roman" w:hAnsi="Times New Roman" w:cs="Times New Roman" w:eastAsia="Times New Roman" w:hint="default"/>
                <w:sz w:val="21"/>
                <w:szCs w:val="21"/>
              </w:rPr>
            </w:pPr>
            <w:r>
              <w:rPr>
                <w:rFonts w:ascii="Times New Roman"/>
                <w:sz w:val="21"/>
              </w:rPr>
              <w:t>10.33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14"/>
              <w:jc w:val="right"/>
              <w:rPr>
                <w:rFonts w:ascii="Times New Roman" w:hAnsi="Times New Roman" w:cs="Times New Roman" w:eastAsia="Times New Roman" w:hint="default"/>
                <w:sz w:val="21"/>
                <w:szCs w:val="21"/>
              </w:rPr>
            </w:pPr>
            <w:r>
              <w:rPr>
                <w:rFonts w:ascii="Times New Roman"/>
                <w:sz w:val="21"/>
              </w:rPr>
              <w:t>19.59</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11"/>
              <w:jc w:val="right"/>
              <w:rPr>
                <w:rFonts w:ascii="Times New Roman" w:hAnsi="Times New Roman" w:cs="Times New Roman" w:eastAsia="Times New Roman" w:hint="default"/>
                <w:sz w:val="21"/>
                <w:szCs w:val="21"/>
              </w:rPr>
            </w:pPr>
            <w:r>
              <w:rPr>
                <w:rFonts w:ascii="Times New Roman"/>
                <w:sz w:val="21"/>
              </w:rPr>
              <w:t>21.52</w:t>
            </w:r>
          </w:p>
        </w:tc>
      </w:tr>
    </w:tbl>
    <w:p>
      <w:pPr>
        <w:spacing w:line="256" w:lineRule="auto" w:before="0"/>
        <w:ind w:left="137" w:right="0" w:firstLine="0"/>
        <w:jc w:val="left"/>
        <w:rPr>
          <w:rFonts w:ascii="宋体" w:hAnsi="宋体" w:cs="宋体" w:eastAsia="宋体" w:hint="default"/>
          <w:sz w:val="21"/>
          <w:szCs w:val="21"/>
        </w:rPr>
      </w:pPr>
      <w:r>
        <w:rPr>
          <w:rFonts w:ascii="宋体" w:hAnsi="宋体" w:cs="宋体" w:eastAsia="宋体" w:hint="default"/>
          <w:spacing w:val="-7"/>
          <w:sz w:val="21"/>
          <w:szCs w:val="21"/>
        </w:rPr>
        <w:t>注：研发投入金额是以合并报表为口径。</w:t>
      </w:r>
      <w:r>
        <w:rPr>
          <w:rFonts w:ascii="Times New Roman" w:hAnsi="Times New Roman" w:cs="Times New Roman" w:eastAsia="Times New Roman" w:hint="default"/>
          <w:spacing w:val="-7"/>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年和</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年年报中所列示的研发费用为母公司研发费用为</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统计口径。</w:t>
      </w:r>
    </w:p>
    <w:p>
      <w:pPr>
        <w:pStyle w:val="BodyText"/>
        <w:spacing w:line="240" w:lineRule="auto" w:before="74"/>
        <w:ind w:left="617" w:right="0"/>
        <w:jc w:val="left"/>
      </w:pPr>
      <w:r>
        <w:rPr/>
        <w:t>本期开发支出占本期研究开发项目支出总额的比例</w:t>
      </w:r>
      <w:r>
        <w:rPr>
          <w:rFonts w:ascii="Times New Roman" w:hAnsi="Times New Roman" w:cs="Times New Roman" w:eastAsia="Times New Roman" w:hint="default"/>
        </w:rPr>
        <w:t>0.81%</w:t>
      </w:r>
      <w:r>
        <w:rPr/>
        <w:t>。</w:t>
      </w:r>
    </w:p>
    <w:p>
      <w:pPr>
        <w:spacing w:line="240" w:lineRule="auto" w:before="1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594"/>
        <w:gridCol w:w="1436"/>
        <w:gridCol w:w="1351"/>
        <w:gridCol w:w="1584"/>
        <w:gridCol w:w="2069"/>
        <w:gridCol w:w="1507"/>
      </w:tblGrid>
      <w:tr>
        <w:trPr>
          <w:trHeight w:val="222" w:hRule="exact"/>
        </w:trPr>
        <w:tc>
          <w:tcPr>
            <w:tcW w:w="1594" w:type="dxa"/>
            <w:tcBorders>
              <w:top w:val="single" w:sz="4" w:space="0" w:color="000000"/>
              <w:left w:val="single" w:sz="4" w:space="0" w:color="000000"/>
              <w:bottom w:val="nil" w:sz="6" w:space="0" w:color="auto"/>
              <w:right w:val="single" w:sz="4" w:space="0" w:color="000000"/>
            </w:tcBorders>
            <w:shd w:val="clear" w:color="auto" w:fill="D9D9D9"/>
          </w:tcPr>
          <w:p>
            <w:pPr/>
          </w:p>
        </w:tc>
        <w:tc>
          <w:tcPr>
            <w:tcW w:w="1436" w:type="dxa"/>
            <w:tcBorders>
              <w:top w:val="single" w:sz="4" w:space="0" w:color="000000"/>
              <w:left w:val="single" w:sz="4" w:space="0" w:color="000000"/>
              <w:bottom w:val="nil" w:sz="6" w:space="0" w:color="auto"/>
              <w:right w:val="single" w:sz="4" w:space="0" w:color="000000"/>
            </w:tcBorders>
            <w:shd w:val="clear" w:color="auto" w:fill="D9D9D9"/>
          </w:tcPr>
          <w:p>
            <w:pPr/>
          </w:p>
        </w:tc>
        <w:tc>
          <w:tcPr>
            <w:tcW w:w="1351" w:type="dxa"/>
            <w:tcBorders>
              <w:top w:val="single" w:sz="4" w:space="0" w:color="000000"/>
              <w:left w:val="single" w:sz="4" w:space="0" w:color="000000"/>
              <w:bottom w:val="nil" w:sz="6" w:space="0" w:color="auto"/>
              <w:right w:val="single" w:sz="4" w:space="0" w:color="000000"/>
            </w:tcBorders>
            <w:shd w:val="clear" w:color="auto" w:fill="D9D9D9"/>
          </w:tcPr>
          <w:p>
            <w:pPr/>
          </w:p>
        </w:tc>
        <w:tc>
          <w:tcPr>
            <w:tcW w:w="3654" w:type="dxa"/>
            <w:gridSpan w:val="2"/>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507" w:type="dxa"/>
            <w:tcBorders>
              <w:top w:val="single" w:sz="4" w:space="0" w:color="000000"/>
              <w:left w:val="single" w:sz="4" w:space="0" w:color="000000"/>
              <w:bottom w:val="nil" w:sz="6" w:space="0" w:color="auto"/>
              <w:right w:val="single" w:sz="4" w:space="0" w:color="000000"/>
            </w:tcBorders>
            <w:shd w:val="clear" w:color="auto" w:fill="D9D9D9"/>
          </w:tcPr>
          <w:p>
            <w:pPr/>
          </w:p>
        </w:tc>
      </w:tr>
      <w:tr>
        <w:trPr>
          <w:trHeight w:val="156" w:hRule="exact"/>
        </w:trPr>
        <w:tc>
          <w:tcPr>
            <w:tcW w:w="1594" w:type="dxa"/>
            <w:vMerge w:val="restart"/>
            <w:tcBorders>
              <w:top w:val="nil" w:sz="6" w:space="0" w:color="auto"/>
              <w:left w:val="single" w:sz="4" w:space="0" w:color="000000"/>
              <w:right w:val="single" w:sz="4" w:space="0" w:color="000000"/>
            </w:tcBorders>
            <w:shd w:val="clear" w:color="auto" w:fill="D9D9D9"/>
          </w:tcPr>
          <w:p>
            <w:pPr>
              <w:pStyle w:val="TableParagraph"/>
              <w:tabs>
                <w:tab w:pos="890" w:val="left" w:leader="none"/>
              </w:tabs>
              <w:spacing w:line="262"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项</w:t>
              <w:tab/>
              <w:t>目</w:t>
            </w:r>
            <w:r>
              <w:rPr>
                <w:rFonts w:ascii="宋体" w:hAnsi="宋体" w:cs="宋体" w:eastAsia="宋体" w:hint="default"/>
                <w:sz w:val="21"/>
                <w:szCs w:val="21"/>
              </w:rPr>
            </w:r>
          </w:p>
        </w:tc>
        <w:tc>
          <w:tcPr>
            <w:tcW w:w="1436" w:type="dxa"/>
            <w:vMerge w:val="restart"/>
            <w:tcBorders>
              <w:top w:val="nil" w:sz="6" w:space="0" w:color="auto"/>
              <w:left w:val="single" w:sz="4" w:space="0" w:color="000000"/>
              <w:right w:val="single" w:sz="4" w:space="0" w:color="000000"/>
            </w:tcBorders>
            <w:shd w:val="clear" w:color="auto" w:fill="D9D9D9"/>
          </w:tcPr>
          <w:p>
            <w:pPr>
              <w:pStyle w:val="TableParagraph"/>
              <w:spacing w:line="262" w:lineRule="exact"/>
              <w:ind w:left="393"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351" w:type="dxa"/>
            <w:vMerge w:val="restart"/>
            <w:tcBorders>
              <w:top w:val="nil" w:sz="6" w:space="0" w:color="auto"/>
              <w:left w:val="single" w:sz="4" w:space="0" w:color="000000"/>
              <w:right w:val="single" w:sz="4" w:space="0" w:color="000000"/>
            </w:tcBorders>
            <w:shd w:val="clear" w:color="auto" w:fill="D9D9D9"/>
          </w:tcPr>
          <w:p>
            <w:pPr>
              <w:pStyle w:val="TableParagraph"/>
              <w:spacing w:line="262" w:lineRule="exact"/>
              <w:ind w:left="247"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3654" w:type="dxa"/>
            <w:gridSpan w:val="2"/>
            <w:vMerge/>
            <w:tcBorders>
              <w:left w:val="single" w:sz="4" w:space="0" w:color="000000"/>
              <w:bottom w:val="single" w:sz="4" w:space="0" w:color="000000"/>
              <w:right w:val="single" w:sz="4" w:space="0" w:color="000000"/>
            </w:tcBorders>
            <w:shd w:val="clear" w:color="auto" w:fill="D9D9D9"/>
          </w:tcPr>
          <w:p>
            <w:pPr/>
          </w:p>
        </w:tc>
        <w:tc>
          <w:tcPr>
            <w:tcW w:w="1507" w:type="dxa"/>
            <w:vMerge w:val="restart"/>
            <w:tcBorders>
              <w:top w:val="nil" w:sz="6" w:space="0" w:color="auto"/>
              <w:left w:val="single" w:sz="4" w:space="0" w:color="000000"/>
              <w:right w:val="single" w:sz="4" w:space="0" w:color="000000"/>
            </w:tcBorders>
            <w:shd w:val="clear" w:color="auto" w:fill="D9D9D9"/>
          </w:tcPr>
          <w:p>
            <w:pPr>
              <w:pStyle w:val="TableParagraph"/>
              <w:spacing w:line="262" w:lineRule="exact"/>
              <w:ind w:left="431"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156" w:hRule="exact"/>
        </w:trPr>
        <w:tc>
          <w:tcPr>
            <w:tcW w:w="1594" w:type="dxa"/>
            <w:vMerge/>
            <w:tcBorders>
              <w:left w:val="single" w:sz="4" w:space="0" w:color="000000"/>
              <w:bottom w:val="nil" w:sz="6" w:space="0" w:color="auto"/>
              <w:right w:val="single" w:sz="4" w:space="0" w:color="000000"/>
            </w:tcBorders>
            <w:shd w:val="clear" w:color="auto" w:fill="D9D9D9"/>
          </w:tcPr>
          <w:p>
            <w:pPr/>
          </w:p>
        </w:tc>
        <w:tc>
          <w:tcPr>
            <w:tcW w:w="1436" w:type="dxa"/>
            <w:vMerge/>
            <w:tcBorders>
              <w:left w:val="single" w:sz="4" w:space="0" w:color="000000"/>
              <w:bottom w:val="nil" w:sz="6" w:space="0" w:color="auto"/>
              <w:right w:val="single" w:sz="4" w:space="0" w:color="000000"/>
            </w:tcBorders>
            <w:shd w:val="clear" w:color="auto" w:fill="D9D9D9"/>
          </w:tcPr>
          <w:p>
            <w:pPr/>
          </w:p>
        </w:tc>
        <w:tc>
          <w:tcPr>
            <w:tcW w:w="1351" w:type="dxa"/>
            <w:vMerge/>
            <w:tcBorders>
              <w:left w:val="single" w:sz="4" w:space="0" w:color="000000"/>
              <w:bottom w:val="nil" w:sz="6" w:space="0" w:color="auto"/>
              <w:right w:val="single" w:sz="4" w:space="0" w:color="000000"/>
            </w:tcBorders>
            <w:shd w:val="clear" w:color="auto" w:fill="D9D9D9"/>
          </w:tcPr>
          <w:p>
            <w:pPr/>
          </w:p>
        </w:tc>
        <w:tc>
          <w:tcPr>
            <w:tcW w:w="158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6"/>
              <w:ind w:left="153" w:right="0"/>
              <w:jc w:val="left"/>
              <w:rPr>
                <w:rFonts w:ascii="宋体" w:hAnsi="宋体" w:cs="宋体" w:eastAsia="宋体" w:hint="default"/>
                <w:sz w:val="21"/>
                <w:szCs w:val="21"/>
              </w:rPr>
            </w:pPr>
            <w:r>
              <w:rPr>
                <w:rFonts w:ascii="宋体" w:hAnsi="宋体" w:cs="宋体" w:eastAsia="宋体" w:hint="default"/>
                <w:b/>
                <w:bCs/>
                <w:sz w:val="21"/>
                <w:szCs w:val="21"/>
              </w:rPr>
              <w:t>计入当期损益</w:t>
            </w:r>
            <w:r>
              <w:rPr>
                <w:rFonts w:ascii="宋体" w:hAnsi="宋体" w:cs="宋体" w:eastAsia="宋体" w:hint="default"/>
                <w:sz w:val="21"/>
                <w:szCs w:val="21"/>
              </w:rPr>
            </w:r>
          </w:p>
        </w:tc>
        <w:tc>
          <w:tcPr>
            <w:tcW w:w="206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26"/>
              <w:ind w:left="292" w:right="0"/>
              <w:jc w:val="left"/>
              <w:rPr>
                <w:rFonts w:ascii="宋体" w:hAnsi="宋体" w:cs="宋体" w:eastAsia="宋体" w:hint="default"/>
                <w:sz w:val="21"/>
                <w:szCs w:val="21"/>
              </w:rPr>
            </w:pPr>
            <w:r>
              <w:rPr>
                <w:rFonts w:ascii="宋体" w:hAnsi="宋体" w:cs="宋体" w:eastAsia="宋体" w:hint="default"/>
                <w:b/>
                <w:bCs/>
                <w:sz w:val="21"/>
                <w:szCs w:val="21"/>
              </w:rPr>
              <w:t>确认为无形资产</w:t>
            </w:r>
            <w:r>
              <w:rPr>
                <w:rFonts w:ascii="宋体" w:hAnsi="宋体" w:cs="宋体" w:eastAsia="宋体" w:hint="default"/>
                <w:sz w:val="21"/>
                <w:szCs w:val="21"/>
              </w:rPr>
            </w:r>
          </w:p>
        </w:tc>
        <w:tc>
          <w:tcPr>
            <w:tcW w:w="1507" w:type="dxa"/>
            <w:vMerge/>
            <w:tcBorders>
              <w:left w:val="single" w:sz="4" w:space="0" w:color="000000"/>
              <w:bottom w:val="nil" w:sz="6" w:space="0" w:color="auto"/>
              <w:right w:val="single" w:sz="4" w:space="0" w:color="000000"/>
            </w:tcBorders>
            <w:shd w:val="clear" w:color="auto" w:fill="D9D9D9"/>
          </w:tcPr>
          <w:p>
            <w:pPr/>
          </w:p>
        </w:tc>
      </w:tr>
      <w:tr>
        <w:trPr>
          <w:trHeight w:val="222" w:hRule="exact"/>
        </w:trPr>
        <w:tc>
          <w:tcPr>
            <w:tcW w:w="1594" w:type="dxa"/>
            <w:tcBorders>
              <w:top w:val="nil" w:sz="6" w:space="0" w:color="auto"/>
              <w:left w:val="single" w:sz="4" w:space="0" w:color="000000"/>
              <w:bottom w:val="single" w:sz="18" w:space="0" w:color="FFFFFF"/>
              <w:right w:val="single" w:sz="4" w:space="0" w:color="000000"/>
            </w:tcBorders>
            <w:shd w:val="clear" w:color="auto" w:fill="D9D9D9"/>
          </w:tcPr>
          <w:p>
            <w:pPr/>
          </w:p>
        </w:tc>
        <w:tc>
          <w:tcPr>
            <w:tcW w:w="1436" w:type="dxa"/>
            <w:tcBorders>
              <w:top w:val="nil" w:sz="6" w:space="0" w:color="auto"/>
              <w:left w:val="single" w:sz="4" w:space="0" w:color="000000"/>
              <w:bottom w:val="single" w:sz="18" w:space="0" w:color="FFFFFF"/>
              <w:right w:val="single" w:sz="4" w:space="0" w:color="000000"/>
            </w:tcBorders>
            <w:shd w:val="clear" w:color="auto" w:fill="D9D9D9"/>
          </w:tcPr>
          <w:p>
            <w:pPr/>
          </w:p>
        </w:tc>
        <w:tc>
          <w:tcPr>
            <w:tcW w:w="1351" w:type="dxa"/>
            <w:tcBorders>
              <w:top w:val="nil" w:sz="6" w:space="0" w:color="auto"/>
              <w:left w:val="single" w:sz="4" w:space="0" w:color="000000"/>
              <w:bottom w:val="single" w:sz="18" w:space="0" w:color="FFFFFF"/>
              <w:right w:val="single" w:sz="4" w:space="0" w:color="000000"/>
            </w:tcBorders>
            <w:shd w:val="clear" w:color="auto" w:fill="D9D9D9"/>
          </w:tcPr>
          <w:p>
            <w:pPr/>
          </w:p>
        </w:tc>
        <w:tc>
          <w:tcPr>
            <w:tcW w:w="1584" w:type="dxa"/>
            <w:vMerge/>
            <w:tcBorders>
              <w:left w:val="single" w:sz="4" w:space="0" w:color="000000"/>
              <w:bottom w:val="single" w:sz="18" w:space="0" w:color="FFFFFF"/>
              <w:right w:val="single" w:sz="4" w:space="0" w:color="000000"/>
            </w:tcBorders>
            <w:shd w:val="clear" w:color="auto" w:fill="D9D9D9"/>
          </w:tcPr>
          <w:p>
            <w:pPr/>
          </w:p>
        </w:tc>
        <w:tc>
          <w:tcPr>
            <w:tcW w:w="2069" w:type="dxa"/>
            <w:vMerge/>
            <w:tcBorders>
              <w:left w:val="single" w:sz="4" w:space="0" w:color="000000"/>
              <w:bottom w:val="single" w:sz="18" w:space="0" w:color="FFFFFF"/>
              <w:right w:val="single" w:sz="4" w:space="0" w:color="000000"/>
            </w:tcBorders>
            <w:shd w:val="clear" w:color="auto" w:fill="D9D9D9"/>
          </w:tcPr>
          <w:p>
            <w:pPr/>
          </w:p>
        </w:tc>
        <w:tc>
          <w:tcPr>
            <w:tcW w:w="1507" w:type="dxa"/>
            <w:tcBorders>
              <w:top w:val="nil" w:sz="6" w:space="0" w:color="auto"/>
              <w:left w:val="single" w:sz="4" w:space="0" w:color="000000"/>
              <w:bottom w:val="single" w:sz="18" w:space="0" w:color="FFFFFF"/>
              <w:right w:val="single" w:sz="4" w:space="0" w:color="000000"/>
            </w:tcBorders>
            <w:shd w:val="clear" w:color="auto" w:fill="D9D9D9"/>
          </w:tcPr>
          <w:p>
            <w:pPr/>
          </w:p>
        </w:tc>
      </w:tr>
      <w:tr>
        <w:trPr>
          <w:trHeight w:val="654" w:hRule="exact"/>
        </w:trPr>
        <w:tc>
          <w:tcPr>
            <w:tcW w:w="1594" w:type="dxa"/>
            <w:tcBorders>
              <w:top w:val="single" w:sz="18" w:space="0" w:color="FFFFFF"/>
              <w:left w:val="single" w:sz="4" w:space="0" w:color="000000"/>
              <w:bottom w:val="single" w:sz="4" w:space="0" w:color="000000"/>
              <w:right w:val="single" w:sz="4" w:space="0" w:color="000000"/>
            </w:tcBorders>
            <w:shd w:val="clear" w:color="auto" w:fill="D9D9D9"/>
          </w:tcPr>
          <w:p>
            <w:pPr>
              <w:pStyle w:val="TableParagraph"/>
              <w:spacing w:line="309" w:lineRule="auto" w:before="36"/>
              <w:ind w:left="602" w:right="40" w:hanging="572"/>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3"/>
                <w:sz w:val="21"/>
              </w:rPr>
              <w:t> </w:t>
            </w:r>
            <w:r>
              <w:rPr>
                <w:rFonts w:ascii="Times New Roman"/>
                <w:sz w:val="21"/>
              </w:rPr>
              <w:t>iServer</w:t>
            </w:r>
            <w:r>
              <w:rPr>
                <w:rFonts w:ascii="Times New Roman"/>
                <w:w w:val="100"/>
                <w:sz w:val="21"/>
              </w:rPr>
              <w:t> </w:t>
            </w:r>
            <w:r>
              <w:rPr>
                <w:rFonts w:ascii="Times New Roman"/>
                <w:sz w:val="21"/>
              </w:rPr>
              <w:t>6.1x</w:t>
            </w:r>
          </w:p>
        </w:tc>
        <w:tc>
          <w:tcPr>
            <w:tcW w:w="1436" w:type="dxa"/>
            <w:tcBorders>
              <w:top w:val="single" w:sz="18" w:space="0" w:color="FFFFFF"/>
              <w:left w:val="single" w:sz="13" w:space="0" w:color="D9D9D9"/>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2"/>
              <w:jc w:val="center"/>
              <w:rPr>
                <w:rFonts w:ascii="Times New Roman" w:hAnsi="Times New Roman" w:cs="Times New Roman" w:eastAsia="Times New Roman" w:hint="default"/>
                <w:sz w:val="21"/>
                <w:szCs w:val="21"/>
              </w:rPr>
            </w:pPr>
            <w:r>
              <w:rPr>
                <w:rFonts w:ascii="Times New Roman"/>
                <w:w w:val="100"/>
                <w:sz w:val="21"/>
              </w:rPr>
              <w:t>-</w:t>
            </w:r>
          </w:p>
        </w:tc>
        <w:tc>
          <w:tcPr>
            <w:tcW w:w="1351" w:type="dxa"/>
            <w:tcBorders>
              <w:top w:val="single" w:sz="18"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96" w:right="0"/>
              <w:jc w:val="left"/>
              <w:rPr>
                <w:rFonts w:ascii="Times New Roman" w:hAnsi="Times New Roman" w:cs="Times New Roman" w:eastAsia="Times New Roman" w:hint="default"/>
                <w:sz w:val="21"/>
                <w:szCs w:val="21"/>
              </w:rPr>
            </w:pPr>
            <w:r>
              <w:rPr>
                <w:rFonts w:ascii="Times New Roman"/>
                <w:sz w:val="21"/>
              </w:rPr>
              <w:t>636,057.08</w:t>
            </w:r>
          </w:p>
        </w:tc>
        <w:tc>
          <w:tcPr>
            <w:tcW w:w="1584" w:type="dxa"/>
            <w:tcBorders>
              <w:top w:val="single" w:sz="18"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7" w:right="0"/>
              <w:jc w:val="center"/>
              <w:rPr>
                <w:rFonts w:ascii="Times New Roman" w:hAnsi="Times New Roman" w:cs="Times New Roman" w:eastAsia="Times New Roman" w:hint="default"/>
                <w:sz w:val="21"/>
                <w:szCs w:val="21"/>
              </w:rPr>
            </w:pPr>
            <w:r>
              <w:rPr>
                <w:rFonts w:ascii="Times New Roman"/>
                <w:w w:val="100"/>
                <w:sz w:val="21"/>
              </w:rPr>
              <w:t>-</w:t>
            </w:r>
          </w:p>
        </w:tc>
        <w:tc>
          <w:tcPr>
            <w:tcW w:w="2069" w:type="dxa"/>
            <w:tcBorders>
              <w:top w:val="single" w:sz="18"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 w:right="0"/>
              <w:jc w:val="center"/>
              <w:rPr>
                <w:rFonts w:ascii="Times New Roman" w:hAnsi="Times New Roman" w:cs="Times New Roman" w:eastAsia="Times New Roman" w:hint="default"/>
                <w:sz w:val="21"/>
                <w:szCs w:val="21"/>
              </w:rPr>
            </w:pPr>
            <w:r>
              <w:rPr>
                <w:rFonts w:ascii="Times New Roman"/>
                <w:w w:val="100"/>
                <w:sz w:val="21"/>
              </w:rPr>
              <w:t>-</w:t>
            </w:r>
          </w:p>
        </w:tc>
        <w:tc>
          <w:tcPr>
            <w:tcW w:w="1507" w:type="dxa"/>
            <w:tcBorders>
              <w:top w:val="single" w:sz="18" w:space="0" w:color="FFFFFF"/>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75" w:right="0"/>
              <w:jc w:val="left"/>
              <w:rPr>
                <w:rFonts w:ascii="Times New Roman" w:hAnsi="Times New Roman" w:cs="Times New Roman" w:eastAsia="Times New Roman" w:hint="default"/>
                <w:sz w:val="21"/>
                <w:szCs w:val="21"/>
              </w:rPr>
            </w:pPr>
            <w:r>
              <w:rPr>
                <w:rFonts w:ascii="Times New Roman"/>
                <w:sz w:val="21"/>
              </w:rPr>
              <w:t>636,057.08</w:t>
            </w:r>
          </w:p>
        </w:tc>
      </w:tr>
    </w:tbl>
    <w:p>
      <w:pPr>
        <w:pStyle w:val="BodyText"/>
        <w:spacing w:line="338" w:lineRule="auto" w:before="39"/>
        <w:ind w:left="137" w:right="141" w:firstLine="480"/>
        <w:jc w:val="both"/>
      </w:pPr>
      <w:r>
        <w:rPr>
          <w:spacing w:val="-1"/>
        </w:rPr>
        <w:t>公司研发项目的说明：经本公司</w:t>
      </w:r>
      <w:r>
        <w:rPr>
          <w:rFonts w:ascii="Times New Roman" w:hAnsi="Times New Roman" w:cs="Times New Roman" w:eastAsia="Times New Roman" w:hint="default"/>
          <w:spacing w:val="-1"/>
        </w:rPr>
        <w:t>APAC</w:t>
      </w:r>
      <w:r>
        <w:rPr>
          <w:spacing w:val="-1"/>
        </w:rPr>
        <w:t>委员会讨论并通过，启动服务器层面的二三维一</w:t>
      </w:r>
      <w:r>
        <w:rPr/>
        <w:t> 体化研发项目——即</w:t>
      </w:r>
      <w:r>
        <w:rPr>
          <w:rFonts w:ascii="Times New Roman" w:hAnsi="Times New Roman" w:cs="Times New Roman" w:eastAsia="Times New Roman" w:hint="default"/>
        </w:rPr>
        <w:t>Supermap iServer</w:t>
      </w:r>
      <w:r>
        <w:rPr>
          <w:rFonts w:ascii="Times New Roman" w:hAnsi="Times New Roman" w:cs="Times New Roman" w:eastAsia="Times New Roman" w:hint="default"/>
          <w:spacing w:val="27"/>
        </w:rPr>
        <w:t> </w:t>
      </w:r>
      <w:r>
        <w:rPr>
          <w:rFonts w:ascii="Times New Roman" w:hAnsi="Times New Roman" w:cs="Times New Roman" w:eastAsia="Times New Roman" w:hint="default"/>
        </w:rPr>
        <w:t>6.1x</w:t>
      </w:r>
      <w:r>
        <w:rPr/>
        <w:t>项目。公司预计通过一年的研发，在</w:t>
      </w:r>
      <w:r>
        <w:rPr>
          <w:rFonts w:ascii="Times New Roman" w:hAnsi="Times New Roman" w:cs="Times New Roman" w:eastAsia="Times New Roman" w:hint="default"/>
        </w:rPr>
        <w:t>2014</w:t>
      </w:r>
      <w:r>
        <w:rPr/>
        <w:t>年发布 </w:t>
      </w:r>
      <w:r>
        <w:rPr>
          <w:spacing w:val="-1"/>
        </w:rPr>
        <w:t>该产品并实现发货销售。经过前期市场调研和项目可行性论证，报经公司</w:t>
      </w:r>
      <w:r>
        <w:rPr>
          <w:rFonts w:ascii="Times New Roman" w:hAnsi="Times New Roman" w:cs="Times New Roman" w:eastAsia="Times New Roman" w:hint="default"/>
          <w:spacing w:val="-1"/>
        </w:rPr>
        <w:t>APAC</w:t>
      </w:r>
      <w:r>
        <w:rPr>
          <w:spacing w:val="-1"/>
        </w:rPr>
        <w:t>委员会批准</w:t>
      </w:r>
      <w:r>
        <w:rPr>
          <w:spacing w:val="-104"/>
        </w:rPr>
        <w:t> </w:t>
      </w:r>
      <w:r>
        <w:rPr/>
        <w:t>立项，</w:t>
      </w: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10 </w:t>
      </w:r>
      <w:r>
        <w:rPr>
          <w:spacing w:val="3"/>
        </w:rPr>
        <w:t>月项目开发启动，项目开发周期为 </w:t>
      </w:r>
      <w:r>
        <w:rPr>
          <w:rFonts w:ascii="Times New Roman" w:hAnsi="Times New Roman" w:cs="Times New Roman" w:eastAsia="Times New Roman" w:hint="default"/>
        </w:rPr>
        <w:t>2012</w:t>
      </w:r>
      <w:r>
        <w:rPr/>
        <w:t>年 </w:t>
      </w:r>
      <w:r>
        <w:rPr>
          <w:rFonts w:ascii="Times New Roman" w:hAnsi="Times New Roman" w:cs="Times New Roman" w:eastAsia="Times New Roman" w:hint="default"/>
        </w:rPr>
        <w:t>10 </w:t>
      </w:r>
      <w:r>
        <w:rPr/>
        <w:t>月至 </w:t>
      </w:r>
      <w:r>
        <w:rPr>
          <w:rFonts w:ascii="Times New Roman" w:hAnsi="Times New Roman" w:cs="Times New Roman" w:eastAsia="Times New Roman" w:hint="default"/>
        </w:rPr>
        <w:t>2014 </w:t>
      </w:r>
      <w:r>
        <w:rPr/>
        <w:t>年</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spacing w:val="4"/>
        </w:rPr>
        <w:t>月。自 </w:t>
      </w:r>
      <w:r>
        <w:rPr>
          <w:rFonts w:ascii="Times New Roman" w:hAnsi="Times New Roman" w:cs="Times New Roman" w:eastAsia="Times New Roman" w:hint="default"/>
        </w:rPr>
        <w:t>2012</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59"/>
        </w:rPr>
        <w:t> </w:t>
      </w:r>
      <w:r>
        <w:rPr/>
        <w:t>日起发生的开发费用按新会计准则计入开发支出，予以资本化。</w:t>
      </w:r>
    </w:p>
    <w:p>
      <w:pPr>
        <w:spacing w:line="240" w:lineRule="auto" w:before="1"/>
        <w:rPr>
          <w:rFonts w:ascii="宋体" w:hAnsi="宋体" w:cs="宋体" w:eastAsia="宋体" w:hint="default"/>
          <w:sz w:val="19"/>
          <w:szCs w:val="19"/>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23"/>
          <w:szCs w:val="23"/>
        </w:rPr>
      </w:pPr>
    </w:p>
    <w:p>
      <w:pPr>
        <w:spacing w:before="0"/>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3358"/>
        <w:gridCol w:w="2247"/>
        <w:gridCol w:w="1956"/>
        <w:gridCol w:w="1981"/>
      </w:tblGrid>
      <w:tr>
        <w:trPr>
          <w:trHeight w:val="322" w:hRule="exact"/>
        </w:trPr>
        <w:tc>
          <w:tcPr>
            <w:tcW w:w="3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6" w:right="0"/>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636" w:right="0"/>
              <w:jc w:val="left"/>
              <w:rPr>
                <w:rFonts w:ascii="宋体" w:hAnsi="宋体" w:cs="宋体" w:eastAsia="宋体" w:hint="default"/>
                <w:sz w:val="21"/>
                <w:szCs w:val="21"/>
              </w:rPr>
            </w:pPr>
            <w:r>
              <w:rPr>
                <w:rFonts w:ascii="Times New Roman" w:hAnsi="Times New Roman" w:cs="Times New Roman" w:eastAsia="Times New Roman" w:hint="default"/>
                <w:b/>
                <w:bCs/>
                <w:spacing w:val="-4"/>
                <w:sz w:val="21"/>
                <w:szCs w:val="21"/>
              </w:rPr>
              <w:t>2011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45" w:right="0"/>
              <w:jc w:val="left"/>
              <w:rPr>
                <w:rFonts w:ascii="宋体" w:hAnsi="宋体" w:cs="宋体" w:eastAsia="宋体" w:hint="default"/>
                <w:sz w:val="21"/>
                <w:szCs w:val="21"/>
              </w:rPr>
            </w:pPr>
            <w:r>
              <w:rPr>
                <w:rFonts w:ascii="宋体" w:hAnsi="宋体" w:cs="宋体" w:eastAsia="宋体" w:hint="default"/>
                <w:b/>
                <w:bCs/>
                <w:sz w:val="21"/>
                <w:szCs w:val="21"/>
              </w:rPr>
              <w:t>同比增减（</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2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312,659,978.64</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253,033,521.17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23.56</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2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pacing w:val="-1"/>
                <w:sz w:val="21"/>
              </w:rPr>
              <w:t>271,483,044.23</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7"/>
              <w:jc w:val="right"/>
              <w:rPr>
                <w:rFonts w:ascii="Times New Roman" w:hAnsi="Times New Roman" w:cs="Times New Roman" w:eastAsia="Times New Roman" w:hint="default"/>
                <w:sz w:val="21"/>
                <w:szCs w:val="21"/>
              </w:rPr>
            </w:pPr>
            <w:r>
              <w:rPr>
                <w:rFonts w:ascii="Times New Roman"/>
                <w:spacing w:val="-1"/>
                <w:sz w:val="21"/>
              </w:rPr>
              <w:t>252,190,767.45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7.65</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22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21"/>
                <w:szCs w:val="21"/>
              </w:rPr>
            </w:pPr>
            <w:r>
              <w:rPr>
                <w:rFonts w:ascii="Times New Roman"/>
                <w:b/>
                <w:spacing w:val="-1"/>
                <w:sz w:val="21"/>
              </w:rPr>
              <w:t>41,176,934.41</w:t>
            </w:r>
            <w:r>
              <w:rPr>
                <w:rFonts w:ascii="Times New Roman"/>
                <w:spacing w:val="-1"/>
                <w:sz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b/>
                <w:spacing w:val="-1"/>
                <w:sz w:val="21"/>
              </w:rPr>
              <w:t>842,753.72</w:t>
            </w:r>
            <w:r>
              <w:rPr>
                <w:rFonts w:ascii="Times New Roman"/>
                <w:spacing w:val="-1"/>
                <w:sz w:val="21"/>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b/>
                <w:sz w:val="21"/>
              </w:rPr>
              <w:t>4786</w:t>
            </w:r>
            <w:r>
              <w:rPr>
                <w:rFonts w:ascii="Times New Roman"/>
                <w:sz w:val="21"/>
              </w:rPr>
            </w:r>
          </w:p>
        </w:tc>
      </w:tr>
      <w:tr>
        <w:trPr>
          <w:trHeight w:val="324" w:hRule="exact"/>
        </w:trPr>
        <w:tc>
          <w:tcPr>
            <w:tcW w:w="3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2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7,766,596.05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5"/>
              <w:jc w:val="right"/>
              <w:rPr>
                <w:rFonts w:ascii="Times New Roman" w:hAnsi="Times New Roman" w:cs="Times New Roman" w:eastAsia="Times New Roman" w:hint="default"/>
                <w:sz w:val="21"/>
                <w:szCs w:val="21"/>
              </w:rPr>
            </w:pPr>
            <w:r>
              <w:rPr>
                <w:rFonts w:ascii="Times New Roman"/>
                <w:spacing w:val="-1"/>
                <w:sz w:val="21"/>
              </w:rPr>
              <w:t>7,927,816.41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spacing w:val="-1"/>
                <w:sz w:val="21"/>
              </w:rPr>
              <w:t>-2.03</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2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221,599,380.27</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5"/>
              <w:jc w:val="right"/>
              <w:rPr>
                <w:rFonts w:ascii="Times New Roman" w:hAnsi="Times New Roman" w:cs="Times New Roman" w:eastAsia="Times New Roman" w:hint="default"/>
                <w:sz w:val="21"/>
                <w:szCs w:val="21"/>
              </w:rPr>
            </w:pPr>
            <w:r>
              <w:rPr>
                <w:rFonts w:ascii="Times New Roman"/>
                <w:spacing w:val="-1"/>
                <w:sz w:val="21"/>
              </w:rPr>
              <w:t>14,080,353.76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1473.82</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投资活动产生的现金流量净额</w:t>
            </w:r>
            <w:r>
              <w:rPr>
                <w:rFonts w:ascii="宋体" w:hAnsi="宋体" w:cs="宋体" w:eastAsia="宋体" w:hint="default"/>
                <w:sz w:val="21"/>
                <w:szCs w:val="21"/>
              </w:rPr>
            </w:r>
          </w:p>
        </w:tc>
        <w:tc>
          <w:tcPr>
            <w:tcW w:w="22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b/>
                <w:spacing w:val="-1"/>
                <w:sz w:val="21"/>
              </w:rPr>
              <w:t>-213,832,784.22</w:t>
            </w:r>
            <w:r>
              <w:rPr>
                <w:rFonts w:ascii="Times New Roman"/>
                <w:spacing w:val="-1"/>
                <w:sz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5"/>
              <w:jc w:val="right"/>
              <w:rPr>
                <w:rFonts w:ascii="Times New Roman" w:hAnsi="Times New Roman" w:cs="Times New Roman" w:eastAsia="Times New Roman" w:hint="default"/>
                <w:sz w:val="21"/>
                <w:szCs w:val="21"/>
              </w:rPr>
            </w:pPr>
            <w:r>
              <w:rPr>
                <w:rFonts w:ascii="Times New Roman"/>
                <w:b/>
                <w:spacing w:val="-1"/>
                <w:sz w:val="21"/>
              </w:rPr>
              <w:t>-6,152,537.35</w:t>
            </w:r>
            <w:r>
              <w:rPr>
                <w:rFonts w:ascii="Times New Roman"/>
                <w:spacing w:val="-1"/>
                <w:sz w:val="21"/>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b/>
                <w:spacing w:val="-1"/>
                <w:sz w:val="21"/>
              </w:rPr>
              <w:t>-3375.52</w:t>
            </w:r>
            <w:r>
              <w:rPr>
                <w:rFonts w:ascii="Times New Roman"/>
                <w:spacing w:val="-1"/>
                <w:sz w:val="21"/>
              </w:rPr>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2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47,370,485.00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5"/>
              <w:jc w:val="right"/>
              <w:rPr>
                <w:rFonts w:ascii="Times New Roman" w:hAnsi="Times New Roman" w:cs="Times New Roman" w:eastAsia="Times New Roman" w:hint="default"/>
                <w:sz w:val="21"/>
                <w:szCs w:val="21"/>
              </w:rPr>
            </w:pPr>
            <w:r>
              <w:rPr>
                <w:rFonts w:ascii="Times New Roman"/>
                <w:spacing w:val="-1"/>
                <w:sz w:val="21"/>
              </w:rPr>
              <w:t>19,155,700.00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147.29</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2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16,543,055.52</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5"/>
              <w:jc w:val="right"/>
              <w:rPr>
                <w:rFonts w:ascii="Times New Roman" w:hAnsi="Times New Roman" w:cs="Times New Roman" w:eastAsia="Times New Roman" w:hint="default"/>
                <w:sz w:val="21"/>
                <w:szCs w:val="21"/>
              </w:rPr>
            </w:pPr>
            <w:r>
              <w:rPr>
                <w:rFonts w:ascii="Times New Roman"/>
                <w:spacing w:val="-1"/>
                <w:sz w:val="21"/>
              </w:rPr>
              <w:t>27,690,200.30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-40.26</w:t>
            </w:r>
          </w:p>
        </w:tc>
      </w:tr>
      <w:tr>
        <w:trPr>
          <w:trHeight w:val="322" w:hRule="exact"/>
        </w:trPr>
        <w:tc>
          <w:tcPr>
            <w:tcW w:w="3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筹资活动产生的现金流量净额</w:t>
            </w:r>
            <w:r>
              <w:rPr>
                <w:rFonts w:ascii="宋体" w:hAnsi="宋体" w:cs="宋体" w:eastAsia="宋体" w:hint="default"/>
                <w:sz w:val="21"/>
                <w:szCs w:val="21"/>
              </w:rPr>
            </w:r>
          </w:p>
        </w:tc>
        <w:tc>
          <w:tcPr>
            <w:tcW w:w="22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b/>
                <w:spacing w:val="-1"/>
                <w:sz w:val="21"/>
              </w:rPr>
              <w:t>30,827,429.48</w:t>
            </w:r>
            <w:r>
              <w:rPr>
                <w:rFonts w:ascii="Times New Roman"/>
                <w:spacing w:val="-1"/>
                <w:sz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5"/>
              <w:jc w:val="right"/>
              <w:rPr>
                <w:rFonts w:ascii="Times New Roman" w:hAnsi="Times New Roman" w:cs="Times New Roman" w:eastAsia="Times New Roman" w:hint="default"/>
                <w:sz w:val="21"/>
                <w:szCs w:val="21"/>
              </w:rPr>
            </w:pPr>
            <w:r>
              <w:rPr>
                <w:rFonts w:ascii="Times New Roman"/>
                <w:b/>
                <w:spacing w:val="-1"/>
                <w:sz w:val="21"/>
              </w:rPr>
              <w:t>-8,534,500.30</w:t>
            </w:r>
            <w:r>
              <w:rPr>
                <w:rFonts w:ascii="Times New Roman"/>
                <w:spacing w:val="-1"/>
                <w:sz w:val="21"/>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461.21</w:t>
            </w:r>
          </w:p>
        </w:tc>
      </w:tr>
      <w:tr>
        <w:trPr>
          <w:trHeight w:val="324" w:hRule="exact"/>
        </w:trPr>
        <w:tc>
          <w:tcPr>
            <w:tcW w:w="3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b/>
                <w:bCs/>
                <w:sz w:val="21"/>
                <w:szCs w:val="21"/>
              </w:rPr>
              <w:t>现金及现金等价物净增加额</w:t>
            </w:r>
            <w:r>
              <w:rPr>
                <w:rFonts w:ascii="宋体" w:hAnsi="宋体" w:cs="宋体" w:eastAsia="宋体" w:hint="default"/>
                <w:sz w:val="21"/>
                <w:szCs w:val="21"/>
              </w:rPr>
            </w:r>
          </w:p>
        </w:tc>
        <w:tc>
          <w:tcPr>
            <w:tcW w:w="22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21"/>
                <w:szCs w:val="21"/>
              </w:rPr>
            </w:pPr>
            <w:r>
              <w:rPr>
                <w:rFonts w:ascii="Times New Roman"/>
                <w:b/>
                <w:spacing w:val="-1"/>
                <w:sz w:val="21"/>
              </w:rPr>
              <w:t>-141,832,416.71</w:t>
            </w:r>
            <w:r>
              <w:rPr>
                <w:rFonts w:ascii="Times New Roman"/>
                <w:spacing w:val="-1"/>
                <w:sz w:val="21"/>
              </w:rPr>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5"/>
              <w:jc w:val="right"/>
              <w:rPr>
                <w:rFonts w:ascii="Times New Roman" w:hAnsi="Times New Roman" w:cs="Times New Roman" w:eastAsia="Times New Roman" w:hint="default"/>
                <w:sz w:val="21"/>
                <w:szCs w:val="21"/>
              </w:rPr>
            </w:pPr>
            <w:r>
              <w:rPr>
                <w:rFonts w:ascii="Times New Roman"/>
                <w:b/>
                <w:spacing w:val="-1"/>
                <w:sz w:val="21"/>
              </w:rPr>
              <w:t>-13,911,801.57</w:t>
            </w:r>
            <w:r>
              <w:rPr>
                <w:rFonts w:ascii="Times New Roman"/>
                <w:spacing w:val="-1"/>
                <w:sz w:val="21"/>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9"/>
              <w:jc w:val="right"/>
              <w:rPr>
                <w:rFonts w:ascii="Times New Roman" w:hAnsi="Times New Roman" w:cs="Times New Roman" w:eastAsia="Times New Roman" w:hint="default"/>
                <w:sz w:val="21"/>
                <w:szCs w:val="21"/>
              </w:rPr>
            </w:pPr>
            <w:r>
              <w:rPr>
                <w:rFonts w:ascii="Times New Roman"/>
                <w:b/>
                <w:spacing w:val="-1"/>
                <w:sz w:val="21"/>
              </w:rPr>
              <w:t>-919.51</w:t>
            </w:r>
            <w:r>
              <w:rPr>
                <w:rFonts w:ascii="Times New Roman"/>
                <w:spacing w:val="-1"/>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84" w:footer="1007" w:top="1100" w:bottom="1200" w:left="1140" w:right="980"/>
        </w:sectPr>
      </w:pPr>
    </w:p>
    <w:p>
      <w:pPr>
        <w:spacing w:line="240" w:lineRule="auto" w:before="8"/>
        <w:rPr>
          <w:rFonts w:ascii="宋体" w:hAnsi="宋体" w:cs="宋体" w:eastAsia="宋体" w:hint="default"/>
          <w:sz w:val="25"/>
          <w:szCs w:val="25"/>
        </w:rPr>
      </w:pPr>
    </w:p>
    <w:p>
      <w:pPr>
        <w:pStyle w:val="BodyText"/>
        <w:spacing w:line="240" w:lineRule="auto" w:before="26"/>
        <w:ind w:left="137" w:right="272"/>
        <w:jc w:val="left"/>
      </w:pPr>
      <w:r>
        <w:rPr/>
        <w:t>相关数据同比发生变动</w:t>
      </w:r>
      <w:r>
        <w:rPr>
          <w:spacing w:val="-62"/>
        </w:rPr>
        <w:t> </w:t>
      </w:r>
      <w:r>
        <w:rPr>
          <w:rFonts w:ascii="Times New Roman" w:hAnsi="Times New Roman" w:cs="Times New Roman" w:eastAsia="Times New Roman" w:hint="default"/>
        </w:rPr>
        <w:t>30%</w:t>
      </w:r>
      <w:r>
        <w:rPr/>
        <w:t>以上的原因说明</w:t>
      </w:r>
    </w:p>
    <w:p>
      <w:pPr>
        <w:pStyle w:val="BodyText"/>
        <w:spacing w:line="240" w:lineRule="auto" w:before="135"/>
        <w:ind w:left="137" w:right="2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52" w:lineRule="auto" w:before="135"/>
        <w:ind w:left="564" w:right="106" w:hanging="428"/>
        <w:jc w:val="both"/>
      </w:pPr>
      <w:r>
        <w:rPr>
          <w:rFonts w:ascii="Times New Roman" w:hAnsi="Times New Roman" w:cs="Times New Roman" w:eastAsia="Times New Roman" w:hint="default"/>
        </w:rPr>
        <w:t>1</w:t>
      </w:r>
      <w:r>
        <w:rPr/>
        <w:t>、</w:t>
      </w:r>
      <w:r>
        <w:rPr>
          <w:spacing w:val="-61"/>
        </w:rPr>
        <w:t> </w:t>
      </w:r>
      <w:r>
        <w:rPr/>
        <w:t>经营活动产生的现金流量净额同比增长</w:t>
      </w:r>
      <w:r>
        <w:rPr>
          <w:spacing w:val="-61"/>
        </w:rPr>
        <w:t> </w:t>
      </w:r>
      <w:r>
        <w:rPr>
          <w:rFonts w:ascii="Times New Roman" w:hAnsi="Times New Roman" w:cs="Times New Roman" w:eastAsia="Times New Roman" w:hint="default"/>
        </w:rPr>
        <w:t>4786%</w:t>
      </w:r>
      <w:r>
        <w:rPr/>
        <w:t>，主要原因为：公司加大回款考核力度， 通过多种手段催收应收账款致现金回款较好；公司收到科技主管部门的科研项目经费、 </w:t>
      </w:r>
      <w:r>
        <w:rPr>
          <w:spacing w:val="-2"/>
        </w:rPr>
        <w:t>政府补助经费大幅上升致使公司现金流入情况较好。此外，报告期受宏观经济年底回暖</w:t>
      </w:r>
      <w:r>
        <w:rPr/>
        <w:t> </w:t>
      </w:r>
      <w:r>
        <w:rPr>
          <w:spacing w:val="-2"/>
        </w:rPr>
        <w:t>影响，公司在第四季度业务增长，年底前收到部分合同回款，但与之匹配的外包采购费</w:t>
      </w:r>
      <w:r>
        <w:rPr/>
        <w:t> 用延迟支付。</w:t>
      </w:r>
    </w:p>
    <w:p>
      <w:pPr>
        <w:pStyle w:val="BodyText"/>
        <w:spacing w:line="338" w:lineRule="auto" w:before="41"/>
        <w:ind w:left="564" w:right="272" w:hanging="428"/>
        <w:jc w:val="left"/>
      </w:pPr>
      <w:r>
        <w:rPr>
          <w:rFonts w:ascii="Times New Roman" w:hAnsi="Times New Roman" w:cs="Times New Roman" w:eastAsia="Times New Roman" w:hint="default"/>
        </w:rPr>
        <w:t>2</w:t>
      </w:r>
      <w:r>
        <w:rPr/>
        <w:t>、</w:t>
      </w:r>
      <w:r>
        <w:rPr>
          <w:spacing w:val="-61"/>
        </w:rPr>
        <w:t> </w:t>
      </w:r>
      <w:r>
        <w:rPr/>
        <w:t>投资活动产生的现金流量净额同比大幅下降</w:t>
      </w:r>
      <w:r>
        <w:rPr>
          <w:spacing w:val="-61"/>
        </w:rPr>
        <w:t> </w:t>
      </w:r>
      <w:r>
        <w:rPr>
          <w:rFonts w:ascii="Times New Roman" w:hAnsi="Times New Roman" w:cs="Times New Roman" w:eastAsia="Times New Roman" w:hint="default"/>
        </w:rPr>
        <w:t>3375.52%</w:t>
      </w:r>
      <w:r>
        <w:rPr/>
        <w:t>，主要原因为：报告期内公司购 置北京和成都等地方房产所致。</w:t>
      </w:r>
    </w:p>
    <w:p>
      <w:pPr>
        <w:pStyle w:val="BodyText"/>
        <w:spacing w:line="338" w:lineRule="auto" w:before="55"/>
        <w:ind w:left="564" w:right="154" w:hanging="428"/>
        <w:jc w:val="left"/>
      </w:pPr>
      <w:r>
        <w:rPr>
          <w:rFonts w:ascii="Times New Roman" w:hAnsi="Times New Roman" w:cs="Times New Roman" w:eastAsia="Times New Roman" w:hint="default"/>
        </w:rPr>
        <w:t>3</w:t>
      </w:r>
      <w:r>
        <w:rPr/>
        <w:t>、</w:t>
      </w:r>
      <w:r>
        <w:rPr>
          <w:spacing w:val="-62"/>
        </w:rPr>
        <w:t> </w:t>
      </w:r>
      <w:r>
        <w:rPr/>
        <w:t>筹资活动产生的现金流量净额同比大幅上升</w:t>
      </w:r>
      <w:r>
        <w:rPr>
          <w:spacing w:val="-62"/>
        </w:rPr>
        <w:t> </w:t>
      </w:r>
      <w:r>
        <w:rPr>
          <w:rFonts w:ascii="Times New Roman" w:hAnsi="Times New Roman" w:cs="Times New Roman" w:eastAsia="Times New Roman" w:hint="default"/>
        </w:rPr>
        <w:t>461.21%</w:t>
      </w:r>
      <w:r>
        <w:rPr/>
        <w:t>，主要原因为：报告期内公司从招 商银行取得短期借款</w:t>
      </w:r>
      <w:r>
        <w:rPr>
          <w:spacing w:val="-60"/>
        </w:rPr>
        <w:t> </w:t>
      </w:r>
      <w:r>
        <w:rPr>
          <w:rFonts w:ascii="Times New Roman" w:hAnsi="Times New Roman" w:cs="Times New Roman" w:eastAsia="Times New Roman" w:hint="default"/>
        </w:rPr>
        <w:t>3,000 </w:t>
      </w:r>
      <w:r>
        <w:rPr/>
        <w:t>万元所致。</w:t>
      </w:r>
    </w:p>
    <w:p>
      <w:pPr>
        <w:pStyle w:val="BodyText"/>
        <w:spacing w:line="338" w:lineRule="auto" w:before="27"/>
        <w:ind w:left="564" w:right="154" w:hanging="428"/>
        <w:jc w:val="left"/>
      </w:pPr>
      <w:r>
        <w:rPr>
          <w:rFonts w:ascii="Times New Roman" w:hAnsi="Times New Roman" w:cs="Times New Roman" w:eastAsia="Times New Roman" w:hint="default"/>
        </w:rPr>
        <w:t>4</w:t>
      </w:r>
      <w:r>
        <w:rPr/>
        <w:t>、</w:t>
      </w:r>
      <w:r>
        <w:rPr>
          <w:spacing w:val="-62"/>
        </w:rPr>
        <w:t> </w:t>
      </w:r>
      <w:r>
        <w:rPr/>
        <w:t>现金及现金等价物净增加额较上年同期减少</w:t>
      </w:r>
      <w:r>
        <w:rPr>
          <w:spacing w:val="-62"/>
        </w:rPr>
        <w:t> </w:t>
      </w:r>
      <w:r>
        <w:rPr>
          <w:rFonts w:ascii="Times New Roman" w:hAnsi="Times New Roman" w:cs="Times New Roman" w:eastAsia="Times New Roman" w:hint="default"/>
        </w:rPr>
        <w:t>919.51%</w:t>
      </w:r>
      <w:r>
        <w:rPr/>
        <w:t>，主要原因是报告期内公司支付购 置房产等固定资产，导致公司投资活动现金流量净额大幅减少所致。</w:t>
      </w:r>
    </w:p>
    <w:p>
      <w:pPr>
        <w:spacing w:line="240" w:lineRule="auto" w:before="1"/>
        <w:rPr>
          <w:rFonts w:ascii="宋体" w:hAnsi="宋体" w:cs="宋体" w:eastAsia="宋体" w:hint="default"/>
          <w:sz w:val="28"/>
          <w:szCs w:val="28"/>
        </w:rPr>
      </w:pPr>
    </w:p>
    <w:p>
      <w:pPr>
        <w:pStyle w:val="BodyText"/>
        <w:spacing w:line="240" w:lineRule="auto"/>
        <w:ind w:left="377" w:right="272"/>
        <w:jc w:val="left"/>
      </w:pPr>
      <w:r>
        <w:rPr/>
        <w:t>报告期内公司经营活动的现金流量与本年度净利润存在重大差异的原因说明</w:t>
      </w:r>
    </w:p>
    <w:p>
      <w:pPr>
        <w:pStyle w:val="BodyText"/>
        <w:spacing w:line="240" w:lineRule="auto" w:before="154"/>
        <w:ind w:left="137" w:right="2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pStyle w:val="BodyText"/>
        <w:spacing w:line="352" w:lineRule="auto" w:before="135"/>
        <w:ind w:left="137" w:right="168" w:firstLine="480"/>
        <w:jc w:val="both"/>
      </w:pPr>
      <w:r>
        <w:rPr>
          <w:spacing w:val="-3"/>
        </w:rPr>
        <w:t>报告期，经营活动产生的现金流量净额为</w:t>
      </w:r>
      <w:r>
        <w:rPr>
          <w:spacing w:val="-62"/>
        </w:rPr>
        <w:t> </w:t>
      </w:r>
      <w:r>
        <w:rPr>
          <w:rFonts w:ascii="Times New Roman" w:hAnsi="Times New Roman" w:cs="Times New Roman" w:eastAsia="Times New Roman" w:hint="default"/>
        </w:rPr>
        <w:t>4,117.69</w:t>
      </w:r>
      <w:r>
        <w:rPr>
          <w:rFonts w:ascii="Times New Roman" w:hAnsi="Times New Roman" w:cs="Times New Roman" w:eastAsia="Times New Roman" w:hint="default"/>
          <w:spacing w:val="-2"/>
        </w:rPr>
        <w:t> </w:t>
      </w:r>
      <w:r>
        <w:rPr>
          <w:spacing w:val="-3"/>
        </w:rPr>
        <w:t>万元，与本年度公司净利润比较有较</w:t>
      </w:r>
      <w:r>
        <w:rPr/>
        <w:t> </w:t>
      </w:r>
      <w:r>
        <w:rPr>
          <w:spacing w:val="-3"/>
        </w:rPr>
        <w:t>大差异。主要原因为：公司加大回款考核力度，通过多种手段催收应收账款致使公司现金回</w:t>
      </w:r>
      <w:r>
        <w:rPr>
          <w:spacing w:val="-103"/>
        </w:rPr>
        <w:t> </w:t>
      </w:r>
      <w:r>
        <w:rPr>
          <w:spacing w:val="-103"/>
        </w:rPr>
      </w:r>
      <w:r>
        <w:rPr>
          <w:spacing w:val="-3"/>
        </w:rPr>
        <w:t>款较好。公司收到科技主管部门的科研项目经费、政府补助经费大幅上升致使公司现金流入</w:t>
      </w:r>
      <w:r>
        <w:rPr>
          <w:spacing w:val="-106"/>
        </w:rPr>
        <w:t> </w:t>
      </w:r>
      <w:r>
        <w:rPr>
          <w:spacing w:val="-106"/>
        </w:rPr>
      </w:r>
      <w:r>
        <w:rPr>
          <w:spacing w:val="-3"/>
        </w:rPr>
        <w:t>情况较好。此外，报告期受宏观经济年底回暖影响，公司在第四季度业务增长，年底前收到</w:t>
      </w:r>
      <w:r>
        <w:rPr>
          <w:spacing w:val="-108"/>
        </w:rPr>
        <w:t> </w:t>
      </w:r>
      <w:r>
        <w:rPr>
          <w:spacing w:val="-108"/>
        </w:rPr>
      </w:r>
      <w:r>
        <w:rPr/>
        <w:t>部分合同款项，但与之匹配的外包采购费用延迟支付。</w:t>
      </w:r>
    </w:p>
    <w:p>
      <w:pPr>
        <w:spacing w:line="240" w:lineRule="auto" w:before="3"/>
        <w:rPr>
          <w:rFonts w:ascii="宋体" w:hAnsi="宋体" w:cs="宋体" w:eastAsia="宋体" w:hint="default"/>
          <w:sz w:val="20"/>
          <w:szCs w:val="20"/>
        </w:rPr>
      </w:pPr>
    </w:p>
    <w:p>
      <w:pPr>
        <w:spacing w:line="496" w:lineRule="auto" w:before="0"/>
        <w:ind w:left="137" w:right="6156" w:firstLine="0"/>
        <w:jc w:val="left"/>
        <w:rPr>
          <w:rFonts w:ascii="宋体" w:hAnsi="宋体" w:cs="宋体" w:eastAsia="宋体" w:hint="default"/>
          <w:sz w:val="24"/>
          <w:szCs w:val="24"/>
        </w:rPr>
      </w:pPr>
      <w:r>
        <w:rPr/>
        <w:pict>
          <v:shape style="position:absolute;margin-left:62.771999pt;margin-top:55.895592pt;width:477.85pt;height:48.4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85"/>
                    <w:gridCol w:w="4357"/>
                  </w:tblGrid>
                  <w:tr>
                    <w:trPr>
                      <w:trHeight w:val="480" w:hRule="exact"/>
                    </w:trPr>
                    <w:tc>
                      <w:tcPr>
                        <w:tcW w:w="5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1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7"/>
                          <w:jc w:val="right"/>
                          <w:rPr>
                            <w:rFonts w:ascii="Times New Roman" w:hAnsi="Times New Roman" w:cs="Times New Roman" w:eastAsia="Times New Roman" w:hint="default"/>
                            <w:sz w:val="21"/>
                            <w:szCs w:val="21"/>
                          </w:rPr>
                        </w:pPr>
                        <w:r>
                          <w:rPr>
                            <w:rFonts w:ascii="Times New Roman"/>
                            <w:spacing w:val="-1"/>
                            <w:sz w:val="21"/>
                          </w:rPr>
                          <w:t>33,193,954.37</w:t>
                        </w:r>
                      </w:p>
                    </w:tc>
                  </w:tr>
                  <w:tr>
                    <w:trPr>
                      <w:trHeight w:val="478" w:hRule="exact"/>
                    </w:trPr>
                    <w:tc>
                      <w:tcPr>
                        <w:tcW w:w="5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2"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z w:val="21"/>
                          </w:rPr>
                          <w:t>12.57</w:t>
                        </w:r>
                      </w:p>
                    </w:tc>
                  </w:tr>
                </w:tbl>
                <w:p>
                  <w:pPr/>
                </w:p>
              </w:txbxContent>
            </v:textbox>
            <w10:wrap type="none"/>
          </v:shape>
        </w:pict>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）公司主要供应商、客户情况</w:t>
      </w:r>
      <w:r>
        <w:rPr>
          <w:rFonts w:ascii="宋体" w:hAnsi="宋体" w:cs="宋体" w:eastAsia="宋体" w:hint="default"/>
          <w:b/>
          <w:bCs/>
          <w:w w:val="99"/>
          <w:sz w:val="24"/>
          <w:szCs w:val="24"/>
        </w:rPr>
        <w:t> </w:t>
      </w:r>
      <w:r>
        <w:rPr>
          <w:rFonts w:ascii="宋体" w:hAnsi="宋体" w:cs="宋体" w:eastAsia="宋体" w:hint="default"/>
          <w:sz w:val="24"/>
          <w:szCs w:val="24"/>
        </w:rPr>
        <w:t>公司主要销售客户情况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26"/>
        <w:ind w:left="137" w:right="272"/>
        <w:jc w:val="left"/>
      </w:pPr>
      <w:r>
        <w:rPr/>
        <w:t>向单一客户销售比例超过</w:t>
      </w:r>
      <w:r>
        <w:rPr>
          <w:spacing w:val="-61"/>
        </w:rPr>
        <w:t> </w:t>
      </w:r>
      <w:r>
        <w:rPr>
          <w:rFonts w:ascii="Times New Roman" w:hAnsi="Times New Roman" w:cs="Times New Roman" w:eastAsia="Times New Roman" w:hint="default"/>
        </w:rPr>
        <w:t>30%</w:t>
      </w:r>
      <w:r>
        <w:rPr/>
        <w:t>的客户资料</w:t>
      </w:r>
    </w:p>
    <w:p>
      <w:pPr>
        <w:pStyle w:val="BodyText"/>
        <w:spacing w:line="240" w:lineRule="auto" w:before="135"/>
        <w:ind w:left="137" w:right="2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240" w:lineRule="auto"/>
        <w:ind w:left="137" w:right="272"/>
        <w:jc w:val="left"/>
      </w:pPr>
      <w:r>
        <w:rPr/>
        <w:t>公司主要供应商情况</w:t>
      </w:r>
    </w:p>
    <w:p>
      <w:pPr>
        <w:spacing w:after="0" w:line="240" w:lineRule="auto"/>
        <w:jc w:val="left"/>
        <w:sectPr>
          <w:pgSz w:w="11910" w:h="16840"/>
          <w:pgMar w:header="884" w:footer="1007" w:top="1100" w:bottom="1200" w:left="1140" w:right="960"/>
        </w:sectPr>
      </w:pPr>
    </w:p>
    <w:p>
      <w:pPr>
        <w:spacing w:line="240" w:lineRule="auto" w:before="8"/>
        <w:rPr>
          <w:rFonts w:ascii="宋体" w:hAnsi="宋体" w:cs="宋体" w:eastAsia="宋体" w:hint="default"/>
          <w:sz w:val="24"/>
          <w:szCs w:val="24"/>
        </w:rPr>
      </w:pPr>
    </w:p>
    <w:tbl>
      <w:tblPr>
        <w:tblW w:w="0" w:type="auto"/>
        <w:jc w:val="left"/>
        <w:tblInd w:w="115" w:type="dxa"/>
        <w:tblLayout w:type="fixed"/>
        <w:tblCellMar>
          <w:top w:w="0" w:type="dxa"/>
          <w:left w:w="0" w:type="dxa"/>
          <w:bottom w:w="0" w:type="dxa"/>
          <w:right w:w="0" w:type="dxa"/>
        </w:tblCellMar>
        <w:tblLook w:val="01E0"/>
      </w:tblPr>
      <w:tblGrid>
        <w:gridCol w:w="5185"/>
        <w:gridCol w:w="4357"/>
      </w:tblGrid>
      <w:tr>
        <w:trPr>
          <w:trHeight w:val="478" w:hRule="exact"/>
        </w:trPr>
        <w:tc>
          <w:tcPr>
            <w:tcW w:w="5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pacing w:val="-1"/>
                <w:sz w:val="21"/>
              </w:rPr>
              <w:t>12,004,000.00</w:t>
            </w:r>
          </w:p>
        </w:tc>
      </w:tr>
      <w:tr>
        <w:trPr>
          <w:trHeight w:val="478" w:hRule="exact"/>
        </w:trPr>
        <w:tc>
          <w:tcPr>
            <w:tcW w:w="5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4"/>
              <w:ind w:left="12"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7"/>
              <w:jc w:val="right"/>
              <w:rPr>
                <w:rFonts w:ascii="Times New Roman" w:hAnsi="Times New Roman" w:cs="Times New Roman" w:eastAsia="Times New Roman" w:hint="default"/>
                <w:sz w:val="21"/>
                <w:szCs w:val="21"/>
              </w:rPr>
            </w:pPr>
            <w:r>
              <w:rPr>
                <w:rFonts w:ascii="Times New Roman"/>
                <w:sz w:val="21"/>
              </w:rPr>
              <w:t>12.41</w:t>
            </w:r>
          </w:p>
        </w:tc>
      </w:tr>
    </w:tbl>
    <w:p>
      <w:pPr>
        <w:pStyle w:val="BodyText"/>
        <w:spacing w:line="240" w:lineRule="auto" w:before="39"/>
        <w:ind w:left="137" w:right="0"/>
        <w:jc w:val="left"/>
      </w:pPr>
      <w:r>
        <w:rPr/>
        <w:t>向单一供应商采购比例超过</w:t>
      </w:r>
      <w:r>
        <w:rPr>
          <w:spacing w:val="-61"/>
        </w:rPr>
        <w:t> </w:t>
      </w:r>
      <w:r>
        <w:rPr>
          <w:rFonts w:ascii="Times New Roman" w:hAnsi="Times New Roman" w:cs="Times New Roman" w:eastAsia="Times New Roman" w:hint="default"/>
        </w:rPr>
        <w:t>30%</w:t>
      </w:r>
      <w:r>
        <w:rPr/>
        <w:t>的客户资料</w:t>
      </w:r>
    </w:p>
    <w:p>
      <w:pPr>
        <w:pStyle w:val="BodyText"/>
        <w:spacing w:line="240" w:lineRule="auto" w:before="135"/>
        <w:ind w:left="137"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6"/>
        <w:rPr>
          <w:rFonts w:ascii="宋体" w:hAnsi="宋体" w:cs="宋体" w:eastAsia="宋体" w:hint="default"/>
          <w:b/>
          <w:bCs/>
          <w:sz w:val="27"/>
          <w:szCs w:val="27"/>
        </w:rPr>
      </w:pPr>
    </w:p>
    <w:p>
      <w:pPr>
        <w:spacing w:before="0"/>
        <w:ind w:left="619" w:right="0" w:firstLine="0"/>
        <w:jc w:val="left"/>
        <w:rPr>
          <w:rFonts w:ascii="宋体" w:hAnsi="宋体" w:cs="宋体" w:eastAsia="宋体" w:hint="default"/>
          <w:sz w:val="24"/>
          <w:szCs w:val="24"/>
        </w:rPr>
      </w:pPr>
      <w:r>
        <w:rPr>
          <w:rFonts w:ascii="Wingdings" w:hAnsi="Wingdings" w:cs="Wingdings" w:eastAsia="Wingdings" w:hint="default"/>
          <w:sz w:val="24"/>
          <w:szCs w:val="24"/>
        </w:rPr>
        <w:t></w:t>
      </w:r>
      <w:r>
        <w:rPr>
          <w:rFonts w:ascii="Wingdings" w:hAnsi="Wingdings" w:cs="Wingdings" w:eastAsia="Wingdings" w:hint="default"/>
          <w:spacing w:val="-67"/>
          <w:sz w:val="24"/>
          <w:szCs w:val="24"/>
        </w:rPr>
        <w:t></w:t>
      </w:r>
      <w:r>
        <w:rPr>
          <w:rFonts w:ascii="Times New Roman" w:hAnsi="Times New Roman" w:cs="Times New Roman" w:eastAsia="Times New Roman" w:hint="default"/>
          <w:spacing w:val="-67"/>
          <w:sz w:val="24"/>
          <w:szCs w:val="24"/>
        </w:rPr>
      </w:r>
      <w:r>
        <w:rPr>
          <w:rFonts w:ascii="宋体" w:hAnsi="宋体" w:cs="宋体" w:eastAsia="宋体" w:hint="default"/>
          <w:b/>
          <w:bCs/>
          <w:sz w:val="24"/>
          <w:szCs w:val="24"/>
        </w:rPr>
        <w:t>首次公开发行招股说明书中披露的未来发展与规划在本报告期的实施情况</w:t>
      </w:r>
      <w:r>
        <w:rPr>
          <w:rFonts w:ascii="宋体" w:hAnsi="宋体" w:cs="宋体" w:eastAsia="宋体" w:hint="default"/>
          <w:sz w:val="24"/>
          <w:szCs w:val="24"/>
        </w:rPr>
      </w:r>
    </w:p>
    <w:p>
      <w:pPr>
        <w:pStyle w:val="BodyText"/>
        <w:spacing w:line="338" w:lineRule="auto" w:before="137"/>
        <w:ind w:left="617" w:right="143" w:hanging="60"/>
        <w:jc w:val="left"/>
      </w:pPr>
      <w:r>
        <w:rPr>
          <w:rFonts w:ascii="Times New Roman" w:hAnsi="Times New Roman" w:cs="Times New Roman" w:eastAsia="Times New Roman" w:hint="default"/>
          <w:sz w:val="21"/>
          <w:szCs w:val="21"/>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 </w:t>
      </w:r>
      <w:r>
        <w:rPr>
          <w:spacing w:val="-3"/>
        </w:rPr>
        <w:t>公司首次公开发行招股说明书中对公司的技术研发规划、技术人员选拔规划、市场开发</w:t>
      </w:r>
    </w:p>
    <w:p>
      <w:pPr>
        <w:pStyle w:val="BodyText"/>
        <w:spacing w:line="357" w:lineRule="auto" w:before="55"/>
        <w:ind w:left="137" w:right="0"/>
        <w:jc w:val="left"/>
      </w:pPr>
      <w:r>
        <w:rPr>
          <w:spacing w:val="-3"/>
        </w:rPr>
        <w:t>与营销规划以及资金筹措与运用规划进行详细描述。其中，延续至报告期的有技术研发规划</w:t>
      </w:r>
      <w:r>
        <w:rPr>
          <w:spacing w:val="-104"/>
        </w:rPr>
        <w:t> </w:t>
      </w:r>
      <w:r>
        <w:rPr>
          <w:spacing w:val="-104"/>
        </w:rPr>
      </w:r>
      <w:r>
        <w:rPr/>
        <w:t>以及市场开发与营销规划中的部分内容。具体报告如下：</w:t>
      </w:r>
    </w:p>
    <w:p>
      <w:pPr>
        <w:pStyle w:val="Heading4"/>
        <w:spacing w:line="240" w:lineRule="auto" w:before="36"/>
        <w:ind w:left="617" w:right="0"/>
        <w:jc w:val="left"/>
        <w:rPr>
          <w:b w:val="0"/>
          <w:bCs w:val="0"/>
        </w:rPr>
      </w:pPr>
      <w:r>
        <w:rPr>
          <w:rFonts w:ascii="Times New Roman" w:hAnsi="Times New Roman" w:cs="Times New Roman" w:eastAsia="Times New Roman" w:hint="default"/>
        </w:rPr>
        <w:t>1</w:t>
      </w:r>
      <w:r>
        <w:rPr/>
        <w:t>）技术研发规划</w:t>
      </w:r>
      <w:r>
        <w:rPr>
          <w:b w:val="0"/>
          <w:bCs w:val="0"/>
        </w:rPr>
      </w:r>
    </w:p>
    <w:p>
      <w:pPr>
        <w:pStyle w:val="BodyText"/>
        <w:tabs>
          <w:tab w:pos="1397" w:val="left" w:leader="none"/>
        </w:tabs>
        <w:spacing w:line="338" w:lineRule="auto" w:before="135"/>
        <w:ind w:left="617" w:right="148" w:firstLine="371"/>
        <w:jc w:val="left"/>
      </w:pPr>
      <w:r>
        <w:rPr>
          <w:rFonts w:ascii="Wingdings" w:hAnsi="Wingdings" w:cs="Wingdings" w:eastAsia="Wingdings" w:hint="default"/>
        </w:rPr>
        <w:t></w:t>
      </w:r>
      <w:r>
        <w:rPr>
          <w:rFonts w:ascii="Times New Roman" w:hAnsi="Times New Roman" w:cs="Times New Roman" w:eastAsia="Times New Roman" w:hint="default"/>
        </w:rPr>
        <w:tab/>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基础平台软件系列研发升级 </w:t>
      </w:r>
      <w:r>
        <w:rPr>
          <w:spacing w:val="-1"/>
        </w:rPr>
        <w:t>根据原规划内容：公司将完成原组件式</w:t>
      </w:r>
      <w:r>
        <w:rPr>
          <w:rFonts w:ascii="Times New Roman" w:hAnsi="Times New Roman" w:cs="Times New Roman" w:eastAsia="Times New Roman" w:hint="default"/>
          <w:spacing w:val="-1"/>
        </w:rPr>
        <w:t>GIS</w:t>
      </w:r>
      <w:r>
        <w:rPr>
          <w:spacing w:val="-1"/>
        </w:rPr>
        <w:t>基础平台软件的更新与升级，推出跨平台共</w:t>
      </w:r>
    </w:p>
    <w:p>
      <w:pPr>
        <w:pStyle w:val="BodyText"/>
        <w:spacing w:line="343" w:lineRule="auto" w:before="27"/>
        <w:ind w:left="137" w:right="122"/>
        <w:jc w:val="left"/>
      </w:pPr>
      <w:r>
        <w:rPr/>
        <w:t>相式</w:t>
      </w:r>
      <w:r>
        <w:rPr>
          <w:rFonts w:ascii="Times New Roman" w:hAnsi="Times New Roman" w:cs="Times New Roman" w:eastAsia="Times New Roman" w:hint="default"/>
        </w:rPr>
        <w:t>GIS</w:t>
      </w:r>
      <w:r>
        <w:rPr/>
        <w:t>系列软件产品，提升</w:t>
      </w:r>
      <w:r>
        <w:rPr>
          <w:rFonts w:ascii="Times New Roman" w:hAnsi="Times New Roman" w:cs="Times New Roman" w:eastAsia="Times New Roman" w:hint="default"/>
        </w:rPr>
        <w:t>GIS</w:t>
      </w:r>
      <w:r>
        <w:rPr/>
        <w:t>基础平台软件的核心竞争力。</w:t>
      </w:r>
      <w:r>
        <w:rPr>
          <w:rFonts w:ascii="Times New Roman" w:hAnsi="Times New Roman" w:cs="Times New Roman" w:eastAsia="Times New Roman" w:hint="default"/>
        </w:rPr>
        <w:t>2011</w:t>
      </w:r>
      <w:r>
        <w:rPr/>
        <w:t>年年末，公司完成了基 </w:t>
      </w:r>
      <w:r>
        <w:rPr>
          <w:spacing w:val="-2"/>
        </w:rPr>
        <w:t>础平台软件产品的更新与升级，推出了新一代跨平台</w:t>
      </w:r>
      <w:r>
        <w:rPr>
          <w:rFonts w:ascii="Times New Roman" w:hAnsi="Times New Roman" w:cs="Times New Roman" w:eastAsia="Times New Roman" w:hint="default"/>
          <w:spacing w:val="-2"/>
        </w:rPr>
        <w:t>SuperMap</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4"/>
        </w:rPr>
        <w:t>GIS</w:t>
      </w:r>
      <w:r>
        <w:rPr>
          <w:spacing w:val="-4"/>
        </w:rPr>
        <w:t>全系列产品，并已经实现</w:t>
      </w:r>
      <w:r>
        <w:rPr/>
        <w:t> </w:t>
      </w:r>
      <w:r>
        <w:rPr>
          <w:spacing w:val="-1"/>
        </w:rPr>
        <w:t>产业化。鉴于</w:t>
      </w:r>
      <w:r>
        <w:rPr>
          <w:rFonts w:ascii="Times New Roman" w:hAnsi="Times New Roman" w:cs="Times New Roman" w:eastAsia="Times New Roman" w:hint="default"/>
          <w:spacing w:val="-1"/>
        </w:rPr>
        <w:t>GIS</w:t>
      </w:r>
      <w:r>
        <w:rPr>
          <w:spacing w:val="-1"/>
        </w:rPr>
        <w:t>基础平台的研发是一项长期持续工作，在报告期内，公司依然在该项目上</w:t>
      </w:r>
      <w:r>
        <w:rPr>
          <w:spacing w:val="-92"/>
        </w:rPr>
        <w:t> </w:t>
      </w:r>
      <w:r>
        <w:rPr>
          <w:spacing w:val="-92"/>
        </w:rPr>
      </w:r>
      <w:r>
        <w:rPr/>
        <w:t>继续投入，进行相关产品升级版本的研发。报告期内，公司结合</w:t>
      </w:r>
      <w:r>
        <w:rPr>
          <w:rFonts w:ascii="Times New Roman" w:hAnsi="Times New Roman" w:cs="Times New Roman" w:eastAsia="Times New Roman" w:hint="default"/>
        </w:rPr>
        <w:t>IT</w:t>
      </w:r>
      <w:r>
        <w:rPr/>
        <w:t>主流技术和</w:t>
      </w:r>
      <w:r>
        <w:rPr>
          <w:rFonts w:ascii="Times New Roman" w:hAnsi="Times New Roman" w:cs="Times New Roman" w:eastAsia="Times New Roman" w:hint="default"/>
        </w:rPr>
        <w:t>GIS</w:t>
      </w:r>
      <w:r>
        <w:rPr/>
        <w:t>应用发展 趋势，重点突破了二三维一体化</w:t>
      </w:r>
      <w:r>
        <w:rPr>
          <w:rFonts w:ascii="Times New Roman" w:hAnsi="Times New Roman" w:cs="Times New Roman" w:eastAsia="Times New Roman" w:hint="default"/>
        </w:rPr>
        <w:t>Realspace</w:t>
      </w:r>
      <w:r>
        <w:rPr>
          <w:rFonts w:ascii="Times New Roman" w:hAnsi="Times New Roman" w:cs="Times New Roman" w:eastAsia="Times New Roman" w:hint="default"/>
          <w:spacing w:val="-4"/>
        </w:rPr>
        <w:t> </w:t>
      </w:r>
      <w:r>
        <w:rPr>
          <w:rFonts w:ascii="Times New Roman" w:hAnsi="Times New Roman" w:cs="Times New Roman" w:eastAsia="Times New Roman" w:hint="default"/>
        </w:rPr>
        <w:t>GIS</w:t>
      </w:r>
      <w:r>
        <w:rPr/>
        <w:t>技术体系关键技术，该技术是</w:t>
      </w:r>
      <w:r>
        <w:rPr>
          <w:rFonts w:ascii="Times New Roman" w:hAnsi="Times New Roman" w:cs="Times New Roman" w:eastAsia="Times New Roman" w:hint="default"/>
        </w:rPr>
        <w:t>GIS</w:t>
      </w:r>
      <w:r>
        <w:rPr/>
        <w:t>领域开展三 </w:t>
      </w:r>
      <w:r>
        <w:rPr>
          <w:spacing w:val="-3"/>
        </w:rPr>
        <w:t>维应用的基础性技术，报告期内公司在这一领域方面取得实质性的技术突破，全面实现了二</w:t>
      </w:r>
      <w:r>
        <w:rPr>
          <w:spacing w:val="-105"/>
        </w:rPr>
        <w:t> </w:t>
      </w:r>
      <w:r>
        <w:rPr>
          <w:spacing w:val="-105"/>
        </w:rPr>
      </w:r>
      <w:r>
        <w:rPr/>
        <w:t>维与三维</w:t>
      </w:r>
      <w:r>
        <w:rPr>
          <w:rFonts w:ascii="Times New Roman" w:hAnsi="Times New Roman" w:cs="Times New Roman" w:eastAsia="Times New Roman" w:hint="default"/>
        </w:rPr>
        <w:t>GIS</w:t>
      </w:r>
      <w:r>
        <w:rPr/>
        <w:t>技术的无缝融合，包括：二维与三维在数据模型、数据存储方案、数据管理、 </w:t>
      </w:r>
      <w:r>
        <w:rPr>
          <w:spacing w:val="-3"/>
        </w:rPr>
        <w:t>可视化和分析功能的一体化，提供海量二维数据直接在三维场景中的高性能可视化、二维分</w:t>
      </w:r>
      <w:r>
        <w:rPr>
          <w:spacing w:val="-106"/>
        </w:rPr>
        <w:t> </w:t>
      </w:r>
      <w:r>
        <w:rPr>
          <w:spacing w:val="-106"/>
        </w:rPr>
      </w:r>
      <w:r>
        <w:rPr/>
        <w:t>析功能在三维场景中的直接操作和越来越丰富的三维分析功能。</w:t>
      </w:r>
      <w:r>
        <w:rPr>
          <w:rFonts w:ascii="Times New Roman" w:hAnsi="Times New Roman" w:cs="Times New Roman" w:eastAsia="Times New Roman" w:hint="default"/>
        </w:rPr>
        <w:t>Realspace</w:t>
      </w:r>
      <w:r>
        <w:rPr>
          <w:rFonts w:ascii="Times New Roman" w:hAnsi="Times New Roman" w:cs="Times New Roman" w:eastAsia="Times New Roman" w:hint="default"/>
          <w:spacing w:val="-6"/>
        </w:rPr>
        <w:t> </w:t>
      </w:r>
      <w:r>
        <w:rPr>
          <w:rFonts w:ascii="Times New Roman" w:hAnsi="Times New Roman" w:cs="Times New Roman" w:eastAsia="Times New Roman" w:hint="default"/>
        </w:rPr>
        <w:t>GIS</w:t>
      </w:r>
      <w:r>
        <w:rPr/>
        <w:t>突破三维</w:t>
      </w:r>
      <w:r>
        <w:rPr>
          <w:rFonts w:ascii="Times New Roman" w:hAnsi="Times New Roman" w:cs="Times New Roman" w:eastAsia="Times New Roman" w:hint="default"/>
        </w:rPr>
        <w:t>GIS</w:t>
      </w:r>
      <w:r>
        <w:rPr>
          <w:rFonts w:ascii="Times New Roman" w:hAnsi="Times New Roman" w:cs="Times New Roman" w:eastAsia="Times New Roman" w:hint="default"/>
          <w:w w:val="99"/>
        </w:rPr>
        <w:t> </w:t>
      </w:r>
      <w:r>
        <w:rPr/>
        <w:t>以前只能满足查一查看一看的应用瓶颈，推动三维</w:t>
      </w:r>
      <w:r>
        <w:rPr>
          <w:rFonts w:ascii="Times New Roman" w:hAnsi="Times New Roman" w:cs="Times New Roman" w:eastAsia="Times New Roman" w:hint="default"/>
        </w:rPr>
        <w:t>GIS</w:t>
      </w:r>
      <w:r>
        <w:rPr/>
        <w:t>的深度应用，为</w:t>
      </w:r>
      <w:r>
        <w:rPr>
          <w:rFonts w:ascii="Times New Roman" w:hAnsi="Times New Roman" w:cs="Times New Roman" w:eastAsia="Times New Roman" w:hint="default"/>
        </w:rPr>
        <w:t>GIS</w:t>
      </w:r>
      <w:r>
        <w:rPr/>
        <w:t>平台的应用升级 奠定了坚实的基础。</w:t>
      </w:r>
    </w:p>
    <w:p>
      <w:pPr>
        <w:pStyle w:val="BodyText"/>
        <w:tabs>
          <w:tab w:pos="1397" w:val="left" w:leader="none"/>
        </w:tabs>
        <w:spacing w:line="338" w:lineRule="auto" w:before="50"/>
        <w:ind w:left="617" w:right="152" w:firstLine="371"/>
        <w:jc w:val="left"/>
      </w:pPr>
      <w:r>
        <w:rPr>
          <w:rFonts w:ascii="Wingdings" w:hAnsi="Wingdings" w:cs="Wingdings" w:eastAsia="Wingdings" w:hint="default"/>
        </w:rPr>
        <w:t></w:t>
      </w:r>
      <w:r>
        <w:rPr>
          <w:rFonts w:ascii="Times New Roman" w:hAnsi="Times New Roman" w:cs="Times New Roman" w:eastAsia="Times New Roman" w:hint="default"/>
        </w:rPr>
        <w:tab/>
      </w:r>
      <w:r>
        <w:rPr>
          <w:rFonts w:ascii="Times New Roman" w:hAnsi="Times New Roman" w:cs="Times New Roman" w:eastAsia="Times New Roman" w:hint="default"/>
        </w:rPr>
        <w:t>GIS</w:t>
      </w:r>
      <w:r>
        <w:rPr>
          <w:rFonts w:ascii="Times New Roman" w:hAnsi="Times New Roman" w:cs="Times New Roman" w:eastAsia="Times New Roman" w:hint="default"/>
          <w:spacing w:val="-3"/>
        </w:rPr>
        <w:t> </w:t>
      </w:r>
      <w:r>
        <w:rPr/>
        <w:t>应用平台软件系列研发升级 </w:t>
      </w:r>
      <w:r>
        <w:rPr>
          <w:spacing w:val="-3"/>
        </w:rPr>
        <w:t>根据原规划内容，本项目公司将重点开发面向服务的地理信息共享交换平台、应急指挥</w:t>
      </w:r>
    </w:p>
    <w:p>
      <w:pPr>
        <w:pStyle w:val="BodyText"/>
        <w:spacing w:line="357" w:lineRule="auto" w:before="55"/>
        <w:ind w:left="137" w:right="149"/>
        <w:jc w:val="left"/>
      </w:pPr>
      <w:r>
        <w:rPr>
          <w:spacing w:val="-3"/>
        </w:rPr>
        <w:t>管理平台软件、国土资源信息管理平台软件、房产管理平台软件和专用导航应用开发平台软</w:t>
      </w:r>
      <w:r>
        <w:rPr>
          <w:spacing w:val="-106"/>
        </w:rPr>
        <w:t> </w:t>
      </w:r>
      <w:r>
        <w:rPr>
          <w:spacing w:val="-106"/>
        </w:rPr>
      </w:r>
      <w:r>
        <w:rPr/>
        <w:t>件等</w:t>
      </w:r>
      <w:r>
        <w:rPr>
          <w:rFonts w:ascii="Times New Roman" w:hAnsi="Times New Roman" w:cs="Times New Roman" w:eastAsia="Times New Roman" w:hint="default"/>
        </w:rPr>
        <w:t>5</w:t>
      </w:r>
      <w:r>
        <w:rPr/>
        <w:t>个应用平台软件产品。</w:t>
      </w:r>
      <w:r>
        <w:rPr>
          <w:rFonts w:ascii="Times New Roman" w:hAnsi="Times New Roman" w:cs="Times New Roman" w:eastAsia="Times New Roman" w:hint="default"/>
        </w:rPr>
        <w:t>2011</w:t>
      </w:r>
      <w:r>
        <w:rPr/>
        <w:t>年年末，公司完成了该项目，推出了包括国土资源“一张</w:t>
      </w:r>
    </w:p>
    <w:p>
      <w:pPr>
        <w:spacing w:after="0" w:line="357" w:lineRule="auto"/>
        <w:jc w:val="left"/>
        <w:sectPr>
          <w:pgSz w:w="11910" w:h="16840"/>
          <w:pgMar w:header="884" w:footer="1007" w:top="1100" w:bottom="1200" w:left="1140" w:right="980"/>
        </w:sectPr>
      </w:pPr>
    </w:p>
    <w:p>
      <w:pPr>
        <w:spacing w:line="240" w:lineRule="auto" w:before="8"/>
        <w:rPr>
          <w:rFonts w:ascii="宋体" w:hAnsi="宋体" w:cs="宋体" w:eastAsia="宋体" w:hint="default"/>
          <w:sz w:val="25"/>
          <w:szCs w:val="25"/>
        </w:rPr>
      </w:pPr>
    </w:p>
    <w:p>
      <w:pPr>
        <w:pStyle w:val="BodyText"/>
        <w:spacing w:line="345" w:lineRule="auto" w:before="26"/>
        <w:ind w:left="137" w:right="109"/>
        <w:jc w:val="left"/>
      </w:pPr>
      <w:r>
        <w:rPr>
          <w:spacing w:val="-3"/>
        </w:rPr>
        <w:t>图”综合监管信息系统、山洪灾害预警系统、地籍管理系统、地理信息共享平台等一系列面</w:t>
      </w:r>
      <w:r>
        <w:rPr>
          <w:spacing w:val="-108"/>
        </w:rPr>
        <w:t> </w:t>
      </w:r>
      <w:r>
        <w:rPr>
          <w:spacing w:val="-108"/>
        </w:rPr>
      </w:r>
      <w:r>
        <w:rPr/>
        <w:t>向行业的</w:t>
      </w:r>
      <w:r>
        <w:rPr>
          <w:rFonts w:ascii="Times New Roman" w:hAnsi="Times New Roman" w:cs="Times New Roman" w:eastAsia="Times New Roman" w:hint="default"/>
        </w:rPr>
        <w:t>GIS</w:t>
      </w:r>
      <w:r>
        <w:rPr/>
        <w:t>应用平台，并将部分产品实际应用于相关的地理信息工程应用服务中。报告期 内，公司继续开展了应用平台研发工作，结合“面向服务的</w:t>
      </w:r>
      <w:r>
        <w:rPr>
          <w:rFonts w:ascii="Times New Roman" w:hAnsi="Times New Roman" w:cs="Times New Roman" w:eastAsia="Times New Roman" w:hint="default"/>
        </w:rPr>
        <w:t>Service</w:t>
      </w:r>
      <w:r>
        <w:rPr>
          <w:rFonts w:ascii="Times New Roman" w:hAnsi="Times New Roman" w:cs="Times New Roman" w:eastAsia="Times New Roman" w:hint="default"/>
          <w:spacing w:val="-26"/>
        </w:rPr>
        <w:t> </w:t>
      </w:r>
      <w:r>
        <w:rPr>
          <w:rFonts w:ascii="Times New Roman" w:hAnsi="Times New Roman" w:cs="Times New Roman" w:eastAsia="Times New Roman" w:hint="default"/>
        </w:rPr>
        <w:t>GIS</w:t>
      </w:r>
      <w:r>
        <w:rPr/>
        <w:t>技术体系”方面的技 术积累，重点开展了行业共享平台研发工作，创新面向服务的行业地理信息共享应用模式， 实现异构</w:t>
      </w:r>
      <w:r>
        <w:rPr>
          <w:rFonts w:ascii="Times New Roman" w:hAnsi="Times New Roman" w:cs="Times New Roman" w:eastAsia="Times New Roman" w:hint="default"/>
        </w:rPr>
        <w:t>GIS</w:t>
      </w:r>
      <w:r>
        <w:rPr/>
        <w:t>平台之间的数据共享和功能共享。这些研发工作，为相关行业开展基于空间信 息框架的信息化建设提供了技术保障，能有效推进公司继续深化开展行业</w:t>
      </w:r>
      <w:r>
        <w:rPr>
          <w:rFonts w:ascii="Times New Roman" w:hAnsi="Times New Roman" w:cs="Times New Roman" w:eastAsia="Times New Roman" w:hint="default"/>
        </w:rPr>
        <w:t>GIS</w:t>
      </w:r>
      <w:r>
        <w:rPr/>
        <w:t>应用。</w:t>
      </w:r>
    </w:p>
    <w:p>
      <w:pPr>
        <w:spacing w:line="338" w:lineRule="auto" w:before="19"/>
        <w:ind w:left="617" w:right="10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）技术人员的选拔和培养规划</w:t>
      </w:r>
      <w:r>
        <w:rPr>
          <w:rFonts w:ascii="宋体" w:hAnsi="宋体" w:cs="宋体" w:eastAsia="宋体" w:hint="default"/>
          <w:b/>
          <w:bCs/>
          <w:w w:val="99"/>
          <w:sz w:val="24"/>
          <w:szCs w:val="24"/>
        </w:rPr>
        <w:t> </w:t>
      </w:r>
      <w:r>
        <w:rPr>
          <w:rFonts w:ascii="宋体" w:hAnsi="宋体" w:cs="宋体" w:eastAsia="宋体" w:hint="default"/>
          <w:spacing w:val="-1"/>
          <w:sz w:val="24"/>
          <w:szCs w:val="24"/>
        </w:rPr>
        <w:t>作为专业从事</w:t>
      </w:r>
      <w:r>
        <w:rPr>
          <w:rFonts w:ascii="Times New Roman" w:hAnsi="Times New Roman" w:cs="Times New Roman" w:eastAsia="Times New Roman" w:hint="default"/>
          <w:spacing w:val="-1"/>
          <w:sz w:val="24"/>
          <w:szCs w:val="24"/>
        </w:rPr>
        <w:t>GIS</w:t>
      </w:r>
      <w:r>
        <w:rPr>
          <w:rFonts w:ascii="宋体" w:hAnsi="宋体" w:cs="宋体" w:eastAsia="宋体" w:hint="default"/>
          <w:spacing w:val="-1"/>
          <w:sz w:val="24"/>
          <w:szCs w:val="24"/>
        </w:rPr>
        <w:t>核心技术产品研发的公司，公司长期以来一直关注技术人员、尤其是</w:t>
      </w:r>
    </w:p>
    <w:p>
      <w:pPr>
        <w:pStyle w:val="BodyText"/>
        <w:spacing w:line="338" w:lineRule="auto" w:before="27"/>
        <w:ind w:left="137" w:right="228"/>
        <w:jc w:val="both"/>
      </w:pPr>
      <w:r>
        <w:rPr/>
        <w:t>核心技术人员的选拨、培养和保有。报告期内，公司开展了控编增效行动，较年初减少</w:t>
      </w:r>
      <w:r>
        <w:rPr>
          <w:rFonts w:ascii="Times New Roman" w:hAnsi="Times New Roman" w:cs="Times New Roman" w:eastAsia="Times New Roman" w:hint="default"/>
        </w:rPr>
        <w:t>175 </w:t>
      </w:r>
      <w:r>
        <w:rPr/>
        <w:t>人，人员规模为</w:t>
      </w:r>
      <w:r>
        <w:rPr>
          <w:rFonts w:ascii="Times New Roman" w:hAnsi="Times New Roman" w:cs="Times New Roman" w:eastAsia="Times New Roman" w:hint="default"/>
        </w:rPr>
        <w:t>936</w:t>
      </w:r>
      <w:r>
        <w:rPr/>
        <w:t>人，其中一线技术人员占比为</w:t>
      </w:r>
      <w:r>
        <w:rPr>
          <w:rFonts w:ascii="Times New Roman" w:hAnsi="Times New Roman" w:cs="Times New Roman" w:eastAsia="Times New Roman" w:hint="default"/>
        </w:rPr>
        <w:t>66.35%</w:t>
      </w:r>
      <w:r>
        <w:rPr/>
        <w:t>。此外，报告期内，公司开展了多 次技术培训、综合素质培训和各类员工活动，围绕“学习、执行、创新”（简称</w:t>
      </w:r>
      <w:r>
        <w:rPr>
          <w:rFonts w:ascii="Times New Roman" w:hAnsi="Times New Roman" w:cs="Times New Roman" w:eastAsia="Times New Roman" w:hint="default"/>
        </w:rPr>
        <w:t>LEI</w:t>
      </w:r>
      <w:r>
        <w:rPr/>
        <w:t>）的企 业文化，激励员工加强学习、提高执行力并鼓励在工作中开展创新。</w:t>
      </w:r>
    </w:p>
    <w:p>
      <w:pPr>
        <w:spacing w:line="338" w:lineRule="auto" w:before="55"/>
        <w:ind w:left="617" w:right="22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）市场开发与营销规划</w:t>
      </w:r>
      <w:r>
        <w:rPr>
          <w:rFonts w:ascii="宋体" w:hAnsi="宋体" w:cs="宋体" w:eastAsia="宋体" w:hint="default"/>
          <w:b/>
          <w:bCs/>
          <w:w w:val="99"/>
          <w:sz w:val="24"/>
          <w:szCs w:val="24"/>
        </w:rPr>
        <w:t> </w:t>
      </w:r>
      <w:r>
        <w:rPr>
          <w:rFonts w:ascii="宋体" w:hAnsi="宋体" w:cs="宋体" w:eastAsia="宋体" w:hint="default"/>
          <w:spacing w:val="-3"/>
          <w:sz w:val="24"/>
          <w:szCs w:val="24"/>
        </w:rPr>
        <w:t>公司在上市之初，提出了建设矩阵营销和加强国际市场开拓的策略。报告期内，公司开</w:t>
      </w:r>
    </w:p>
    <w:p>
      <w:pPr>
        <w:pStyle w:val="BodyText"/>
        <w:spacing w:line="345" w:lineRule="auto" w:before="56"/>
        <w:ind w:left="137" w:right="103"/>
        <w:jc w:val="left"/>
      </w:pPr>
      <w:r>
        <w:rPr>
          <w:spacing w:val="-3"/>
        </w:rPr>
        <w:t>始深化区域技术中心建设工作，在西安和成都建成了初具规模的技术中心，在部分分支机构</w:t>
      </w:r>
      <w:r>
        <w:rPr>
          <w:spacing w:val="-106"/>
        </w:rPr>
        <w:t> </w:t>
      </w:r>
      <w:r>
        <w:rPr>
          <w:spacing w:val="-106"/>
        </w:rPr>
      </w:r>
      <w:r>
        <w:rPr/>
        <w:t>部署行业应用团队，加强技术团队本地化建设步伐。国际市场方面，受全球经济低迷影响， </w:t>
      </w:r>
      <w:r>
        <w:rPr>
          <w:spacing w:val="-6"/>
        </w:rPr>
        <w:t>报告期内，公司国际化战略未取得实质性进展，国际市场开拓还是采用“借船出海”的战略，</w:t>
      </w:r>
      <w:r>
        <w:rPr>
          <w:spacing w:val="-97"/>
        </w:rPr>
        <w:t> </w:t>
      </w:r>
      <w:r>
        <w:rPr>
          <w:spacing w:val="-97"/>
        </w:rPr>
      </w:r>
      <w:r>
        <w:rPr>
          <w:spacing w:val="-3"/>
        </w:rPr>
        <w:t>依靠具有国际渠道的</w:t>
      </w:r>
      <w:r>
        <w:rPr>
          <w:rFonts w:ascii="Times New Roman" w:hAnsi="Times New Roman" w:cs="Times New Roman" w:eastAsia="Times New Roman" w:hint="default"/>
          <w:spacing w:val="-3"/>
        </w:rPr>
        <w:t>IT</w:t>
      </w:r>
      <w:r>
        <w:rPr>
          <w:spacing w:val="-3"/>
        </w:rPr>
        <w:t>集成商、运营商的市场渠道，将产品打入国际市场。此外，</w:t>
      </w:r>
      <w:r>
        <w:rPr>
          <w:rFonts w:ascii="Times New Roman" w:hAnsi="Times New Roman" w:cs="Times New Roman" w:eastAsia="Times New Roman" w:hint="default"/>
          <w:spacing w:val="-3"/>
        </w:rPr>
        <w:t>2012</w:t>
      </w:r>
      <w:r>
        <w:rPr>
          <w:spacing w:val="-3"/>
        </w:rPr>
        <w:t>年度</w:t>
      </w:r>
      <w:r>
        <w:rPr>
          <w:spacing w:val="-79"/>
        </w:rPr>
        <w:t> </w:t>
      </w:r>
      <w:r>
        <w:rPr>
          <w:spacing w:val="-3"/>
        </w:rPr>
        <w:t>新增</w:t>
      </w:r>
      <w:r>
        <w:rPr>
          <w:rFonts w:ascii="Times New Roman" w:hAnsi="Times New Roman" w:cs="Times New Roman" w:eastAsia="Times New Roman" w:hint="default"/>
          <w:spacing w:val="-3"/>
        </w:rPr>
        <w:t>30</w:t>
      </w:r>
      <w:r>
        <w:rPr>
          <w:spacing w:val="-3"/>
        </w:rPr>
        <w:t>家海外代理商，现有海外签约代理商达到了</w:t>
      </w:r>
      <w:r>
        <w:rPr>
          <w:rFonts w:ascii="Times New Roman" w:hAnsi="Times New Roman" w:cs="Times New Roman" w:eastAsia="Times New Roman" w:hint="default"/>
          <w:spacing w:val="-3"/>
        </w:rPr>
        <w:t>35</w:t>
      </w:r>
      <w:r>
        <w:rPr>
          <w:spacing w:val="-3"/>
        </w:rPr>
        <w:t>家，覆盖亚非拉</w:t>
      </w:r>
      <w:r>
        <w:rPr>
          <w:rFonts w:ascii="Times New Roman" w:hAnsi="Times New Roman" w:cs="Times New Roman" w:eastAsia="Times New Roman" w:hint="default"/>
          <w:spacing w:val="-3"/>
        </w:rPr>
        <w:t>30</w:t>
      </w:r>
      <w:r>
        <w:rPr>
          <w:spacing w:val="-3"/>
        </w:rPr>
        <w:t>多个国家和地区。正</w:t>
      </w:r>
      <w:r>
        <w:rPr>
          <w:spacing w:val="-93"/>
        </w:rPr>
        <w:t> </w:t>
      </w:r>
      <w:r>
        <w:rPr>
          <w:spacing w:val="-93"/>
        </w:rPr>
      </w:r>
      <w:r>
        <w:rPr/>
        <w:t>在策划几个国家的</w:t>
      </w:r>
      <w:r>
        <w:rPr>
          <w:rFonts w:ascii="Times New Roman" w:hAnsi="Times New Roman" w:cs="Times New Roman" w:eastAsia="Times New Roman" w:hint="default"/>
        </w:rPr>
        <w:t>SuperMap</w:t>
      </w:r>
      <w:r>
        <w:rPr/>
        <w:t>联合</w:t>
      </w:r>
      <w:r>
        <w:rPr>
          <w:rFonts w:ascii="Times New Roman" w:hAnsi="Times New Roman" w:cs="Times New Roman" w:eastAsia="Times New Roman" w:hint="default"/>
        </w:rPr>
        <w:t>GIS</w:t>
      </w:r>
      <w:r>
        <w:rPr/>
        <w:t>实验室。全年开展了超过</w:t>
      </w:r>
      <w:r>
        <w:rPr>
          <w:rFonts w:ascii="Times New Roman" w:hAnsi="Times New Roman" w:cs="Times New Roman" w:eastAsia="Times New Roman" w:hint="default"/>
        </w:rPr>
        <w:t>10</w:t>
      </w:r>
      <w:r>
        <w:rPr/>
        <w:t>次以上的国际交流活动，比 如</w:t>
      </w:r>
      <w:r>
        <w:rPr>
          <w:rFonts w:ascii="Times New Roman" w:hAnsi="Times New Roman" w:cs="Times New Roman" w:eastAsia="Times New Roman" w:hint="default"/>
        </w:rPr>
        <w:t>5</w:t>
      </w:r>
      <w:r>
        <w:rPr/>
        <w:t>月份在新加坡的北斗应用研讨会，</w:t>
      </w:r>
      <w:r>
        <w:rPr>
          <w:rFonts w:ascii="Times New Roman" w:hAnsi="Times New Roman" w:cs="Times New Roman" w:eastAsia="Times New Roman" w:hint="default"/>
        </w:rPr>
        <w:t>8</w:t>
      </w:r>
      <w:r>
        <w:rPr/>
        <w:t>月份在爱尔兰的</w:t>
      </w:r>
      <w:r>
        <w:rPr>
          <w:rFonts w:ascii="Times New Roman" w:hAnsi="Times New Roman" w:cs="Times New Roman" w:eastAsia="Times New Roman" w:hint="default"/>
        </w:rPr>
        <w:t>GIS</w:t>
      </w:r>
      <w:r>
        <w:rPr/>
        <w:t>研讨会，</w:t>
      </w:r>
      <w:r>
        <w:rPr>
          <w:rFonts w:ascii="Times New Roman" w:hAnsi="Times New Roman" w:cs="Times New Roman" w:eastAsia="Times New Roman" w:hint="default"/>
        </w:rPr>
        <w:t>12</w:t>
      </w:r>
      <w:r>
        <w:rPr/>
        <w:t>月份的科技部朝鲜科 </w:t>
      </w:r>
      <w:r>
        <w:rPr>
          <w:spacing w:val="-6"/>
        </w:rPr>
        <w:t>技交流团等。接待了来自欧洲、非洲、亚洲、大洋洲和美洲超过</w:t>
      </w:r>
      <w:r>
        <w:rPr>
          <w:rFonts w:ascii="Times New Roman" w:hAnsi="Times New Roman" w:cs="Times New Roman" w:eastAsia="Times New Roman" w:hint="default"/>
          <w:spacing w:val="-6"/>
        </w:rPr>
        <w:t>30</w:t>
      </w:r>
      <w:r>
        <w:rPr>
          <w:spacing w:val="-6"/>
        </w:rPr>
        <w:t>批学者、客户、代理商等，</w:t>
      </w:r>
      <w:r>
        <w:rPr>
          <w:spacing w:val="-96"/>
        </w:rPr>
        <w:t> </w:t>
      </w:r>
      <w:r>
        <w:rPr>
          <w:spacing w:val="-96"/>
        </w:rPr>
      </w:r>
      <w:r>
        <w:rPr/>
        <w:t>大力培养国外教育机构、研究机构等专业人士对公司产品和技术体系的认识和了解。</w:t>
      </w:r>
    </w:p>
    <w:p>
      <w:pPr>
        <w:pStyle w:val="BodyText"/>
        <w:spacing w:line="357" w:lineRule="auto" w:before="48"/>
        <w:ind w:left="137" w:right="223" w:firstLine="480"/>
        <w:jc w:val="left"/>
      </w:pPr>
      <w:r>
        <w:rPr>
          <w:spacing w:val="-3"/>
        </w:rPr>
        <w:t>国际化战略是公司的重要战略，是一项长期的规划，在未来几年，公司将继续完善全球</w:t>
      </w:r>
      <w:r>
        <w:rPr/>
        <w:t> 渠道市场布局，进一步增强国际市场的盈利能力。</w:t>
      </w:r>
    </w:p>
    <w:p>
      <w:pPr>
        <w:spacing w:line="338" w:lineRule="auto" w:before="36"/>
        <w:ind w:left="617" w:right="223" w:firstLine="2"/>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）资金筹措与运用规划</w:t>
      </w:r>
      <w:r>
        <w:rPr>
          <w:rFonts w:ascii="宋体" w:hAnsi="宋体" w:cs="宋体" w:eastAsia="宋体" w:hint="default"/>
          <w:b/>
          <w:bCs/>
          <w:w w:val="99"/>
          <w:sz w:val="24"/>
          <w:szCs w:val="24"/>
        </w:rPr>
        <w:t> </w:t>
      </w:r>
      <w:r>
        <w:rPr>
          <w:rFonts w:ascii="宋体" w:hAnsi="宋体" w:cs="宋体" w:eastAsia="宋体" w:hint="default"/>
          <w:spacing w:val="-3"/>
          <w:sz w:val="24"/>
          <w:szCs w:val="24"/>
        </w:rPr>
        <w:t>报告期内，公司结合实际情况，使用超募资金开展了“移动地理信息平台产品及整体解</w:t>
      </w:r>
    </w:p>
    <w:p>
      <w:pPr>
        <w:pStyle w:val="BodyText"/>
        <w:spacing w:line="357" w:lineRule="auto" w:before="55"/>
        <w:ind w:left="137" w:right="109"/>
        <w:jc w:val="left"/>
      </w:pPr>
      <w:r>
        <w:rPr>
          <w:spacing w:val="-6"/>
        </w:rPr>
        <w:t>决方案研发与产业化项目”并使用部分超募资金永久补充公司流动资金，提高资金使用效率。</w:t>
      </w:r>
      <w:r>
        <w:rPr>
          <w:spacing w:val="-99"/>
        </w:rPr>
        <w:t> </w:t>
      </w:r>
      <w:r>
        <w:rPr>
          <w:spacing w:val="-99"/>
        </w:rPr>
      </w:r>
      <w:r>
        <w:rPr/>
        <w:t>具体参看本章节第</w:t>
      </w:r>
      <w:r>
        <w:rPr>
          <w:rFonts w:ascii="Times New Roman" w:hAnsi="Times New Roman" w:cs="Times New Roman" w:eastAsia="Times New Roman" w:hint="default"/>
        </w:rPr>
        <w:t>5</w:t>
      </w:r>
      <w:r>
        <w:rPr/>
        <w:t>部分——募集资金使用情况。</w:t>
      </w:r>
    </w:p>
    <w:p>
      <w:pPr>
        <w:spacing w:after="0" w:line="357" w:lineRule="auto"/>
        <w:jc w:val="left"/>
        <w:sectPr>
          <w:pgSz w:w="11910" w:h="16840"/>
          <w:pgMar w:header="884" w:footer="1007" w:top="1100" w:bottom="1200" w:left="1140" w:right="900"/>
        </w:sectPr>
      </w:pPr>
    </w:p>
    <w:p>
      <w:pPr>
        <w:spacing w:line="240" w:lineRule="auto" w:before="8"/>
        <w:rPr>
          <w:rFonts w:ascii="宋体" w:hAnsi="宋体" w:cs="宋体" w:eastAsia="宋体" w:hint="default"/>
          <w:sz w:val="25"/>
          <w:szCs w:val="25"/>
        </w:rPr>
      </w:pPr>
    </w:p>
    <w:p>
      <w:pPr>
        <w:pStyle w:val="Heading4"/>
        <w:spacing w:line="240" w:lineRule="auto" w:before="26"/>
        <w:ind w:left="619" w:right="109"/>
        <w:jc w:val="left"/>
        <w:rPr>
          <w:b w:val="0"/>
          <w:bCs w:val="0"/>
        </w:rPr>
      </w:pPr>
      <w:r>
        <w:rPr>
          <w:rFonts w:ascii="Wingdings" w:hAnsi="Wingdings" w:cs="Wingdings" w:eastAsia="Wingdings" w:hint="default"/>
          <w:b w:val="0"/>
          <w:bCs w:val="0"/>
        </w:rPr>
        <w:t></w:t>
      </w:r>
      <w:r>
        <w:rPr>
          <w:rFonts w:ascii="Wingdings" w:hAnsi="Wingdings" w:cs="Wingdings" w:eastAsia="Wingdings" w:hint="default"/>
          <w:b w:val="0"/>
          <w:bCs w:val="0"/>
          <w:spacing w:val="-67"/>
        </w:rPr>
        <w:t></w:t>
      </w:r>
      <w:r>
        <w:rPr>
          <w:rFonts w:ascii="Times New Roman" w:hAnsi="Times New Roman" w:cs="Times New Roman" w:eastAsia="Times New Roman" w:hint="default"/>
          <w:b w:val="0"/>
          <w:bCs w:val="0"/>
          <w:spacing w:val="-67"/>
        </w:rPr>
      </w:r>
      <w:r>
        <w:rPr/>
        <w:t>公司回顾总结前期披露的发展战略和经营计划在报告期内的进展情况</w:t>
      </w:r>
      <w:r>
        <w:rPr>
          <w:b w:val="0"/>
          <w:bCs w:val="0"/>
        </w:rPr>
      </w:r>
    </w:p>
    <w:p>
      <w:pPr>
        <w:pStyle w:val="BodyText"/>
        <w:spacing w:line="338" w:lineRule="auto" w:before="137"/>
        <w:ind w:left="137" w:right="219" w:firstLine="480"/>
        <w:jc w:val="left"/>
      </w:pPr>
      <w:r>
        <w:rPr/>
        <w:t>公司在</w:t>
      </w:r>
      <w:r>
        <w:rPr>
          <w:spacing w:val="-59"/>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年年报中披露过公司</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spacing w:val="-5"/>
        </w:rPr>
        <w:t>年及未来三年的发展战略和经营计划，上述计划</w:t>
      </w:r>
      <w:r>
        <w:rPr/>
        <w:t> 在本报告期内的进展情况如下：</w:t>
      </w:r>
    </w:p>
    <w:p>
      <w:pPr>
        <w:pStyle w:val="Heading4"/>
        <w:spacing w:line="240" w:lineRule="auto" w:before="55"/>
        <w:ind w:left="619" w:right="109"/>
        <w:jc w:val="left"/>
        <w:rPr>
          <w:b w:val="0"/>
          <w:bCs w:val="0"/>
        </w:rPr>
      </w:pPr>
      <w:r>
        <w:rPr>
          <w:rFonts w:ascii="Times New Roman" w:hAnsi="Times New Roman" w:cs="Times New Roman" w:eastAsia="Times New Roman" w:hint="default"/>
        </w:rPr>
        <w:t>1</w:t>
      </w:r>
      <w:r>
        <w:rPr/>
        <w:t>）产品研发与创新计划</w:t>
      </w:r>
      <w:r>
        <w:rPr>
          <w:b w:val="0"/>
          <w:bCs w:val="0"/>
        </w:rPr>
      </w:r>
    </w:p>
    <w:p>
      <w:pPr>
        <w:pStyle w:val="ListParagraph"/>
        <w:numPr>
          <w:ilvl w:val="0"/>
          <w:numId w:val="1"/>
        </w:numPr>
        <w:tabs>
          <w:tab w:pos="1398" w:val="left" w:leader="none"/>
        </w:tabs>
        <w:spacing w:line="338" w:lineRule="auto" w:before="135" w:after="0"/>
        <w:ind w:left="617" w:right="324" w:firstLine="372"/>
        <w:jc w:val="left"/>
        <w:rPr>
          <w:rFonts w:ascii="宋体" w:hAnsi="宋体" w:cs="宋体" w:eastAsia="宋体" w:hint="default"/>
          <w:sz w:val="24"/>
          <w:szCs w:val="24"/>
        </w:rPr>
      </w:pPr>
      <w:r>
        <w:rPr>
          <w:rFonts w:ascii="Times New Roman" w:hAnsi="Times New Roman" w:cs="Times New Roman" w:eastAsia="Times New Roman" w:hint="default"/>
          <w:sz w:val="24"/>
          <w:szCs w:val="24"/>
        </w:rPr>
        <w:t>7C</w:t>
      </w:r>
      <w:r>
        <w:rPr>
          <w:rFonts w:ascii="宋体" w:hAnsi="宋体" w:cs="宋体" w:eastAsia="宋体" w:hint="default"/>
          <w:sz w:val="24"/>
          <w:szCs w:val="24"/>
        </w:rPr>
        <w:t>（</w:t>
      </w:r>
      <w:r>
        <w:rPr>
          <w:rFonts w:ascii="Times New Roman" w:hAnsi="Times New Roman" w:cs="Times New Roman" w:eastAsia="Times New Roman" w:hint="default"/>
          <w:sz w:val="24"/>
          <w:szCs w:val="24"/>
        </w:rPr>
        <w:t>SuperMap Cloud</w:t>
      </w:r>
      <w:r>
        <w:rPr>
          <w:rFonts w:ascii="Times New Roman" w:hAnsi="Times New Roman" w:cs="Times New Roman" w:eastAsia="Times New Roman" w:hint="default"/>
          <w:spacing w:val="-1"/>
          <w:sz w:val="24"/>
          <w:szCs w:val="24"/>
        </w:rPr>
        <w:t> </w:t>
      </w:r>
      <w:r>
        <w:rPr>
          <w:rFonts w:ascii="Times New Roman" w:hAnsi="Times New Roman" w:cs="Times New Roman" w:eastAsia="Times New Roman" w:hint="default"/>
          <w:sz w:val="24"/>
          <w:szCs w:val="24"/>
        </w:rPr>
        <w:t>7</w:t>
      </w:r>
      <w:r>
        <w:rPr>
          <w:rFonts w:ascii="宋体" w:hAnsi="宋体" w:cs="宋体" w:eastAsia="宋体" w:hint="default"/>
          <w:sz w:val="24"/>
          <w:szCs w:val="24"/>
        </w:rPr>
        <w:t>）系列产品的研发 报告期内，公司完成了</w:t>
      </w:r>
      <w:r>
        <w:rPr>
          <w:rFonts w:ascii="Times New Roman" w:hAnsi="Times New Roman" w:cs="Times New Roman" w:eastAsia="Times New Roman" w:hint="default"/>
          <w:sz w:val="24"/>
          <w:szCs w:val="24"/>
        </w:rPr>
        <w:t>7C</w:t>
      </w:r>
      <w:r>
        <w:rPr>
          <w:rFonts w:ascii="宋体" w:hAnsi="宋体" w:cs="宋体" w:eastAsia="宋体" w:hint="default"/>
          <w:sz w:val="24"/>
          <w:szCs w:val="24"/>
        </w:rPr>
        <w:t>系列产品的部分底层关键技术的研发，并拟于</w:t>
      </w:r>
      <w:r>
        <w:rPr>
          <w:rFonts w:ascii="Times New Roman" w:hAnsi="Times New Roman" w:cs="Times New Roman" w:eastAsia="Times New Roman" w:hint="default"/>
          <w:sz w:val="24"/>
          <w:szCs w:val="24"/>
        </w:rPr>
        <w:t>2013</w:t>
      </w:r>
      <w:r>
        <w:rPr>
          <w:rFonts w:ascii="宋体" w:hAnsi="宋体" w:cs="宋体" w:eastAsia="宋体" w:hint="default"/>
          <w:sz w:val="24"/>
          <w:szCs w:val="24"/>
        </w:rPr>
        <w:t>年下半年</w:t>
      </w:r>
    </w:p>
    <w:p>
      <w:pPr>
        <w:pStyle w:val="BodyText"/>
        <w:spacing w:line="240" w:lineRule="auto" w:before="27"/>
        <w:ind w:left="0" w:right="5029"/>
        <w:jc w:val="center"/>
      </w:pPr>
      <w:r>
        <w:rPr/>
        <w:t>发布产品，本报告期内突破的主要技术有：</w:t>
      </w:r>
    </w:p>
    <w:p>
      <w:pPr>
        <w:pStyle w:val="BodyText"/>
        <w:spacing w:line="240" w:lineRule="auto" w:before="154"/>
        <w:ind w:left="617" w:right="109"/>
        <w:jc w:val="left"/>
      </w:pPr>
      <w:r>
        <w:rPr/>
        <w:t>（</w:t>
      </w:r>
      <w:r>
        <w:rPr>
          <w:rFonts w:ascii="Times New Roman" w:hAnsi="Times New Roman" w:cs="Times New Roman" w:eastAsia="Times New Roman" w:hint="default"/>
        </w:rPr>
        <w:t>1</w:t>
      </w:r>
      <w:r>
        <w:rPr/>
        <w:t>）三维海量地形、影像及精细模型数据浏览速度提升一倍以上。</w:t>
      </w:r>
    </w:p>
    <w:p>
      <w:pPr>
        <w:pStyle w:val="BodyText"/>
        <w:spacing w:line="338" w:lineRule="auto" w:before="135"/>
        <w:ind w:left="137" w:right="322" w:firstLine="480"/>
        <w:jc w:val="left"/>
      </w:pPr>
      <w:r>
        <w:rPr/>
        <w:t>（</w:t>
      </w:r>
      <w:r>
        <w:rPr>
          <w:rFonts w:ascii="Times New Roman" w:hAnsi="Times New Roman" w:cs="Times New Roman" w:eastAsia="Times New Roman" w:hint="default"/>
        </w:rPr>
        <w:t>2</w:t>
      </w:r>
      <w:r>
        <w:rPr/>
        <w:t>）完成全功能原生移动</w:t>
      </w:r>
      <w:r>
        <w:rPr>
          <w:rFonts w:ascii="Times New Roman" w:hAnsi="Times New Roman" w:cs="Times New Roman" w:eastAsia="Times New Roman" w:hint="default"/>
        </w:rPr>
        <w:t>GIS</w:t>
      </w:r>
      <w:r>
        <w:rPr/>
        <w:t>产品的预研及研发工作，除支持在线服务外，实现了对 离线矢量、影像数据的访问支持及全功能分析能力，达到国际领先水平。</w:t>
      </w:r>
    </w:p>
    <w:p>
      <w:pPr>
        <w:pStyle w:val="BodyText"/>
        <w:spacing w:line="338" w:lineRule="auto" w:before="55"/>
        <w:ind w:left="137" w:right="322" w:firstLine="480"/>
        <w:jc w:val="left"/>
      </w:pPr>
      <w:r>
        <w:rPr/>
        <w:t>（</w:t>
      </w:r>
      <w:r>
        <w:rPr>
          <w:rFonts w:ascii="Times New Roman" w:hAnsi="Times New Roman" w:cs="Times New Roman" w:eastAsia="Times New Roman" w:hint="default"/>
        </w:rPr>
        <w:t>3</w:t>
      </w:r>
      <w:r>
        <w:rPr/>
        <w:t>）完成二三维一体化移动</w:t>
      </w:r>
      <w:r>
        <w:rPr>
          <w:rFonts w:ascii="Times New Roman" w:hAnsi="Times New Roman" w:cs="Times New Roman" w:eastAsia="Times New Roman" w:hint="default"/>
        </w:rPr>
        <w:t>GIS</w:t>
      </w:r>
      <w:r>
        <w:rPr/>
        <w:t>相关技术的预研工作，完成产品原型，可以在手机及 平板电脑上流畅显示三维地理数据。</w:t>
      </w:r>
    </w:p>
    <w:p>
      <w:pPr>
        <w:pStyle w:val="BodyText"/>
        <w:spacing w:line="338" w:lineRule="auto" w:before="55"/>
        <w:ind w:left="137" w:right="229" w:firstLine="480"/>
        <w:jc w:val="left"/>
      </w:pPr>
      <w:r>
        <w:rPr/>
        <w:t>（</w:t>
      </w:r>
      <w:r>
        <w:rPr>
          <w:rFonts w:ascii="Times New Roman" w:hAnsi="Times New Roman" w:cs="Times New Roman" w:eastAsia="Times New Roman" w:hint="default"/>
        </w:rPr>
        <w:t>4</w:t>
      </w:r>
      <w:r>
        <w:rPr/>
        <w:t>）完成部分地理信息私有云产品的研发工作，包括资源汇集、资源门户、权限安全 等关键模块。</w:t>
      </w:r>
    </w:p>
    <w:p>
      <w:pPr>
        <w:pStyle w:val="BodyText"/>
        <w:tabs>
          <w:tab w:pos="1397" w:val="left" w:leader="none"/>
        </w:tabs>
        <w:spacing w:line="240" w:lineRule="auto" w:before="56"/>
        <w:ind w:left="989" w:right="109"/>
        <w:jc w:val="left"/>
      </w:pPr>
      <w:r>
        <w:rPr>
          <w:rFonts w:ascii="Wingdings" w:hAnsi="Wingdings" w:cs="Wingdings" w:eastAsia="Wingdings" w:hint="default"/>
        </w:rPr>
        <w:t></w:t>
      </w:r>
      <w:r>
        <w:rPr>
          <w:rFonts w:ascii="Times New Roman" w:hAnsi="Times New Roman" w:cs="Times New Roman" w:eastAsia="Times New Roman" w:hint="default"/>
        </w:rPr>
        <w:tab/>
      </w:r>
      <w:r>
        <w:rPr/>
        <w:t>行业共享平台产品的研发</w:t>
      </w:r>
    </w:p>
    <w:p>
      <w:pPr>
        <w:pStyle w:val="BodyText"/>
        <w:spacing w:line="348" w:lineRule="auto" w:before="137"/>
        <w:ind w:left="137" w:right="109" w:firstLine="480"/>
        <w:jc w:val="left"/>
      </w:pPr>
      <w:r>
        <w:rPr>
          <w:rFonts w:ascii="Times New Roman" w:hAnsi="Times New Roman" w:cs="Times New Roman" w:eastAsia="Times New Roman" w:hint="default"/>
          <w:spacing w:val="-3"/>
        </w:rPr>
        <w:t>2012</w:t>
      </w:r>
      <w:r>
        <w:rPr>
          <w:spacing w:val="-3"/>
        </w:rPr>
        <w:t>年，公司加大了项目产品化的研发，面向国土行业，新增土地利用总体规划、城镇</w:t>
      </w:r>
      <w:r>
        <w:rPr/>
        <w:t> </w:t>
      </w:r>
      <w:r>
        <w:rPr>
          <w:spacing w:val="-6"/>
        </w:rPr>
        <w:t>地籍、农村地籍以及土地利用现状分析等五款产品。统计与房产事业部在统计地理信息系统、</w:t>
      </w:r>
      <w:r>
        <w:rPr>
          <w:spacing w:val="-100"/>
        </w:rPr>
        <w:t> </w:t>
      </w:r>
      <w:r>
        <w:rPr>
          <w:spacing w:val="-100"/>
        </w:rPr>
      </w:r>
      <w:r>
        <w:rPr/>
        <w:t>数字房产系统的研发方面取得重大进展。</w:t>
      </w:r>
    </w:p>
    <w:p>
      <w:pPr>
        <w:pStyle w:val="BodyText"/>
        <w:tabs>
          <w:tab w:pos="1397" w:val="left" w:leader="none"/>
        </w:tabs>
        <w:spacing w:line="240" w:lineRule="auto" w:before="46"/>
        <w:ind w:left="989" w:right="109"/>
        <w:jc w:val="left"/>
      </w:pPr>
      <w:r>
        <w:rPr>
          <w:rFonts w:ascii="Wingdings" w:hAnsi="Wingdings" w:cs="Wingdings" w:eastAsia="Wingdings" w:hint="default"/>
        </w:rPr>
        <w:t></w:t>
      </w:r>
      <w:r>
        <w:rPr>
          <w:rFonts w:ascii="Times New Roman" w:hAnsi="Times New Roman" w:cs="Times New Roman" w:eastAsia="Times New Roman" w:hint="default"/>
        </w:rPr>
        <w:tab/>
      </w:r>
      <w:r>
        <w:rPr/>
        <w:t>基于云</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公共平台研发行业应用服务产品</w:t>
      </w:r>
    </w:p>
    <w:p>
      <w:pPr>
        <w:pStyle w:val="BodyText"/>
        <w:spacing w:line="350" w:lineRule="auto" w:before="135"/>
        <w:ind w:left="137" w:right="228" w:firstLine="480"/>
        <w:jc w:val="both"/>
      </w:pPr>
      <w:r>
        <w:rPr>
          <w:rFonts w:ascii="Times New Roman" w:hAnsi="Times New Roman" w:cs="Times New Roman" w:eastAsia="Times New Roman" w:hint="default"/>
          <w:spacing w:val="-1"/>
        </w:rPr>
        <w:t>2012</w:t>
      </w:r>
      <w:r>
        <w:rPr>
          <w:spacing w:val="-1"/>
        </w:rPr>
        <w:t>年度，公司逐步落地基于云</w:t>
      </w:r>
      <w:r>
        <w:rPr>
          <w:rFonts w:ascii="Times New Roman" w:hAnsi="Times New Roman" w:cs="Times New Roman" w:eastAsia="Times New Roman" w:hint="default"/>
          <w:spacing w:val="-1"/>
        </w:rPr>
        <w:t>GIS</w:t>
      </w:r>
      <w:r>
        <w:rPr>
          <w:spacing w:val="-1"/>
        </w:rPr>
        <w:t>的地理信息在线运用服务项目。具体包括，“面向</w:t>
      </w:r>
      <w:r>
        <w:rPr/>
        <w:t> </w:t>
      </w:r>
      <w:r>
        <w:rPr>
          <w:spacing w:val="-3"/>
        </w:rPr>
        <w:t>物流行业的地理信息公共服务平台”上线，该平台为部分物流公司提供“分单宝”等专业的</w:t>
      </w:r>
      <w:r>
        <w:rPr>
          <w:spacing w:val="-107"/>
        </w:rPr>
        <w:t> </w:t>
      </w:r>
      <w:r>
        <w:rPr>
          <w:spacing w:val="-107"/>
        </w:rPr>
      </w:r>
      <w:r>
        <w:rPr>
          <w:spacing w:val="-9"/>
        </w:rPr>
        <w:t>地理信息在线服务服务。此外，报告期内，公司推出了面向大众的地图专业服务产品——“地</w:t>
      </w:r>
      <w:r>
        <w:rPr>
          <w:spacing w:val="-96"/>
        </w:rPr>
        <w:t> </w:t>
      </w:r>
      <w:r>
        <w:rPr>
          <w:spacing w:val="-96"/>
        </w:rPr>
      </w:r>
      <w:r>
        <w:rPr/>
        <w:t>图汇”，用户在线即可生成各类专题地图产品。</w:t>
      </w:r>
    </w:p>
    <w:p>
      <w:pPr>
        <w:pStyle w:val="BodyText"/>
        <w:spacing w:line="357" w:lineRule="auto" w:before="43"/>
        <w:ind w:left="137" w:right="229" w:firstLine="480"/>
        <w:jc w:val="both"/>
      </w:pPr>
      <w:r>
        <w:rPr>
          <w:spacing w:val="-3"/>
        </w:rPr>
        <w:t>同时公司为更好的提供云平台支撑服务，不断增强了地理信息在线服务以及可定制化的</w:t>
      </w:r>
      <w:r>
        <w:rPr/>
        <w:t> </w:t>
      </w:r>
      <w:r>
        <w:rPr>
          <w:spacing w:val="-3"/>
        </w:rPr>
        <w:t>增值服务能力，报告期内，公司与用户合作，将部分企业客户原有的部分信息系统，例如客</w:t>
      </w:r>
      <w:r>
        <w:rPr>
          <w:spacing w:val="-107"/>
        </w:rPr>
        <w:t> </w:t>
      </w:r>
      <w:r>
        <w:rPr>
          <w:spacing w:val="-107"/>
        </w:rPr>
      </w:r>
      <w:r>
        <w:rPr/>
        <w:t>服服务信息系统、车辆监控系统、商业智能服务等，逐步迁移到云</w:t>
      </w:r>
      <w:r>
        <w:rPr>
          <w:rFonts w:ascii="Times New Roman" w:hAnsi="Times New Roman" w:cs="Times New Roman" w:eastAsia="Times New Roman" w:hint="default"/>
        </w:rPr>
        <w:t>GIS</w:t>
      </w:r>
      <w:r>
        <w:rPr/>
        <w:t>平台。</w:t>
      </w:r>
    </w:p>
    <w:p>
      <w:pPr>
        <w:pStyle w:val="Heading4"/>
        <w:spacing w:line="240" w:lineRule="auto" w:before="5"/>
        <w:ind w:left="619" w:right="109"/>
        <w:jc w:val="left"/>
        <w:rPr>
          <w:b w:val="0"/>
          <w:bCs w:val="0"/>
        </w:rPr>
      </w:pPr>
      <w:r>
        <w:rPr>
          <w:rFonts w:ascii="Times New Roman" w:hAnsi="Times New Roman" w:cs="Times New Roman" w:eastAsia="Times New Roman" w:hint="default"/>
        </w:rPr>
        <w:t>2</w:t>
      </w:r>
      <w:r>
        <w:rPr/>
        <w:t>）客户与市场开发计划</w:t>
      </w:r>
      <w:r>
        <w:rPr>
          <w:b w:val="0"/>
          <w:bCs w:val="0"/>
        </w:rPr>
      </w:r>
    </w:p>
    <w:p>
      <w:pPr>
        <w:pStyle w:val="BodyText"/>
        <w:tabs>
          <w:tab w:pos="1397" w:val="left" w:leader="none"/>
        </w:tabs>
        <w:spacing w:line="240" w:lineRule="auto" w:before="135"/>
        <w:ind w:left="989" w:right="109"/>
        <w:jc w:val="left"/>
      </w:pPr>
      <w:r>
        <w:rPr>
          <w:rFonts w:ascii="Wingdings" w:hAnsi="Wingdings" w:cs="Wingdings" w:eastAsia="Wingdings" w:hint="default"/>
        </w:rPr>
        <w:t></w:t>
      </w:r>
      <w:r>
        <w:rPr>
          <w:rFonts w:ascii="Times New Roman" w:hAnsi="Times New Roman" w:cs="Times New Roman" w:eastAsia="Times New Roman" w:hint="default"/>
        </w:rPr>
        <w:tab/>
      </w:r>
      <w:r>
        <w:rPr/>
        <w:t>增强矩阵营销建设，提高业务群组之间的共享</w:t>
      </w:r>
    </w:p>
    <w:p>
      <w:pPr>
        <w:pStyle w:val="BodyText"/>
        <w:spacing w:line="240" w:lineRule="auto" w:before="137"/>
        <w:ind w:left="617" w:right="109"/>
        <w:jc w:val="left"/>
      </w:pPr>
      <w:r>
        <w:rPr>
          <w:rFonts w:ascii="Times New Roman" w:hAnsi="Times New Roman" w:cs="Times New Roman" w:eastAsia="Times New Roman" w:hint="default"/>
        </w:rPr>
        <w:t>2012 </w:t>
      </w:r>
      <w:r>
        <w:rPr>
          <w:rFonts w:ascii="Times New Roman" w:hAnsi="Times New Roman" w:cs="Times New Roman" w:eastAsia="Times New Roman" w:hint="default"/>
          <w:spacing w:val="12"/>
        </w:rPr>
        <w:t> </w:t>
      </w:r>
      <w:r>
        <w:rPr/>
        <w:t>年度，公司进一步增强了矩阵营销建设，除了加强西安技术中心和成都技术中心</w:t>
      </w:r>
    </w:p>
    <w:p>
      <w:pPr>
        <w:spacing w:after="0" w:line="240" w:lineRule="auto"/>
        <w:jc w:val="left"/>
        <w:sectPr>
          <w:footerReference w:type="default" r:id="rId15"/>
          <w:pgSz w:w="11910" w:h="16840"/>
          <w:pgMar w:footer="1007" w:header="884" w:top="1100" w:bottom="1200" w:left="1140" w:right="900"/>
        </w:sectPr>
      </w:pPr>
    </w:p>
    <w:p>
      <w:pPr>
        <w:spacing w:line="240" w:lineRule="auto" w:before="8"/>
        <w:rPr>
          <w:rFonts w:ascii="宋体" w:hAnsi="宋体" w:cs="宋体" w:eastAsia="宋体" w:hint="default"/>
          <w:sz w:val="25"/>
          <w:szCs w:val="25"/>
        </w:rPr>
      </w:pPr>
    </w:p>
    <w:p>
      <w:pPr>
        <w:pStyle w:val="BodyText"/>
        <w:spacing w:line="357" w:lineRule="auto" w:before="26"/>
        <w:ind w:left="137" w:right="226"/>
        <w:jc w:val="both"/>
      </w:pPr>
      <w:r>
        <w:rPr>
          <w:spacing w:val="-3"/>
        </w:rPr>
        <w:t>建设外，探索“平台营销”向“营销平台”转型的机制。以数字城市事业部为试点，将总部</w:t>
      </w:r>
      <w:r>
        <w:rPr>
          <w:spacing w:val="-104"/>
        </w:rPr>
        <w:t> </w:t>
      </w:r>
      <w:r>
        <w:rPr>
          <w:spacing w:val="-104"/>
        </w:rPr>
      </w:r>
      <w:r>
        <w:rPr>
          <w:spacing w:val="3"/>
        </w:rPr>
        <w:t>事业部作为解决方案研制和提供部门，同时在部分重要的区域派出技术服务团队和营销人</w:t>
      </w:r>
      <w:r>
        <w:rPr/>
        <w:t> </w:t>
      </w:r>
      <w:r>
        <w:rPr>
          <w:spacing w:val="-3"/>
        </w:rPr>
        <w:t>员，以加强区域行业市场的开拓和本地化服务能力。为了配合实现强矩阵营销服务管理，公</w:t>
      </w:r>
      <w:r>
        <w:rPr>
          <w:spacing w:val="-102"/>
        </w:rPr>
        <w:t> </w:t>
      </w:r>
      <w:r>
        <w:rPr>
          <w:spacing w:val="-102"/>
        </w:rPr>
      </w:r>
      <w:r>
        <w:rPr>
          <w:spacing w:val="-3"/>
        </w:rPr>
        <w:t>司在原有《营销协作制度》基础上，新制定了《业务协作奖励办法》以鼓励各业务部门之间</w:t>
      </w:r>
      <w:r>
        <w:rPr>
          <w:spacing w:val="-106"/>
        </w:rPr>
        <w:t> </w:t>
      </w:r>
      <w:r>
        <w:rPr>
          <w:spacing w:val="-106"/>
        </w:rPr>
      </w:r>
      <w:r>
        <w:rPr/>
        <w:t>的业务交叉协作，促进公司资源跨部门、跨业务群组的深度整合和共享。</w:t>
      </w:r>
    </w:p>
    <w:p>
      <w:pPr>
        <w:pStyle w:val="BodyText"/>
        <w:spacing w:line="357" w:lineRule="auto" w:before="36"/>
        <w:ind w:left="137" w:right="109" w:firstLine="480"/>
        <w:jc w:val="left"/>
      </w:pPr>
      <w:r>
        <w:rPr>
          <w:spacing w:val="-3"/>
        </w:rPr>
        <w:t>当然，矩阵营销管理体系利弊共存，公司在探索矩阵营销的过程中，也同时面对包括管</w:t>
      </w:r>
      <w:r>
        <w:rPr/>
        <w:t> </w:t>
      </w:r>
      <w:r>
        <w:rPr>
          <w:spacing w:val="-3"/>
        </w:rPr>
        <w:t>理费用、销售费用上升、人员效率监管、协作规则判定等各类问题。此外，公司现有营销人</w:t>
      </w:r>
      <w:r>
        <w:rPr>
          <w:spacing w:val="-107"/>
        </w:rPr>
        <w:t> </w:t>
      </w:r>
      <w:r>
        <w:rPr>
          <w:spacing w:val="-107"/>
        </w:rPr>
      </w:r>
      <w:r>
        <w:rPr>
          <w:spacing w:val="-3"/>
        </w:rPr>
        <w:t>员的销售能力亟待提高，需要加强专业化、职业化能力，提高项目策划能力。未来，公司将</w:t>
      </w:r>
      <w:r>
        <w:rPr>
          <w:spacing w:val="-108"/>
        </w:rPr>
        <w:t> </w:t>
      </w:r>
      <w:r>
        <w:rPr>
          <w:spacing w:val="-108"/>
        </w:rPr>
      </w:r>
      <w:r>
        <w:rPr/>
        <w:t>加快探索矩阵营销体系协作机制和管理能力建设，最大限度发挥矩阵营销体系的市场价值， 加速公司业绩提升。</w:t>
      </w:r>
    </w:p>
    <w:p>
      <w:pPr>
        <w:pStyle w:val="BodyText"/>
        <w:tabs>
          <w:tab w:pos="407" w:val="left" w:leader="none"/>
        </w:tabs>
        <w:spacing w:line="240" w:lineRule="auto" w:before="36"/>
        <w:ind w:left="0" w:right="5798"/>
        <w:jc w:val="center"/>
      </w:pPr>
      <w:r>
        <w:rPr>
          <w:rFonts w:ascii="Wingdings" w:hAnsi="Wingdings" w:cs="Wingdings" w:eastAsia="Wingdings" w:hint="default"/>
        </w:rPr>
        <w:t></w:t>
      </w:r>
      <w:r>
        <w:rPr>
          <w:rFonts w:ascii="Times New Roman" w:hAnsi="Times New Roman" w:cs="Times New Roman" w:eastAsia="Times New Roman" w:hint="default"/>
        </w:rPr>
        <w:tab/>
      </w:r>
      <w:r>
        <w:rPr/>
        <w:t>品牌建设与发展</w:t>
      </w:r>
    </w:p>
    <w:p>
      <w:pPr>
        <w:pStyle w:val="BodyText"/>
        <w:spacing w:line="338" w:lineRule="auto" w:before="137"/>
        <w:ind w:left="137" w:right="180" w:firstLine="48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年，公司在南昌、长春、太原、合肥、昆明、沈阳、济南、南宁、上海和兰州等 十个城市开展巡展与共享平台技术交流会；举办了</w:t>
      </w:r>
      <w:r>
        <w:rPr>
          <w:spacing w:val="-62"/>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2"/>
        </w:rPr>
        <w:t> </w:t>
      </w:r>
      <w:r>
        <w:rPr/>
        <w:t>杯第十届全国高校</w:t>
      </w:r>
      <w:r>
        <w:rPr>
          <w:spacing w:val="-62"/>
        </w:rPr>
        <w:t> </w:t>
      </w:r>
      <w:r>
        <w:rPr>
          <w:rFonts w:ascii="Times New Roman" w:hAnsi="Times New Roman" w:cs="Times New Roman" w:eastAsia="Times New Roman" w:hint="default"/>
        </w:rPr>
        <w:t>GIS</w:t>
      </w:r>
      <w:r>
        <w:rPr>
          <w:rFonts w:ascii="Times New Roman" w:hAnsi="Times New Roman" w:cs="Times New Roman" w:eastAsia="Times New Roman" w:hint="default"/>
          <w:spacing w:val="-1"/>
        </w:rPr>
        <w:t> </w:t>
      </w:r>
      <w:r>
        <w:rPr/>
        <w:t>大赛； 举办了第五届</w:t>
      </w:r>
      <w:r>
        <w:rPr>
          <w:spacing w:val="-57"/>
        </w:rPr>
        <w:t> </w:t>
      </w:r>
      <w:r>
        <w:rPr>
          <w:rFonts w:ascii="Times New Roman" w:hAnsi="Times New Roman" w:cs="Times New Roman" w:eastAsia="Times New Roman" w:hint="default"/>
        </w:rPr>
        <w:t>9.15GIS</w:t>
      </w:r>
      <w:r>
        <w:rPr>
          <w:rFonts w:ascii="Times New Roman" w:hAnsi="Times New Roman" w:cs="Times New Roman" w:eastAsia="Times New Roman" w:hint="default"/>
          <w:spacing w:val="7"/>
        </w:rPr>
        <w:t> </w:t>
      </w:r>
      <w:r>
        <w:rPr>
          <w:spacing w:val="-4"/>
        </w:rPr>
        <w:t>节，这些活动使公司核心技术以及公司应用案例得到了更好展示，</w:t>
      </w:r>
      <w:r>
        <w:rPr>
          <w:spacing w:val="-95"/>
        </w:rPr>
        <w:t> </w:t>
      </w:r>
      <w:r>
        <w:rPr/>
        <w:t>使</w:t>
      </w:r>
      <w:r>
        <w:rPr>
          <w:spacing w:val="-116"/>
        </w:rPr>
        <w:t> </w:t>
      </w:r>
      <w:r>
        <w:rPr>
          <w:spacing w:val="-116"/>
        </w:rPr>
      </w:r>
      <w:r>
        <w:rPr/>
        <w:t>公司品牌形象的进一步深入人心，同时有利于吸引和储备优秀人才。</w:t>
      </w:r>
    </w:p>
    <w:p>
      <w:pPr>
        <w:pStyle w:val="Heading4"/>
        <w:spacing w:line="240" w:lineRule="auto" w:before="55"/>
        <w:ind w:left="619" w:right="109"/>
        <w:jc w:val="left"/>
        <w:rPr>
          <w:b w:val="0"/>
          <w:bCs w:val="0"/>
        </w:rPr>
      </w:pPr>
      <w:r>
        <w:rPr>
          <w:rFonts w:ascii="Times New Roman" w:hAnsi="Times New Roman" w:cs="Times New Roman" w:eastAsia="Times New Roman" w:hint="default"/>
        </w:rPr>
        <w:t>3</w:t>
      </w:r>
      <w:r>
        <w:rPr/>
        <w:t>）管理提升计划</w:t>
      </w:r>
      <w:r>
        <w:rPr>
          <w:b w:val="0"/>
          <w:bCs w:val="0"/>
        </w:rPr>
      </w:r>
    </w:p>
    <w:p>
      <w:pPr>
        <w:pStyle w:val="BodyText"/>
        <w:spacing w:line="348" w:lineRule="auto" w:before="135"/>
        <w:ind w:left="137" w:right="111" w:firstLine="48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5"/>
        </w:rPr>
        <w:t> </w:t>
      </w:r>
      <w:r>
        <w:rPr/>
        <w:t>年度，公司切实执行了控编增效行动、计划执行行动，公司信息化部开发了《内 </w:t>
      </w:r>
      <w:r>
        <w:rPr>
          <w:spacing w:val="-3"/>
        </w:rPr>
        <w:t>部计划执行管理系统》并制定了相关的考核管理办法有效提高了员工计划执行力，通过梳理</w:t>
      </w:r>
      <w:r>
        <w:rPr>
          <w:spacing w:val="-106"/>
        </w:rPr>
        <w:t> </w:t>
      </w:r>
      <w:r>
        <w:rPr>
          <w:spacing w:val="-106"/>
        </w:rPr>
      </w:r>
      <w:r>
        <w:rPr>
          <w:spacing w:val="-4"/>
        </w:rPr>
        <w:t>员工工作岗位、丰富岗位职责以及撤并转有关部门有效控制了人员增长，截至 </w:t>
      </w:r>
      <w:r>
        <w:rPr>
          <w:rFonts w:ascii="Times New Roman" w:hAnsi="Times New Roman" w:cs="Times New Roman" w:eastAsia="Times New Roman" w:hint="default"/>
        </w:rPr>
        <w:t>2012</w:t>
      </w:r>
      <w:r>
        <w:rPr>
          <w:rFonts w:ascii="Times New Roman" w:hAnsi="Times New Roman" w:cs="Times New Roman" w:eastAsia="Times New Roman" w:hint="default"/>
          <w:spacing w:val="-25"/>
        </w:rPr>
        <w:t> </w:t>
      </w:r>
      <w:r>
        <w:rPr/>
        <w:t>年年末，</w:t>
      </w:r>
    </w:p>
    <w:p>
      <w:pPr>
        <w:pStyle w:val="BodyText"/>
        <w:spacing w:line="240" w:lineRule="auto" w:before="16"/>
        <w:ind w:left="137" w:right="0"/>
        <w:jc w:val="both"/>
      </w:pPr>
      <w:r>
        <w:rPr/>
        <w:t>公司人员规模为</w:t>
      </w:r>
      <w:r>
        <w:rPr>
          <w:spacing w:val="-61"/>
        </w:rPr>
        <w:t> </w:t>
      </w:r>
      <w:r>
        <w:rPr>
          <w:rFonts w:ascii="Times New Roman" w:hAnsi="Times New Roman" w:cs="Times New Roman" w:eastAsia="Times New Roman" w:hint="default"/>
        </w:rPr>
        <w:t>936 </w:t>
      </w:r>
      <w:r>
        <w:rPr/>
        <w:t>人，比去年同期减少了</w:t>
      </w:r>
      <w:r>
        <w:rPr>
          <w:spacing w:val="-60"/>
        </w:rPr>
        <w:t> </w:t>
      </w:r>
      <w:r>
        <w:rPr>
          <w:rFonts w:ascii="Times New Roman" w:hAnsi="Times New Roman" w:cs="Times New Roman" w:eastAsia="Times New Roman" w:hint="default"/>
        </w:rPr>
        <w:t>175 </w:t>
      </w:r>
      <w:r>
        <w:rPr/>
        <w:t>人。</w:t>
      </w:r>
    </w:p>
    <w:p>
      <w:pPr>
        <w:pStyle w:val="Heading4"/>
        <w:spacing w:line="240" w:lineRule="auto" w:before="135"/>
        <w:ind w:left="619" w:right="109"/>
        <w:jc w:val="left"/>
        <w:rPr>
          <w:b w:val="0"/>
          <w:bCs w:val="0"/>
        </w:rPr>
      </w:pPr>
      <w:r>
        <w:rPr>
          <w:rFonts w:ascii="Times New Roman" w:hAnsi="Times New Roman" w:cs="Times New Roman" w:eastAsia="Times New Roman" w:hint="default"/>
        </w:rPr>
        <w:t>4</w:t>
      </w:r>
      <w:r>
        <w:rPr/>
        <w:t>）募投项目和超募资金使用</w:t>
      </w:r>
      <w:r>
        <w:rPr>
          <w:b w:val="0"/>
          <w:bCs w:val="0"/>
        </w:rPr>
      </w:r>
    </w:p>
    <w:p>
      <w:pPr>
        <w:pStyle w:val="BodyText"/>
        <w:spacing w:line="240" w:lineRule="auto" w:before="136"/>
        <w:ind w:left="617" w:right="109"/>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6"/>
        </w:rPr>
        <w:t> </w:t>
      </w:r>
      <w:r>
        <w:rPr/>
        <w:t>年度，公司根据原计划加强了对超募资金的使用，使用超募资金</w:t>
      </w:r>
      <w:r>
        <w:rPr>
          <w:spacing w:val="-75"/>
        </w:rPr>
        <w:t> </w:t>
      </w:r>
      <w:r>
        <w:rPr>
          <w:rFonts w:ascii="Times New Roman" w:hAnsi="Times New Roman" w:cs="Times New Roman" w:eastAsia="Times New Roman" w:hint="default"/>
        </w:rPr>
        <w:t>4000</w:t>
      </w:r>
      <w:r>
        <w:rPr>
          <w:rFonts w:ascii="Times New Roman" w:hAnsi="Times New Roman" w:cs="Times New Roman" w:eastAsia="Times New Roman" w:hint="default"/>
          <w:spacing w:val="-15"/>
        </w:rPr>
        <w:t> </w:t>
      </w:r>
      <w:r>
        <w:rPr/>
        <w:t>万永久补充</w:t>
      </w:r>
    </w:p>
    <w:p>
      <w:pPr>
        <w:pStyle w:val="BodyText"/>
        <w:spacing w:line="338" w:lineRule="auto" w:before="135"/>
        <w:ind w:left="137" w:right="229"/>
        <w:jc w:val="both"/>
      </w:pPr>
      <w:r>
        <w:rPr>
          <w:spacing w:val="-9"/>
        </w:rPr>
        <w:t>流动资金，此外使用超募资金</w:t>
      </w:r>
      <w:r>
        <w:rPr>
          <w:spacing w:val="-55"/>
        </w:rPr>
        <w:t> </w:t>
      </w:r>
      <w:r>
        <w:rPr>
          <w:rFonts w:ascii="Times New Roman" w:hAnsi="Times New Roman" w:cs="Times New Roman" w:eastAsia="Times New Roman" w:hint="default"/>
        </w:rPr>
        <w:t>2,809.50</w:t>
      </w:r>
      <w:r>
        <w:rPr>
          <w:rFonts w:ascii="Times New Roman" w:hAnsi="Times New Roman" w:cs="Times New Roman" w:eastAsia="Times New Roman" w:hint="default"/>
          <w:spacing w:val="5"/>
        </w:rPr>
        <w:t> </w:t>
      </w:r>
      <w:r>
        <w:rPr/>
        <w:t>万元用于移动地理信息平台产品及整体解决方案研发 与产业化项目，进一步提高了募集资金使用效率，发挥了募集资金效用。</w:t>
      </w:r>
    </w:p>
    <w:p>
      <w:pPr>
        <w:pStyle w:val="Heading4"/>
        <w:spacing w:line="240" w:lineRule="auto" w:before="55"/>
        <w:ind w:left="619" w:right="109"/>
        <w:jc w:val="left"/>
        <w:rPr>
          <w:b w:val="0"/>
          <w:bCs w:val="0"/>
        </w:rPr>
      </w:pPr>
      <w:r>
        <w:rPr>
          <w:rFonts w:ascii="Times New Roman" w:hAnsi="Times New Roman" w:cs="Times New Roman" w:eastAsia="Times New Roman" w:hint="default"/>
        </w:rPr>
        <w:t>5</w:t>
      </w:r>
      <w:r>
        <w:rPr/>
        <w:t>）投资者关系管理</w:t>
      </w:r>
      <w:r>
        <w:rPr>
          <w:b w:val="0"/>
          <w:bCs w:val="0"/>
        </w:rPr>
      </w:r>
    </w:p>
    <w:p>
      <w:pPr>
        <w:pStyle w:val="BodyText"/>
        <w:spacing w:line="350" w:lineRule="auto" w:before="135"/>
        <w:ind w:left="137" w:right="229" w:firstLine="480"/>
        <w:jc w:val="both"/>
      </w:pPr>
      <w:r>
        <w:rPr/>
        <w:t>公司于</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7"/>
        </w:rPr>
        <w:t> </w:t>
      </w:r>
      <w:r>
        <w:rPr>
          <w:rFonts w:ascii="Times New Roman" w:hAnsi="Times New Roman" w:cs="Times New Roman" w:eastAsia="Times New Roman" w:hint="default"/>
        </w:rPr>
        <w:t>16 </w:t>
      </w:r>
      <w:r>
        <w:rPr/>
        <w:t>日公告了</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年全年的投资者现场接待日，并通过电话、互动 </w:t>
      </w:r>
      <w:r>
        <w:rPr>
          <w:spacing w:val="-3"/>
        </w:rPr>
        <w:t>平台、邮件等途径加强与投资者的沟通。在城市的巡展中，邀请投资者就近参加，并组织相</w:t>
      </w:r>
      <w:r>
        <w:rPr>
          <w:spacing w:val="-108"/>
        </w:rPr>
        <w:t> </w:t>
      </w:r>
      <w:r>
        <w:rPr>
          <w:spacing w:val="-108"/>
        </w:rPr>
      </w:r>
      <w:r>
        <w:rPr>
          <w:spacing w:val="-3"/>
        </w:rPr>
        <w:t>关管理层人员与当地投资者的沟通会议，方便投资者加强对公司技术、产品及业务情况的了</w:t>
      </w:r>
      <w:r>
        <w:rPr>
          <w:spacing w:val="-106"/>
        </w:rPr>
        <w:t> </w:t>
      </w:r>
      <w:r>
        <w:rPr>
          <w:spacing w:val="-106"/>
        </w:rPr>
      </w:r>
      <w:r>
        <w:rPr>
          <w:spacing w:val="-3"/>
        </w:rPr>
        <w:t>解。此外，公司开通了官方微博、微信，及时通过互联网方式及时宣传公司的相关情况。为</w:t>
      </w:r>
    </w:p>
    <w:p>
      <w:pPr>
        <w:spacing w:after="0" w:line="350" w:lineRule="auto"/>
        <w:jc w:val="both"/>
        <w:sectPr>
          <w:footerReference w:type="default" r:id="rId16"/>
          <w:pgSz w:w="11910" w:h="16840"/>
          <w:pgMar w:footer="1007" w:header="884" w:top="1100" w:bottom="1200" w:left="1140" w:right="900"/>
          <w:pgNumType w:start="21"/>
        </w:sectPr>
      </w:pPr>
    </w:p>
    <w:p>
      <w:pPr>
        <w:spacing w:line="240" w:lineRule="auto" w:before="8"/>
        <w:rPr>
          <w:rFonts w:ascii="宋体" w:hAnsi="宋体" w:cs="宋体" w:eastAsia="宋体" w:hint="default"/>
          <w:sz w:val="25"/>
          <w:szCs w:val="25"/>
        </w:rPr>
      </w:pPr>
    </w:p>
    <w:p>
      <w:pPr>
        <w:pStyle w:val="BodyText"/>
        <w:spacing w:line="357" w:lineRule="auto" w:before="26"/>
        <w:ind w:left="137" w:right="149"/>
        <w:jc w:val="left"/>
      </w:pPr>
      <w:r>
        <w:rPr>
          <w:spacing w:val="-3"/>
        </w:rPr>
        <w:t>了避免违反这些宣传方式与上市公司对外信息披露管理的有关规章制度，公司制定了有效的</w:t>
      </w:r>
      <w:r>
        <w:rPr>
          <w:spacing w:val="-105"/>
        </w:rPr>
        <w:t> </w:t>
      </w:r>
      <w:r>
        <w:rPr>
          <w:spacing w:val="-105"/>
        </w:rPr>
      </w:r>
      <w:r>
        <w:rPr/>
        <w:t>信息披露审批制度，避免出现违规披露情况发生。</w:t>
      </w:r>
    </w:p>
    <w:p>
      <w:pPr>
        <w:spacing w:line="240" w:lineRule="auto" w:before="8"/>
        <w:rPr>
          <w:rFonts w:ascii="宋体" w:hAnsi="宋体" w:cs="宋体" w:eastAsia="宋体" w:hint="default"/>
          <w:sz w:val="26"/>
          <w:szCs w:val="26"/>
        </w:rPr>
      </w:pPr>
    </w:p>
    <w:p>
      <w:pPr>
        <w:pStyle w:val="BodyText"/>
        <w:spacing w:line="240" w:lineRule="auto"/>
        <w:ind w:left="137" w:right="0"/>
        <w:jc w:val="left"/>
      </w:pPr>
      <w:r>
        <w:rPr/>
        <w:t>公司实际经营业绩较曾公开披露过的本年度盈利预测低于或高于</w:t>
      </w:r>
      <w:r>
        <w:rPr>
          <w:spacing w:val="-61"/>
        </w:rPr>
        <w:t> </w:t>
      </w:r>
      <w:r>
        <w:rPr>
          <w:rFonts w:ascii="Times New Roman" w:hAnsi="Times New Roman" w:cs="Times New Roman" w:eastAsia="Times New Roman" w:hint="default"/>
        </w:rPr>
        <w:t>20%</w:t>
      </w:r>
      <w:r>
        <w:rPr/>
        <w:t>以上的差异原因</w:t>
      </w:r>
    </w:p>
    <w:p>
      <w:pPr>
        <w:pStyle w:val="BodyText"/>
        <w:spacing w:line="240" w:lineRule="auto" w:before="135"/>
        <w:ind w:left="137" w:right="0"/>
        <w:jc w:val="left"/>
      </w:pPr>
      <w:r>
        <w:rPr>
          <w:rFonts w:ascii="Times New Roman" w:hAnsi="Times New Roman" w:cs="Times New Roman" w:eastAsia="Times New Roman" w:hint="default"/>
        </w:rPr>
        <w:t>□  </w:t>
      </w:r>
      <w:r>
        <w:rPr/>
        <w:t>适用</w:t>
      </w:r>
      <w:r>
        <w:rPr>
          <w:spacing w:val="-2"/>
        </w:rPr>
        <w:t> </w:t>
      </w:r>
      <w:r>
        <w:rPr>
          <w:rFonts w:ascii="Times New Roman" w:hAnsi="Times New Roman" w:cs="Times New Roman" w:eastAsia="Times New Roman" w:hint="default"/>
        </w:rPr>
        <w:t>√</w:t>
      </w:r>
      <w:r>
        <w:rPr/>
        <w:t>不适用</w:t>
      </w: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_bookmark15" w:id="16"/>
      <w:bookmarkEnd w:id="16"/>
      <w:r>
        <w:rPr>
          <w:b w:val="0"/>
          <w:bCs w:val="0"/>
        </w:rPr>
      </w:r>
      <w:r>
        <w:rPr>
          <w:rFonts w:ascii="Times New Roman" w:hAnsi="Times New Roman" w:cs="Times New Roman" w:eastAsia="Times New Roman" w:hint="default"/>
        </w:rPr>
        <w:t>2</w:t>
      </w:r>
      <w:r>
        <w:rPr/>
        <w:t>、主营业务分部报告</w:t>
      </w:r>
      <w:r>
        <w:rPr>
          <w:b w:val="0"/>
          <w:bCs w:val="0"/>
        </w:rPr>
      </w:r>
    </w:p>
    <w:p>
      <w:pPr>
        <w:spacing w:line="240" w:lineRule="auto" w:before="7"/>
        <w:rPr>
          <w:rFonts w:ascii="宋体" w:hAnsi="宋体" w:cs="宋体" w:eastAsia="宋体" w:hint="default"/>
          <w:b/>
          <w:bCs/>
          <w:sz w:val="23"/>
          <w:szCs w:val="23"/>
        </w:rPr>
      </w:pPr>
    </w:p>
    <w:p>
      <w:pPr>
        <w:spacing w:before="0"/>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359"/>
        <w:gridCol w:w="1882"/>
        <w:gridCol w:w="1954"/>
        <w:gridCol w:w="1118"/>
        <w:gridCol w:w="1116"/>
        <w:gridCol w:w="1117"/>
        <w:gridCol w:w="1008"/>
      </w:tblGrid>
      <w:tr>
        <w:trPr>
          <w:trHeight w:val="946" w:hRule="exact"/>
        </w:trPr>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49"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b/>
                <w:bCs/>
                <w:sz w:val="21"/>
                <w:szCs w:val="21"/>
              </w:rPr>
              <w:t>毛利率</w:t>
            </w:r>
            <w:r>
              <w:rPr>
                <w:rFonts w:ascii="宋体" w:hAnsi="宋体" w:cs="宋体" w:eastAsia="宋体" w:hint="default"/>
                <w:sz w:val="21"/>
                <w:szCs w:val="21"/>
              </w:rPr>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24"/>
              <w:jc w:val="center"/>
              <w:rPr>
                <w:rFonts w:ascii="宋体" w:hAnsi="宋体" w:cs="宋体" w:eastAsia="宋体" w:hint="default"/>
                <w:sz w:val="21"/>
                <w:szCs w:val="21"/>
              </w:rPr>
            </w:pPr>
            <w:r>
              <w:rPr>
                <w:rFonts w:ascii="宋体" w:hAnsi="宋体" w:cs="宋体" w:eastAsia="宋体" w:hint="default"/>
                <w:b/>
                <w:bCs/>
                <w:sz w:val="21"/>
                <w:szCs w:val="21"/>
              </w:rPr>
              <w:t>营业收入比</w:t>
            </w:r>
            <w:r>
              <w:rPr>
                <w:rFonts w:ascii="宋体" w:hAnsi="宋体" w:cs="宋体" w:eastAsia="宋体" w:hint="default"/>
                <w:b/>
                <w:bCs/>
                <w:w w:val="100"/>
                <w:sz w:val="21"/>
                <w:szCs w:val="21"/>
              </w:rPr>
              <w:t> </w:t>
            </w:r>
            <w:r>
              <w:rPr>
                <w:rFonts w:ascii="宋体" w:hAnsi="宋体" w:cs="宋体" w:eastAsia="宋体" w:hint="default"/>
                <w:b/>
                <w:bCs/>
                <w:sz w:val="21"/>
                <w:szCs w:val="21"/>
              </w:rPr>
              <w:t>上年同期增</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宋体" w:hAnsi="宋体" w:cs="宋体" w:eastAsia="宋体" w:hint="default"/>
                <w:sz w:val="21"/>
                <w:szCs w:val="21"/>
              </w:rPr>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26"/>
              <w:jc w:val="center"/>
              <w:rPr>
                <w:rFonts w:ascii="宋体" w:hAnsi="宋体" w:cs="宋体" w:eastAsia="宋体" w:hint="default"/>
                <w:sz w:val="21"/>
                <w:szCs w:val="21"/>
              </w:rPr>
            </w:pPr>
            <w:r>
              <w:rPr>
                <w:rFonts w:ascii="宋体" w:hAnsi="宋体" w:cs="宋体" w:eastAsia="宋体" w:hint="default"/>
                <w:b/>
                <w:bCs/>
                <w:sz w:val="21"/>
                <w:szCs w:val="21"/>
              </w:rPr>
              <w:t>营业成本比</w:t>
            </w:r>
            <w:r>
              <w:rPr>
                <w:rFonts w:ascii="宋体" w:hAnsi="宋体" w:cs="宋体" w:eastAsia="宋体" w:hint="default"/>
                <w:b/>
                <w:bCs/>
                <w:w w:val="100"/>
                <w:sz w:val="21"/>
                <w:szCs w:val="21"/>
              </w:rPr>
              <w:t> </w:t>
            </w:r>
            <w:r>
              <w:rPr>
                <w:rFonts w:ascii="宋体" w:hAnsi="宋体" w:cs="宋体" w:eastAsia="宋体" w:hint="default"/>
                <w:b/>
                <w:bCs/>
                <w:sz w:val="21"/>
                <w:szCs w:val="21"/>
              </w:rPr>
              <w:t>上年同期增</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宋体" w:hAnsi="宋体" w:cs="宋体" w:eastAsia="宋体" w:hint="default"/>
                <w:sz w:val="21"/>
                <w:szCs w:val="21"/>
              </w:rPr>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6" w:right="74"/>
              <w:jc w:val="center"/>
              <w:rPr>
                <w:rFonts w:ascii="宋体" w:hAnsi="宋体" w:cs="宋体" w:eastAsia="宋体" w:hint="default"/>
                <w:sz w:val="21"/>
                <w:szCs w:val="21"/>
              </w:rPr>
            </w:pPr>
            <w:r>
              <w:rPr>
                <w:rFonts w:ascii="宋体" w:hAnsi="宋体" w:cs="宋体" w:eastAsia="宋体" w:hint="default"/>
                <w:b/>
                <w:bCs/>
                <w:sz w:val="21"/>
                <w:szCs w:val="21"/>
              </w:rPr>
              <w:t>毛利率比</w:t>
            </w:r>
            <w:r>
              <w:rPr>
                <w:rFonts w:ascii="宋体" w:hAnsi="宋体" w:cs="宋体" w:eastAsia="宋体" w:hint="default"/>
                <w:b/>
                <w:bCs/>
                <w:w w:val="100"/>
                <w:sz w:val="21"/>
                <w:szCs w:val="21"/>
              </w:rPr>
              <w:t> </w:t>
            </w:r>
            <w:r>
              <w:rPr>
                <w:rFonts w:ascii="宋体" w:hAnsi="宋体" w:cs="宋体" w:eastAsia="宋体" w:hint="default"/>
                <w:b/>
                <w:bCs/>
                <w:sz w:val="21"/>
                <w:szCs w:val="21"/>
              </w:rPr>
              <w:t>上年同期</w:t>
            </w:r>
            <w:r>
              <w:rPr>
                <w:rFonts w:ascii="宋体" w:hAnsi="宋体" w:cs="宋体" w:eastAsia="宋体" w:hint="default"/>
                <w:b/>
                <w:bCs/>
                <w:w w:val="100"/>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r>
      <w:tr>
        <w:trPr>
          <w:trHeight w:val="322" w:hRule="exact"/>
        </w:trPr>
        <w:tc>
          <w:tcPr>
            <w:tcW w:w="955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分行业</w:t>
            </w:r>
            <w:r>
              <w:rPr>
                <w:rFonts w:ascii="宋体" w:hAnsi="宋体" w:cs="宋体" w:eastAsia="宋体" w:hint="default"/>
                <w:sz w:val="21"/>
                <w:szCs w:val="21"/>
              </w:rPr>
            </w:r>
          </w:p>
        </w:tc>
      </w:tr>
      <w:tr>
        <w:trPr>
          <w:trHeight w:val="322"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262,411,128.67</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spacing w:val="-1"/>
                <w:sz w:val="21"/>
              </w:rPr>
              <w:t>96,706,683.12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63.15%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-10.10%</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23.36%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-10.00%</w:t>
            </w:r>
          </w:p>
        </w:tc>
      </w:tr>
      <w:tr>
        <w:trPr>
          <w:trHeight w:val="322" w:hRule="exact"/>
        </w:trPr>
        <w:tc>
          <w:tcPr>
            <w:tcW w:w="955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分产品</w:t>
            </w:r>
            <w:r>
              <w:rPr>
                <w:rFonts w:ascii="宋体" w:hAnsi="宋体" w:cs="宋体" w:eastAsia="宋体" w:hint="default"/>
                <w:sz w:val="21"/>
                <w:szCs w:val="21"/>
              </w:rPr>
            </w:r>
          </w:p>
        </w:tc>
      </w:tr>
      <w:tr>
        <w:trPr>
          <w:trHeight w:val="322"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GIS </w:t>
            </w:r>
            <w:r>
              <w:rPr>
                <w:rFonts w:ascii="宋体" w:hAnsi="宋体" w:cs="宋体" w:eastAsia="宋体" w:hint="default"/>
                <w:sz w:val="21"/>
                <w:szCs w:val="21"/>
              </w:rPr>
              <w:t>软件</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236,804,324.07</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74,750,358.15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68.43%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-14.59%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2"/>
                <w:sz w:val="21"/>
              </w:rPr>
              <w:t>11.72%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-7.43%</w:t>
            </w:r>
          </w:p>
        </w:tc>
      </w:tr>
      <w:tr>
        <w:trPr>
          <w:trHeight w:val="556"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GIS</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软件配套</w:t>
            </w:r>
          </w:p>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产品</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25,606,804.60</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21,956,324.97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z w:val="21"/>
              </w:rPr>
              <w:t>14.26%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z w:val="21"/>
              </w:rPr>
              <w:t>74.78%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18"/>
              <w:jc w:val="right"/>
              <w:rPr>
                <w:rFonts w:ascii="Times New Roman" w:hAnsi="Times New Roman" w:cs="Times New Roman" w:eastAsia="Times New Roman" w:hint="default"/>
                <w:sz w:val="21"/>
                <w:szCs w:val="21"/>
              </w:rPr>
            </w:pPr>
            <w:r>
              <w:rPr>
                <w:rFonts w:ascii="Times New Roman"/>
                <w:sz w:val="21"/>
              </w:rPr>
              <w:t>91.20%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21"/>
              <w:jc w:val="right"/>
              <w:rPr>
                <w:rFonts w:ascii="Times New Roman" w:hAnsi="Times New Roman" w:cs="Times New Roman" w:eastAsia="Times New Roman" w:hint="default"/>
                <w:sz w:val="21"/>
                <w:szCs w:val="21"/>
              </w:rPr>
            </w:pPr>
            <w:r>
              <w:rPr>
                <w:rFonts w:ascii="Times New Roman"/>
                <w:spacing w:val="-1"/>
                <w:sz w:val="21"/>
              </w:rPr>
              <w:t>-7.36%</w:t>
            </w:r>
          </w:p>
        </w:tc>
      </w:tr>
      <w:tr>
        <w:trPr>
          <w:trHeight w:val="323" w:hRule="exact"/>
        </w:trPr>
        <w:tc>
          <w:tcPr>
            <w:tcW w:w="9554"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分地区</w:t>
            </w:r>
            <w:r>
              <w:rPr>
                <w:rFonts w:ascii="宋体" w:hAnsi="宋体" w:cs="宋体" w:eastAsia="宋体" w:hint="default"/>
                <w:sz w:val="21"/>
                <w:szCs w:val="21"/>
              </w:rPr>
            </w:r>
          </w:p>
        </w:tc>
      </w:tr>
      <w:tr>
        <w:trPr>
          <w:trHeight w:val="322"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21"/>
                <w:szCs w:val="21"/>
              </w:rPr>
            </w:pPr>
            <w:r>
              <w:rPr>
                <w:rFonts w:ascii="Times New Roman"/>
                <w:spacing w:val="-1"/>
                <w:sz w:val="21"/>
              </w:rPr>
              <w:t>87,858,791.46</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16,462,515.77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81.26%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12.57%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48.24%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Calibri" w:hAnsi="Calibri" w:cs="Calibri" w:eastAsia="Calibri" w:hint="default"/>
                <w:sz w:val="22"/>
                <w:szCs w:val="22"/>
              </w:rPr>
            </w:pPr>
            <w:r>
              <w:rPr>
                <w:rFonts w:ascii="Calibri"/>
                <w:spacing w:val="-1"/>
                <w:sz w:val="22"/>
              </w:rPr>
              <w:t>-4.51%</w:t>
            </w:r>
          </w:p>
        </w:tc>
      </w:tr>
      <w:tr>
        <w:trPr>
          <w:trHeight w:val="322"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华东</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39,298,990.86</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21,869,042.78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44.35%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15.72%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92.74%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-22.24%</w:t>
            </w:r>
          </w:p>
        </w:tc>
      </w:tr>
      <w:tr>
        <w:trPr>
          <w:trHeight w:val="322"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西南</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28,038,613.48</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Times New Roman" w:hAnsi="Times New Roman" w:cs="Times New Roman" w:eastAsia="Times New Roman" w:hint="default"/>
                <w:sz w:val="21"/>
                <w:szCs w:val="21"/>
              </w:rPr>
            </w:pPr>
            <w:r>
              <w:rPr>
                <w:rFonts w:ascii="Times New Roman"/>
                <w:w w:val="100"/>
                <w:sz w:val="21"/>
              </w:rPr>
              <w:t>-</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907.13%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华北</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24,877,246.59</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17,311,137.78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30.41%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-38.15%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38.01%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-38.40%</w:t>
            </w:r>
          </w:p>
        </w:tc>
      </w:tr>
      <w:tr>
        <w:trPr>
          <w:trHeight w:val="322"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华南</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20,230,628.64</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10,441,421.11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48.39%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-52.24%</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153.81%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-41.90%</w:t>
            </w:r>
          </w:p>
        </w:tc>
      </w:tr>
      <w:tr>
        <w:trPr>
          <w:trHeight w:val="324"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国际</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19,672,822.91</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7.710,972.38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60.80%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pacing w:val="-1"/>
                <w:sz w:val="21"/>
              </w:rPr>
              <w:t>-2.76%</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pacing w:val="-1"/>
                <w:sz w:val="21"/>
              </w:rPr>
              <w:t>-36.10%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Times New Roman" w:hAnsi="Times New Roman" w:cs="Times New Roman" w:eastAsia="Times New Roman" w:hint="default"/>
                <w:sz w:val="21"/>
                <w:szCs w:val="21"/>
              </w:rPr>
            </w:pPr>
            <w:r>
              <w:rPr>
                <w:rFonts w:ascii="Times New Roman"/>
                <w:sz w:val="21"/>
              </w:rPr>
              <w:t>20.45%</w:t>
            </w:r>
          </w:p>
        </w:tc>
      </w:tr>
      <w:tr>
        <w:trPr>
          <w:trHeight w:val="322"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西北</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
              <w:jc w:val="right"/>
              <w:rPr>
                <w:rFonts w:ascii="Times New Roman" w:hAnsi="Times New Roman" w:cs="Times New Roman" w:eastAsia="Times New Roman" w:hint="default"/>
                <w:sz w:val="21"/>
                <w:szCs w:val="21"/>
              </w:rPr>
            </w:pPr>
            <w:r>
              <w:rPr>
                <w:rFonts w:ascii="Times New Roman"/>
                <w:spacing w:val="-1"/>
                <w:sz w:val="21"/>
              </w:rPr>
              <w:t>17,770,097.82</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9"/>
              <w:jc w:val="right"/>
              <w:rPr>
                <w:rFonts w:ascii="Times New Roman" w:hAnsi="Times New Roman" w:cs="Times New Roman" w:eastAsia="Times New Roman" w:hint="default"/>
                <w:sz w:val="21"/>
                <w:szCs w:val="21"/>
              </w:rPr>
            </w:pPr>
            <w:r>
              <w:rPr>
                <w:rFonts w:ascii="Times New Roman"/>
                <w:spacing w:val="-1"/>
                <w:sz w:val="21"/>
              </w:rPr>
              <w:t>11,740,838.73</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33.93%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-66.47%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-44.32%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-26.28%</w:t>
            </w:r>
          </w:p>
        </w:tc>
      </w:tr>
      <w:tr>
        <w:trPr>
          <w:trHeight w:val="322"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华中</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13,311,154.36</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4,902,037.42</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63.17%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27.97%</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27.58%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pacing w:val="-2"/>
                <w:sz w:val="21"/>
              </w:rPr>
              <w:t>0.11%</w:t>
            </w:r>
          </w:p>
        </w:tc>
      </w:tr>
      <w:tr>
        <w:trPr>
          <w:trHeight w:val="322"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东北</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Times New Roman" w:hAnsi="Times New Roman" w:cs="Times New Roman" w:eastAsia="Times New Roman" w:hint="default"/>
                <w:sz w:val="21"/>
                <w:szCs w:val="21"/>
              </w:rPr>
            </w:pPr>
            <w:r>
              <w:rPr>
                <w:rFonts w:ascii="Times New Roman"/>
                <w:spacing w:val="-1"/>
                <w:sz w:val="21"/>
              </w:rPr>
              <w:t>11,352,782.55</w:t>
            </w:r>
          </w:p>
        </w:tc>
        <w:tc>
          <w:tcPr>
            <w:tcW w:w="1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9"/>
              <w:jc w:val="right"/>
              <w:rPr>
                <w:rFonts w:ascii="Times New Roman" w:hAnsi="Times New Roman" w:cs="Times New Roman" w:eastAsia="Times New Roman" w:hint="default"/>
                <w:sz w:val="21"/>
                <w:szCs w:val="21"/>
              </w:rPr>
            </w:pPr>
            <w:r>
              <w:rPr>
                <w:rFonts w:ascii="Times New Roman"/>
                <w:spacing w:val="-1"/>
                <w:sz w:val="21"/>
              </w:rPr>
              <w:t>6,268,717.15</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44.78%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4.21%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173.90%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-34.21%</w:t>
            </w:r>
          </w:p>
        </w:tc>
      </w:tr>
    </w:tbl>
    <w:p>
      <w:pPr>
        <w:pStyle w:val="BodyText"/>
        <w:spacing w:line="338" w:lineRule="auto" w:before="39"/>
        <w:ind w:left="137" w:right="135" w:firstLine="480"/>
        <w:jc w:val="left"/>
      </w:pPr>
      <w:r>
        <w:rPr/>
        <w:t>报告期内，</w:t>
      </w:r>
      <w:r>
        <w:rPr>
          <w:spacing w:val="-72"/>
        </w:rPr>
        <w:t> </w:t>
      </w:r>
      <w:r>
        <w:rPr/>
        <w:t>公司</w:t>
      </w:r>
      <w:r>
        <w:rPr>
          <w:spacing w:val="-7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7"/>
        </w:rPr>
        <w:t> </w:t>
      </w:r>
      <w:r>
        <w:rPr/>
        <w:t>年受宏观经济环境及市场竞争的影响，营业收入较上年同期有所 下降。公司</w:t>
      </w:r>
      <w:r>
        <w:rPr>
          <w:spacing w:val="-62"/>
        </w:rPr>
        <w:t> </w:t>
      </w:r>
      <w:r>
        <w:rPr>
          <w:rFonts w:ascii="Times New Roman" w:hAnsi="Times New Roman" w:cs="Times New Roman" w:eastAsia="Times New Roman" w:hint="default"/>
        </w:rPr>
        <w:t>GIS </w:t>
      </w:r>
      <w:r>
        <w:rPr/>
        <w:t>工程应用服务收入比重上升、采购成本上升等原因导致毛利率与去年同比 下降</w:t>
      </w:r>
      <w:r>
        <w:rPr>
          <w:spacing w:val="-62"/>
        </w:rPr>
        <w:t> </w:t>
      </w:r>
      <w:r>
        <w:rPr>
          <w:rFonts w:ascii="Times New Roman" w:hAnsi="Times New Roman" w:cs="Times New Roman" w:eastAsia="Times New Roman" w:hint="default"/>
        </w:rPr>
        <w:t>10.10%</w:t>
      </w:r>
      <w:r>
        <w:rPr/>
        <w:t>。</w:t>
      </w:r>
    </w:p>
    <w:p>
      <w:pPr>
        <w:pStyle w:val="BodyText"/>
        <w:spacing w:line="240" w:lineRule="auto" w:before="27"/>
        <w:ind w:left="617" w:right="0"/>
        <w:jc w:val="left"/>
        <w:rPr>
          <w:rFonts w:ascii="Times New Roman" w:hAnsi="Times New Roman" w:cs="Times New Roman" w:eastAsia="Times New Roman" w:hint="default"/>
        </w:rPr>
      </w:pPr>
      <w:r>
        <w:rPr>
          <w:rFonts w:ascii="Times New Roman" w:hAnsi="Times New Roman" w:cs="Times New Roman" w:eastAsia="Times New Roman" w:hint="default"/>
        </w:rPr>
        <w:t>GIS </w:t>
      </w:r>
      <w:r>
        <w:rPr/>
        <w:t>配套产品报告期内收入和成本都出现大幅变动，其中成本变动幅度更大，导致</w:t>
      </w:r>
      <w:r>
        <w:rPr>
          <w:spacing w:val="-107"/>
        </w:rPr>
        <w:t> </w:t>
      </w:r>
      <w:r>
        <w:rPr>
          <w:rFonts w:ascii="Times New Roman" w:hAnsi="Times New Roman" w:cs="Times New Roman" w:eastAsia="Times New Roman" w:hint="default"/>
        </w:rPr>
        <w:t>GIS</w:t>
      </w:r>
    </w:p>
    <w:p>
      <w:pPr>
        <w:pStyle w:val="BodyText"/>
        <w:spacing w:line="338" w:lineRule="auto" w:before="135"/>
        <w:ind w:left="617" w:right="143" w:hanging="480"/>
        <w:jc w:val="left"/>
      </w:pPr>
      <w:r>
        <w:rPr/>
        <w:t>配套产品的毛利率下降</w:t>
      </w:r>
      <w:r>
        <w:rPr>
          <w:spacing w:val="-62"/>
        </w:rPr>
        <w:t> </w:t>
      </w:r>
      <w:r>
        <w:rPr>
          <w:rFonts w:ascii="Times New Roman" w:hAnsi="Times New Roman" w:cs="Times New Roman" w:eastAsia="Times New Roman" w:hint="default"/>
        </w:rPr>
        <w:t>7.36%</w:t>
      </w:r>
      <w:r>
        <w:rPr/>
        <w:t>。主要原因系部分与</w:t>
      </w:r>
      <w:r>
        <w:rPr>
          <w:spacing w:val="-61"/>
        </w:rPr>
        <w:t> </w:t>
      </w:r>
      <w:r>
        <w:rPr>
          <w:rFonts w:ascii="Times New Roman" w:hAnsi="Times New Roman" w:cs="Times New Roman" w:eastAsia="Times New Roman" w:hint="default"/>
        </w:rPr>
        <w:t>GIS </w:t>
      </w:r>
      <w:r>
        <w:rPr/>
        <w:t>配套的代理产品进货成本提高。 </w:t>
      </w:r>
      <w:r>
        <w:rPr>
          <w:spacing w:val="-3"/>
        </w:rPr>
        <w:t>报告期内，除西南地区和华中地区销售收入有较为明显的增长，其他区域的销售收入出</w:t>
      </w:r>
    </w:p>
    <w:p>
      <w:pPr>
        <w:pStyle w:val="BodyText"/>
        <w:spacing w:line="357" w:lineRule="auto" w:before="55"/>
        <w:ind w:left="137" w:right="146"/>
        <w:jc w:val="both"/>
      </w:pPr>
      <w:r>
        <w:rPr>
          <w:spacing w:val="-3"/>
        </w:rPr>
        <w:t>现一定程度的负增长或缓慢增长。主要原因为报告期内，市场不景气，竞争加剧造成收入无</w:t>
      </w:r>
      <w:r>
        <w:rPr>
          <w:spacing w:val="-101"/>
        </w:rPr>
        <w:t> </w:t>
      </w:r>
      <w:r>
        <w:rPr>
          <w:spacing w:val="-101"/>
        </w:rPr>
      </w:r>
      <w:r>
        <w:rPr>
          <w:spacing w:val="-3"/>
        </w:rPr>
        <w:t>明显增长。西南地区有较大幅度增长的原因系西南地区在应急领域投入信息经费，公司获得</w:t>
      </w:r>
      <w:r>
        <w:rPr>
          <w:spacing w:val="-106"/>
        </w:rPr>
        <w:t> </w:t>
      </w:r>
      <w:r>
        <w:rPr>
          <w:spacing w:val="-106"/>
        </w:rPr>
      </w:r>
      <w:r>
        <w:rPr/>
        <w:t>部分应急项目。</w:t>
      </w:r>
    </w:p>
    <w:p>
      <w:pPr>
        <w:spacing w:after="0" w:line="357" w:lineRule="auto"/>
        <w:jc w:val="both"/>
        <w:sectPr>
          <w:pgSz w:w="11910" w:h="16840"/>
          <w:pgMar w:header="884" w:footer="1007" w:top="1100" w:bottom="1200" w:left="1140" w:right="980"/>
        </w:sectPr>
      </w:pPr>
    </w:p>
    <w:p>
      <w:pPr>
        <w:spacing w:line="240" w:lineRule="auto" w:before="8"/>
        <w:rPr>
          <w:rFonts w:ascii="宋体" w:hAnsi="宋体" w:cs="宋体" w:eastAsia="宋体" w:hint="default"/>
          <w:sz w:val="25"/>
          <w:szCs w:val="25"/>
        </w:rPr>
      </w:pPr>
    </w:p>
    <w:p>
      <w:pPr>
        <w:pStyle w:val="BodyText"/>
        <w:spacing w:line="338" w:lineRule="auto" w:before="26"/>
        <w:ind w:left="217" w:right="215"/>
        <w:jc w:val="left"/>
      </w:pPr>
      <w:r>
        <w:rPr>
          <w:spacing w:val="-4"/>
        </w:rPr>
        <w:t>公司主营业务数据统计口径在报告期发生调整的情况下，公司最近</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年按报告期末口径调整 后的主营业务数据</w:t>
      </w:r>
    </w:p>
    <w:p>
      <w:pPr>
        <w:pStyle w:val="BodyText"/>
        <w:spacing w:line="240" w:lineRule="auto" w:before="55"/>
        <w:ind w:left="217"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6"/>
        <w:rPr>
          <w:rFonts w:ascii="宋体" w:hAnsi="宋体" w:cs="宋体" w:eastAsia="宋体" w:hint="default"/>
          <w:sz w:val="27"/>
          <w:szCs w:val="27"/>
        </w:rPr>
      </w:pPr>
    </w:p>
    <w:p>
      <w:pPr>
        <w:pStyle w:val="Heading4"/>
        <w:spacing w:line="240" w:lineRule="auto"/>
        <w:ind w:left="217" w:right="0"/>
        <w:jc w:val="left"/>
        <w:rPr>
          <w:b w:val="0"/>
          <w:bCs w:val="0"/>
        </w:rPr>
      </w:pPr>
      <w:bookmarkStart w:name="_bookmark16" w:id="17"/>
      <w:bookmarkEnd w:id="17"/>
      <w:r>
        <w:rPr>
          <w:b w:val="0"/>
          <w:bCs w:val="0"/>
        </w:rPr>
      </w:r>
      <w:r>
        <w:rPr>
          <w:rFonts w:ascii="Times New Roman" w:hAnsi="Times New Roman" w:cs="Times New Roman" w:eastAsia="Times New Roman" w:hint="default"/>
        </w:rPr>
        <w:t>3</w:t>
      </w:r>
      <w:r>
        <w:rPr/>
        <w:t>、资产、负债状况分析</w:t>
      </w:r>
      <w:r>
        <w:rPr>
          <w:b w:val="0"/>
          <w:bCs w:val="0"/>
        </w:rPr>
      </w:r>
    </w:p>
    <w:p>
      <w:pPr>
        <w:spacing w:line="240" w:lineRule="auto" w:before="7"/>
        <w:rPr>
          <w:rFonts w:ascii="宋体" w:hAnsi="宋体" w:cs="宋体" w:eastAsia="宋体" w:hint="default"/>
          <w:b/>
          <w:bCs/>
          <w:sz w:val="21"/>
          <w:szCs w:val="21"/>
        </w:rPr>
      </w:pPr>
    </w:p>
    <w:p>
      <w:pPr>
        <w:spacing w:before="0"/>
        <w:ind w:left="217"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）资产项目重大变动情况</w:t>
      </w:r>
      <w:r>
        <w:rPr>
          <w:rFonts w:ascii="宋体" w:hAnsi="宋体" w:cs="宋体" w:eastAsia="宋体" w:hint="default"/>
          <w:sz w:val="24"/>
          <w:szCs w:val="24"/>
        </w:rPr>
      </w:r>
    </w:p>
    <w:p>
      <w:pPr>
        <w:spacing w:line="240" w:lineRule="auto" w:before="4"/>
        <w:rPr>
          <w:rFonts w:ascii="宋体" w:hAnsi="宋体" w:cs="宋体" w:eastAsia="宋体" w:hint="default"/>
          <w:b/>
          <w:bCs/>
          <w:sz w:val="23"/>
          <w:szCs w:val="23"/>
        </w:rPr>
      </w:pPr>
    </w:p>
    <w:p>
      <w:pPr>
        <w:spacing w:before="0"/>
        <w:ind w:left="0" w:right="22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097"/>
        <w:gridCol w:w="1418"/>
        <w:gridCol w:w="994"/>
        <w:gridCol w:w="1418"/>
        <w:gridCol w:w="994"/>
        <w:gridCol w:w="850"/>
        <w:gridCol w:w="994"/>
        <w:gridCol w:w="1949"/>
      </w:tblGrid>
      <w:tr>
        <w:trPr>
          <w:trHeight w:val="322" w:hRule="exact"/>
        </w:trPr>
        <w:tc>
          <w:tcPr>
            <w:tcW w:w="109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3"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3"/>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3"/>
                <w:sz w:val="18"/>
                <w:szCs w:val="18"/>
              </w:rPr>
              <w:t> </w:t>
            </w:r>
            <w:r>
              <w:rPr>
                <w:rFonts w:ascii="宋体" w:hAnsi="宋体" w:cs="宋体" w:eastAsia="宋体" w:hint="default"/>
                <w:b/>
                <w:bCs/>
                <w:sz w:val="18"/>
                <w:szCs w:val="18"/>
              </w:rPr>
              <w:t>年末</w:t>
            </w:r>
            <w:r>
              <w:rPr>
                <w:rFonts w:ascii="宋体" w:hAnsi="宋体" w:cs="宋体" w:eastAsia="宋体" w:hint="default"/>
                <w:sz w:val="18"/>
                <w:szCs w:val="18"/>
              </w:rPr>
            </w:r>
          </w:p>
        </w:tc>
        <w:tc>
          <w:tcPr>
            <w:tcW w:w="241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85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28" w:right="149" w:hanging="183"/>
              <w:jc w:val="left"/>
              <w:rPr>
                <w:rFonts w:ascii="宋体" w:hAnsi="宋体" w:cs="宋体" w:eastAsia="宋体" w:hint="default"/>
                <w:sz w:val="18"/>
                <w:szCs w:val="18"/>
              </w:rPr>
            </w:pPr>
            <w:r>
              <w:rPr>
                <w:rFonts w:ascii="宋体" w:hAnsi="宋体" w:cs="宋体" w:eastAsia="宋体" w:hint="default"/>
                <w:b/>
                <w:bCs/>
                <w:sz w:val="18"/>
                <w:szCs w:val="18"/>
              </w:rPr>
              <w:t>比重增</w:t>
            </w:r>
            <w:r>
              <w:rPr>
                <w:rFonts w:ascii="宋体" w:hAnsi="宋体" w:cs="宋体" w:eastAsia="宋体" w:hint="default"/>
                <w:b/>
                <w:bCs/>
                <w:w w:val="99"/>
                <w:sz w:val="18"/>
                <w:szCs w:val="18"/>
              </w:rPr>
              <w:t> </w:t>
            </w:r>
            <w:r>
              <w:rPr>
                <w:rFonts w:ascii="宋体" w:hAnsi="宋体" w:cs="宋体" w:eastAsia="宋体" w:hint="default"/>
                <w:b/>
                <w:bCs/>
                <w:sz w:val="18"/>
                <w:szCs w:val="18"/>
              </w:rPr>
              <w:t>减</w:t>
            </w:r>
            <w:r>
              <w:rPr>
                <w:rFonts w:ascii="宋体" w:hAnsi="宋体" w:cs="宋体" w:eastAsia="宋体" w:hint="default"/>
                <w:sz w:val="18"/>
                <w:szCs w:val="18"/>
              </w:rPr>
            </w:r>
          </w:p>
        </w:tc>
        <w:tc>
          <w:tcPr>
            <w:tcW w:w="994"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c>
          <w:tcPr>
            <w:tcW w:w="1949"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b/>
                <w:bCs/>
                <w:sz w:val="18"/>
                <w:szCs w:val="18"/>
              </w:rPr>
              <w:t>重大变动说明</w:t>
            </w:r>
            <w:r>
              <w:rPr>
                <w:rFonts w:ascii="宋体" w:hAnsi="宋体" w:cs="宋体" w:eastAsia="宋体" w:hint="default"/>
                <w:sz w:val="18"/>
                <w:szCs w:val="18"/>
              </w:rPr>
            </w:r>
          </w:p>
        </w:tc>
      </w:tr>
      <w:tr>
        <w:trPr>
          <w:trHeight w:val="634" w:hRule="exact"/>
        </w:trPr>
        <w:tc>
          <w:tcPr>
            <w:tcW w:w="1097" w:type="dxa"/>
            <w:vMerge/>
            <w:tcBorders>
              <w:left w:val="single" w:sz="4" w:space="0" w:color="000000"/>
              <w:bottom w:val="single" w:sz="4" w:space="0" w:color="000000"/>
              <w:right w:val="single" w:sz="4" w:space="0" w:color="000000"/>
            </w:tcBorders>
            <w:shd w:val="clear" w:color="auto" w:fill="D9D9D9"/>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310" w:right="130" w:hanging="180"/>
              <w:jc w:val="left"/>
              <w:rPr>
                <w:rFonts w:ascii="宋体" w:hAnsi="宋体" w:cs="宋体" w:eastAsia="宋体" w:hint="default"/>
                <w:sz w:val="18"/>
                <w:szCs w:val="18"/>
              </w:rPr>
            </w:pPr>
            <w:r>
              <w:rPr>
                <w:rFonts w:ascii="宋体" w:hAnsi="宋体" w:cs="宋体" w:eastAsia="宋体" w:hint="default"/>
                <w:b/>
                <w:bCs/>
                <w:sz w:val="18"/>
                <w:szCs w:val="18"/>
              </w:rPr>
              <w:t>占总资产</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309" w:right="130" w:hanging="181"/>
              <w:jc w:val="left"/>
              <w:rPr>
                <w:rFonts w:ascii="宋体" w:hAnsi="宋体" w:cs="宋体" w:eastAsia="宋体" w:hint="default"/>
                <w:sz w:val="18"/>
                <w:szCs w:val="18"/>
              </w:rPr>
            </w:pPr>
            <w:r>
              <w:rPr>
                <w:rFonts w:ascii="宋体" w:hAnsi="宋体" w:cs="宋体" w:eastAsia="宋体" w:hint="default"/>
                <w:b/>
                <w:bCs/>
                <w:sz w:val="18"/>
                <w:szCs w:val="18"/>
              </w:rPr>
              <w:t>占总资产</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850" w:type="dxa"/>
            <w:vMerge/>
            <w:tcBorders>
              <w:left w:val="single" w:sz="4" w:space="0" w:color="000000"/>
              <w:bottom w:val="single" w:sz="4" w:space="0" w:color="000000"/>
              <w:right w:val="single" w:sz="4" w:space="0" w:color="000000"/>
            </w:tcBorders>
            <w:shd w:val="clear" w:color="auto" w:fill="D9D9D9"/>
          </w:tcPr>
          <w:p>
            <w:pPr/>
          </w:p>
        </w:tc>
        <w:tc>
          <w:tcPr>
            <w:tcW w:w="994" w:type="dxa"/>
            <w:vMerge/>
            <w:tcBorders>
              <w:left w:val="single" w:sz="4" w:space="0" w:color="000000"/>
              <w:bottom w:val="single" w:sz="4" w:space="0" w:color="000000"/>
              <w:right w:val="single" w:sz="4" w:space="0" w:color="000000"/>
            </w:tcBorders>
            <w:shd w:val="clear" w:color="auto" w:fill="D9D9D9"/>
          </w:tcPr>
          <w:p>
            <w:pPr/>
          </w:p>
        </w:tc>
        <w:tc>
          <w:tcPr>
            <w:tcW w:w="1949" w:type="dxa"/>
            <w:vMerge/>
            <w:tcBorders>
              <w:left w:val="single" w:sz="4" w:space="0" w:color="000000"/>
              <w:bottom w:val="single" w:sz="4" w:space="0" w:color="000000"/>
              <w:right w:val="single" w:sz="4" w:space="0" w:color="000000"/>
            </w:tcBorders>
            <w:shd w:val="clear" w:color="auto" w:fill="D9D9D9"/>
          </w:tcPr>
          <w:p>
            <w:pPr/>
          </w:p>
        </w:tc>
      </w:tr>
      <w:tr>
        <w:trPr>
          <w:trHeight w:val="686"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235,371,119.09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31.32%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378,824,821.80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z w:val="18"/>
              </w:rPr>
              <w:t>52.27%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-20.95%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sz w:val="18"/>
              </w:rPr>
              <w:t>-37.87%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4"/>
              <w:ind w:left="103" w:right="215"/>
              <w:jc w:val="left"/>
              <w:rPr>
                <w:rFonts w:ascii="宋体" w:hAnsi="宋体" w:cs="宋体" w:eastAsia="宋体" w:hint="default"/>
                <w:sz w:val="18"/>
                <w:szCs w:val="18"/>
              </w:rPr>
            </w:pPr>
            <w:r>
              <w:rPr>
                <w:rFonts w:ascii="宋体" w:hAnsi="宋体" w:cs="宋体" w:eastAsia="宋体" w:hint="default"/>
                <w:sz w:val="18"/>
                <w:szCs w:val="18"/>
              </w:rPr>
              <w:t>主要系购买研发及办 公房产支付房款所致</w:t>
            </w:r>
          </w:p>
        </w:tc>
      </w:tr>
      <w:tr>
        <w:trPr>
          <w:trHeight w:val="684"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137,400.00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0"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56"/>
              <w:jc w:val="right"/>
              <w:rPr>
                <w:rFonts w:ascii="Times New Roman" w:hAnsi="Times New Roman" w:cs="Times New Roman" w:eastAsia="Times New Roman" w:hint="default"/>
                <w:sz w:val="18"/>
                <w:szCs w:val="18"/>
              </w:rPr>
            </w:pPr>
            <w:r>
              <w:rPr>
                <w:rFonts w:ascii="Times New Roman"/>
                <w:spacing w:val="-1"/>
                <w:sz w:val="18"/>
              </w:rPr>
              <w:t>0.02%-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4"/>
              <w:ind w:left="103" w:right="215"/>
              <w:jc w:val="left"/>
              <w:rPr>
                <w:rFonts w:ascii="宋体" w:hAnsi="宋体" w:cs="宋体" w:eastAsia="宋体" w:hint="default"/>
                <w:sz w:val="18"/>
                <w:szCs w:val="18"/>
              </w:rPr>
            </w:pPr>
            <w:r>
              <w:rPr>
                <w:rFonts w:ascii="宋体" w:hAnsi="宋体" w:cs="宋体" w:eastAsia="宋体" w:hint="default"/>
                <w:sz w:val="18"/>
                <w:szCs w:val="18"/>
              </w:rPr>
              <w:t>系部分客户改变付款 方式所致</w:t>
            </w:r>
          </w:p>
        </w:tc>
      </w:tr>
      <w:tr>
        <w:trPr>
          <w:trHeight w:val="322"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120,991,082.01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16.10%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131,159,064.30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1"/>
              <w:jc w:val="right"/>
              <w:rPr>
                <w:rFonts w:ascii="Times New Roman" w:hAnsi="Times New Roman" w:cs="Times New Roman" w:eastAsia="Times New Roman" w:hint="default"/>
                <w:sz w:val="18"/>
                <w:szCs w:val="18"/>
              </w:rPr>
            </w:pPr>
            <w:r>
              <w:rPr>
                <w:rFonts w:ascii="Times New Roman"/>
                <w:sz w:val="18"/>
              </w:rPr>
              <w:t>18.10%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55"/>
              <w:jc w:val="right"/>
              <w:rPr>
                <w:rFonts w:ascii="Times New Roman" w:hAnsi="Times New Roman" w:cs="Times New Roman" w:eastAsia="Times New Roman" w:hint="default"/>
                <w:sz w:val="18"/>
                <w:szCs w:val="18"/>
              </w:rPr>
            </w:pPr>
            <w:r>
              <w:rPr>
                <w:rFonts w:ascii="Times New Roman"/>
                <w:sz w:val="18"/>
              </w:rPr>
              <w:t>-2.00%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28"/>
              <w:jc w:val="right"/>
              <w:rPr>
                <w:rFonts w:ascii="Times New Roman" w:hAnsi="Times New Roman" w:cs="Times New Roman" w:eastAsia="Times New Roman" w:hint="default"/>
                <w:sz w:val="18"/>
                <w:szCs w:val="18"/>
              </w:rPr>
            </w:pPr>
            <w:r>
              <w:rPr>
                <w:rFonts w:ascii="Times New Roman"/>
                <w:sz w:val="18"/>
              </w:rPr>
              <w:t>-7.75%</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1136"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33,228,431.74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55,523,569.92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56"/>
              <w:jc w:val="right"/>
              <w:rPr>
                <w:rFonts w:ascii="Times New Roman" w:hAnsi="Times New Roman" w:cs="Times New Roman" w:eastAsia="Times New Roman" w:hint="default"/>
                <w:sz w:val="18"/>
                <w:szCs w:val="18"/>
              </w:rPr>
            </w:pPr>
            <w:r>
              <w:rPr>
                <w:rFonts w:ascii="Times New Roman"/>
                <w:sz w:val="18"/>
              </w:rPr>
              <w:t>7.66%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55"/>
              <w:jc w:val="right"/>
              <w:rPr>
                <w:rFonts w:ascii="Times New Roman" w:hAnsi="Times New Roman" w:cs="Times New Roman" w:eastAsia="Times New Roman" w:hint="default"/>
                <w:sz w:val="18"/>
                <w:szCs w:val="18"/>
              </w:rPr>
            </w:pPr>
            <w:r>
              <w:rPr>
                <w:rFonts w:ascii="Times New Roman"/>
                <w:sz w:val="18"/>
              </w:rPr>
              <w:t>-3.24%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sz w:val="18"/>
              </w:rPr>
              <w:t>-40.15%</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4"/>
              <w:ind w:left="103" w:right="215"/>
              <w:jc w:val="both"/>
              <w:rPr>
                <w:rFonts w:ascii="宋体" w:hAnsi="宋体" w:cs="宋体" w:eastAsia="宋体" w:hint="default"/>
                <w:sz w:val="18"/>
                <w:szCs w:val="18"/>
              </w:rPr>
            </w:pPr>
            <w:r>
              <w:rPr>
                <w:rFonts w:ascii="宋体" w:hAnsi="宋体" w:cs="宋体" w:eastAsia="宋体" w:hint="default"/>
                <w:sz w:val="18"/>
                <w:szCs w:val="18"/>
              </w:rPr>
              <w:t>主要系根据项目的完 工进度前期预付外包 费结转成本所致</w:t>
            </w:r>
          </w:p>
        </w:tc>
      </w:tr>
      <w:tr>
        <w:trPr>
          <w:trHeight w:val="686"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5,387,412.10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56"/>
              <w:jc w:val="right"/>
              <w:rPr>
                <w:rFonts w:ascii="Times New Roman" w:hAnsi="Times New Roman" w:cs="Times New Roman" w:eastAsia="Times New Roman" w:hint="default"/>
                <w:sz w:val="18"/>
                <w:szCs w:val="18"/>
              </w:rPr>
            </w:pPr>
            <w:r>
              <w:rPr>
                <w:rFonts w:ascii="Times New Roman"/>
                <w:sz w:val="18"/>
              </w:rPr>
              <w:t>0.74%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60"/>
              <w:jc w:val="right"/>
              <w:rPr>
                <w:rFonts w:ascii="Times New Roman" w:hAnsi="Times New Roman" w:cs="Times New Roman" w:eastAsia="Times New Roman" w:hint="default"/>
                <w:sz w:val="18"/>
                <w:szCs w:val="18"/>
              </w:rPr>
            </w:pPr>
            <w:r>
              <w:rPr>
                <w:rFonts w:ascii="Times New Roman"/>
                <w:sz w:val="18"/>
              </w:rPr>
              <w:t>-100%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4"/>
              <w:ind w:left="103" w:right="215"/>
              <w:jc w:val="left"/>
              <w:rPr>
                <w:rFonts w:ascii="宋体" w:hAnsi="宋体" w:cs="宋体" w:eastAsia="宋体" w:hint="default"/>
                <w:sz w:val="18"/>
                <w:szCs w:val="18"/>
              </w:rPr>
            </w:pPr>
            <w:r>
              <w:rPr>
                <w:rFonts w:ascii="宋体" w:hAnsi="宋体" w:cs="宋体" w:eastAsia="宋体" w:hint="default"/>
                <w:sz w:val="18"/>
                <w:szCs w:val="18"/>
              </w:rPr>
              <w:t>系计提利息本期收回 所致</w:t>
            </w:r>
          </w:p>
        </w:tc>
      </w:tr>
      <w:tr>
        <w:trPr>
          <w:trHeight w:val="634"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03" w:right="50"/>
              <w:jc w:val="left"/>
              <w:rPr>
                <w:rFonts w:ascii="宋体" w:hAnsi="宋体" w:cs="宋体" w:eastAsia="宋体" w:hint="default"/>
                <w:sz w:val="18"/>
                <w:szCs w:val="18"/>
              </w:rPr>
            </w:pPr>
            <w:r>
              <w:rPr>
                <w:rFonts w:ascii="宋体" w:hAnsi="宋体" w:cs="宋体" w:eastAsia="宋体" w:hint="default"/>
                <w:spacing w:val="39"/>
                <w:sz w:val="18"/>
                <w:szCs w:val="18"/>
              </w:rPr>
              <w:t>其他应收</w:t>
            </w:r>
            <w:r>
              <w:rPr>
                <w:rFonts w:ascii="宋体" w:hAnsi="宋体" w:cs="宋体" w:eastAsia="宋体" w:hint="default"/>
                <w:spacing w:val="-38"/>
                <w:sz w:val="18"/>
                <w:szCs w:val="18"/>
              </w:rPr>
              <w:t> </w:t>
            </w:r>
            <w:r>
              <w:rPr>
                <w:rFonts w:ascii="宋体" w:hAnsi="宋体" w:cs="宋体" w:eastAsia="宋体" w:hint="default"/>
                <w:sz w:val="18"/>
                <w:szCs w:val="18"/>
              </w:rPr>
              <w:t>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13,682,077.14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12,226,506.55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56"/>
              <w:jc w:val="right"/>
              <w:rPr>
                <w:rFonts w:ascii="Times New Roman" w:hAnsi="Times New Roman" w:cs="Times New Roman" w:eastAsia="Times New Roman" w:hint="default"/>
                <w:sz w:val="18"/>
                <w:szCs w:val="18"/>
              </w:rPr>
            </w:pPr>
            <w:r>
              <w:rPr>
                <w:rFonts w:ascii="Times New Roman"/>
                <w:sz w:val="18"/>
              </w:rPr>
              <w:t>1.69%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z w:val="18"/>
              </w:rPr>
              <w:t>0.13%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z w:val="18"/>
              </w:rPr>
              <w:t>11.91%</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1361"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3,745,250.75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4,961,897.12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256"/>
              <w:jc w:val="right"/>
              <w:rPr>
                <w:rFonts w:ascii="Times New Roman" w:hAnsi="Times New Roman" w:cs="Times New Roman" w:eastAsia="Times New Roman" w:hint="default"/>
                <w:sz w:val="18"/>
                <w:szCs w:val="18"/>
              </w:rPr>
            </w:pPr>
            <w:r>
              <w:rPr>
                <w:rFonts w:ascii="Times New Roman"/>
                <w:sz w:val="18"/>
              </w:rPr>
              <w:t>0.68%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55"/>
              <w:jc w:val="right"/>
              <w:rPr>
                <w:rFonts w:ascii="Times New Roman" w:hAnsi="Times New Roman" w:cs="Times New Roman" w:eastAsia="Times New Roman" w:hint="default"/>
                <w:sz w:val="18"/>
                <w:szCs w:val="18"/>
              </w:rPr>
            </w:pPr>
            <w:r>
              <w:rPr>
                <w:rFonts w:ascii="Times New Roman"/>
                <w:sz w:val="18"/>
              </w:rPr>
              <w:t>-0.18%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79"/>
              <w:jc w:val="right"/>
              <w:rPr>
                <w:rFonts w:ascii="Times New Roman" w:hAnsi="Times New Roman" w:cs="Times New Roman" w:eastAsia="Times New Roman" w:hint="default"/>
                <w:sz w:val="18"/>
                <w:szCs w:val="18"/>
              </w:rPr>
            </w:pPr>
            <w:r>
              <w:rPr>
                <w:rFonts w:ascii="Times New Roman"/>
                <w:sz w:val="18"/>
              </w:rPr>
              <w:t>-24.52%</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3" w:right="215"/>
              <w:jc w:val="both"/>
              <w:rPr>
                <w:rFonts w:ascii="宋体" w:hAnsi="宋体" w:cs="宋体" w:eastAsia="宋体" w:hint="default"/>
                <w:sz w:val="18"/>
                <w:szCs w:val="18"/>
              </w:rPr>
            </w:pPr>
            <w:r>
              <w:rPr>
                <w:rFonts w:ascii="宋体" w:hAnsi="宋体" w:cs="宋体" w:eastAsia="宋体" w:hint="default"/>
                <w:sz w:val="18"/>
                <w:szCs w:val="18"/>
              </w:rPr>
              <w:t>系本期按照可变现净 值与帐面价值的差额 计提存货跌价准备所 致</w:t>
            </w:r>
          </w:p>
        </w:tc>
      </w:tr>
      <w:tr>
        <w:trPr>
          <w:trHeight w:val="634"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8"/>
              <w:ind w:left="103" w:right="50"/>
              <w:jc w:val="left"/>
              <w:rPr>
                <w:rFonts w:ascii="宋体" w:hAnsi="宋体" w:cs="宋体" w:eastAsia="宋体" w:hint="default"/>
                <w:sz w:val="18"/>
                <w:szCs w:val="18"/>
              </w:rPr>
            </w:pPr>
            <w:r>
              <w:rPr>
                <w:rFonts w:ascii="宋体" w:hAnsi="宋体" w:cs="宋体" w:eastAsia="宋体" w:hint="default"/>
                <w:spacing w:val="39"/>
                <w:sz w:val="18"/>
                <w:szCs w:val="18"/>
              </w:rPr>
              <w:t>其他流动</w:t>
            </w:r>
            <w:r>
              <w:rPr>
                <w:rFonts w:ascii="宋体" w:hAnsi="宋体" w:cs="宋体" w:eastAsia="宋体" w:hint="default"/>
                <w:spacing w:val="-38"/>
                <w:sz w:val="18"/>
                <w:szCs w:val="18"/>
              </w:rPr>
              <w:t> </w:t>
            </w:r>
            <w:r>
              <w:rPr>
                <w:rFonts w:ascii="宋体" w:hAnsi="宋体" w:cs="宋体" w:eastAsia="宋体" w:hint="default"/>
                <w:sz w:val="18"/>
                <w:szCs w:val="18"/>
              </w:rPr>
              <w:t>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535,790.36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0.07%</w:t>
            </w:r>
          </w:p>
        </w:tc>
        <w:tc>
          <w:tcPr>
            <w:tcW w:w="141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6"/>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8"/>
              <w:jc w:val="right"/>
              <w:rPr>
                <w:rFonts w:ascii="Times New Roman" w:hAnsi="Times New Roman" w:cs="Times New Roman" w:eastAsia="Times New Roman" w:hint="default"/>
                <w:sz w:val="18"/>
                <w:szCs w:val="18"/>
              </w:rPr>
            </w:pPr>
            <w:r>
              <w:rPr>
                <w:rFonts w:ascii="Times New Roman"/>
                <w:sz w:val="18"/>
              </w:rPr>
              <w:t>0.07%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b/>
                <w:bCs/>
                <w:sz w:val="18"/>
                <w:szCs w:val="18"/>
              </w:rPr>
              <w:t>流</w:t>
            </w:r>
            <w:r>
              <w:rPr>
                <w:rFonts w:ascii="宋体" w:hAnsi="宋体" w:cs="宋体" w:eastAsia="宋体" w:hint="default"/>
                <w:b/>
                <w:bCs/>
                <w:spacing w:val="-40"/>
                <w:sz w:val="18"/>
                <w:szCs w:val="18"/>
              </w:rPr>
              <w:t> </w:t>
            </w:r>
            <w:r>
              <w:rPr>
                <w:rFonts w:ascii="宋体" w:hAnsi="宋体" w:cs="宋体" w:eastAsia="宋体" w:hint="default"/>
                <w:b/>
                <w:bCs/>
                <w:sz w:val="18"/>
                <w:szCs w:val="18"/>
              </w:rPr>
              <w:t>动</w:t>
            </w:r>
            <w:r>
              <w:rPr>
                <w:rFonts w:ascii="宋体" w:hAnsi="宋体" w:cs="宋体" w:eastAsia="宋体" w:hint="default"/>
                <w:b/>
                <w:bCs/>
                <w:spacing w:val="-40"/>
                <w:sz w:val="18"/>
                <w:szCs w:val="18"/>
              </w:rPr>
              <w:t> </w:t>
            </w:r>
            <w:r>
              <w:rPr>
                <w:rFonts w:ascii="宋体" w:hAnsi="宋体" w:cs="宋体" w:eastAsia="宋体" w:hint="default"/>
                <w:b/>
                <w:bCs/>
                <w:sz w:val="18"/>
                <w:szCs w:val="18"/>
              </w:rPr>
              <w:t>资</w:t>
            </w:r>
            <w:r>
              <w:rPr>
                <w:rFonts w:ascii="宋体" w:hAnsi="宋体" w:cs="宋体" w:eastAsia="宋体" w:hint="default"/>
                <w:b/>
                <w:bCs/>
                <w:spacing w:val="-37"/>
                <w:sz w:val="18"/>
                <w:szCs w:val="18"/>
              </w:rPr>
              <w:t> </w:t>
            </w:r>
            <w:r>
              <w:rPr>
                <w:rFonts w:ascii="宋体" w:hAnsi="宋体" w:cs="宋体" w:eastAsia="宋体" w:hint="default"/>
                <w:b/>
                <w:bCs/>
                <w:sz w:val="18"/>
                <w:szCs w:val="18"/>
              </w:rPr>
              <w:t>产</w:t>
            </w:r>
            <w:r>
              <w:rPr>
                <w:rFonts w:ascii="宋体" w:hAnsi="宋体" w:cs="宋体" w:eastAsia="宋体" w:hint="default"/>
                <w:b/>
                <w:bCs/>
                <w:w w:val="99"/>
                <w:sz w:val="18"/>
                <w:szCs w:val="18"/>
              </w:rPr>
              <w:t> </w:t>
            </w:r>
            <w:r>
              <w:rPr>
                <w:rFonts w:ascii="宋体" w:hAnsi="宋体" w:cs="宋体" w:eastAsia="宋体" w:hint="default"/>
                <w:b/>
                <w:bCs/>
                <w:sz w:val="18"/>
                <w:szCs w:val="18"/>
              </w:rPr>
              <w:t>合计</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b/>
                <w:sz w:val="18"/>
              </w:rPr>
              <w:t>407,691,151.09</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54.25%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b/>
                <w:sz w:val="18"/>
              </w:rPr>
              <w:t>588,083,271.79</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z w:val="18"/>
              </w:rPr>
              <w:t>81.14%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9"/>
              <w:jc w:val="right"/>
              <w:rPr>
                <w:rFonts w:ascii="Times New Roman" w:hAnsi="Times New Roman" w:cs="Times New Roman" w:eastAsia="Times New Roman" w:hint="default"/>
                <w:sz w:val="18"/>
                <w:szCs w:val="18"/>
              </w:rPr>
            </w:pPr>
            <w:r>
              <w:rPr>
                <w:rFonts w:ascii="Times New Roman"/>
                <w:sz w:val="18"/>
              </w:rPr>
              <w:t>-26.89%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79"/>
              <w:jc w:val="right"/>
              <w:rPr>
                <w:rFonts w:ascii="Times New Roman" w:hAnsi="Times New Roman" w:cs="Times New Roman" w:eastAsia="Times New Roman" w:hint="default"/>
                <w:sz w:val="18"/>
                <w:szCs w:val="18"/>
              </w:rPr>
            </w:pPr>
            <w:r>
              <w:rPr>
                <w:rFonts w:ascii="Times New Roman"/>
                <w:sz w:val="18"/>
              </w:rPr>
              <w:t>-30.67%</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1390"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2"/>
              <w:ind w:left="103" w:right="50"/>
              <w:jc w:val="left"/>
              <w:rPr>
                <w:rFonts w:ascii="宋体" w:hAnsi="宋体" w:cs="宋体" w:eastAsia="宋体" w:hint="default"/>
                <w:sz w:val="18"/>
                <w:szCs w:val="18"/>
              </w:rPr>
            </w:pPr>
            <w:r>
              <w:rPr>
                <w:rFonts w:ascii="宋体" w:hAnsi="宋体" w:cs="宋体" w:eastAsia="宋体" w:hint="default"/>
                <w:spacing w:val="39"/>
                <w:sz w:val="18"/>
                <w:szCs w:val="18"/>
              </w:rPr>
              <w:t>长期应收</w:t>
            </w:r>
            <w:r>
              <w:rPr>
                <w:rFonts w:ascii="宋体" w:hAnsi="宋体" w:cs="宋体" w:eastAsia="宋体" w:hint="default"/>
                <w:spacing w:val="-38"/>
                <w:sz w:val="18"/>
                <w:szCs w:val="18"/>
              </w:rPr>
              <w:t> </w:t>
            </w:r>
            <w:r>
              <w:rPr>
                <w:rFonts w:ascii="宋体" w:hAnsi="宋体" w:cs="宋体" w:eastAsia="宋体" w:hint="default"/>
                <w:sz w:val="18"/>
                <w:szCs w:val="18"/>
              </w:rPr>
              <w:t>款</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16,797,305.92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26,081,936.97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256"/>
              <w:jc w:val="right"/>
              <w:rPr>
                <w:rFonts w:ascii="Times New Roman" w:hAnsi="Times New Roman" w:cs="Times New Roman" w:eastAsia="Times New Roman" w:hint="default"/>
                <w:sz w:val="18"/>
                <w:szCs w:val="18"/>
              </w:rPr>
            </w:pPr>
            <w:r>
              <w:rPr>
                <w:rFonts w:ascii="Times New Roman"/>
                <w:sz w:val="18"/>
              </w:rPr>
              <w:t>3.60%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55"/>
              <w:jc w:val="right"/>
              <w:rPr>
                <w:rFonts w:ascii="Times New Roman" w:hAnsi="Times New Roman" w:cs="Times New Roman" w:eastAsia="Times New Roman" w:hint="default"/>
                <w:sz w:val="18"/>
                <w:szCs w:val="18"/>
              </w:rPr>
            </w:pPr>
            <w:r>
              <w:rPr>
                <w:rFonts w:ascii="Times New Roman"/>
                <w:sz w:val="18"/>
              </w:rPr>
              <w:t>-1.36%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sz w:val="18"/>
              </w:rPr>
              <w:t>-35.60%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5"/>
              <w:ind w:left="103" w:right="139"/>
              <w:jc w:val="left"/>
              <w:rPr>
                <w:rFonts w:ascii="宋体" w:hAnsi="宋体" w:cs="宋体" w:eastAsia="宋体" w:hint="default"/>
                <w:sz w:val="18"/>
                <w:szCs w:val="18"/>
              </w:rPr>
            </w:pPr>
            <w:r>
              <w:rPr>
                <w:rFonts w:ascii="宋体" w:hAnsi="宋体" w:cs="宋体" w:eastAsia="宋体" w:hint="default"/>
                <w:sz w:val="18"/>
                <w:szCs w:val="18"/>
              </w:rPr>
              <w:t>系西安市数字化</w:t>
            </w:r>
            <w:r>
              <w:rPr>
                <w:rFonts w:ascii="Calibri" w:hAnsi="Calibri" w:cs="Calibri" w:eastAsia="Calibri" w:hint="default"/>
                <w:sz w:val="18"/>
                <w:szCs w:val="18"/>
              </w:rPr>
              <w:t>“</w:t>
            </w:r>
            <w:r>
              <w:rPr>
                <w:rFonts w:ascii="宋体" w:hAnsi="宋体" w:cs="宋体" w:eastAsia="宋体" w:hint="default"/>
                <w:sz w:val="18"/>
                <w:szCs w:val="18"/>
              </w:rPr>
              <w:t>城市 管理</w:t>
            </w:r>
            <w:r>
              <w:rPr>
                <w:rFonts w:ascii="Calibri" w:hAnsi="Calibri" w:cs="Calibri" w:eastAsia="Calibri" w:hint="default"/>
                <w:sz w:val="18"/>
                <w:szCs w:val="18"/>
              </w:rPr>
              <w:t>”</w:t>
            </w:r>
            <w:r>
              <w:rPr>
                <w:rFonts w:ascii="宋体" w:hAnsi="宋体" w:cs="宋体" w:eastAsia="宋体" w:hint="default"/>
                <w:sz w:val="18"/>
                <w:szCs w:val="18"/>
              </w:rPr>
              <w:t>信息系统开发项 目本期收回部分货款 所致</w:t>
            </w:r>
          </w:p>
        </w:tc>
      </w:tr>
      <w:tr>
        <w:trPr>
          <w:trHeight w:val="910"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47"/>
              <w:ind w:left="103" w:right="50"/>
              <w:jc w:val="left"/>
              <w:rPr>
                <w:rFonts w:ascii="宋体" w:hAnsi="宋体" w:cs="宋体" w:eastAsia="宋体" w:hint="default"/>
                <w:sz w:val="18"/>
                <w:szCs w:val="18"/>
              </w:rPr>
            </w:pPr>
            <w:r>
              <w:rPr>
                <w:rFonts w:ascii="宋体" w:hAnsi="宋体" w:cs="宋体" w:eastAsia="宋体" w:hint="default"/>
                <w:spacing w:val="39"/>
                <w:sz w:val="18"/>
                <w:szCs w:val="18"/>
              </w:rPr>
              <w:t>长期股权</w:t>
            </w:r>
            <w:r>
              <w:rPr>
                <w:rFonts w:ascii="宋体" w:hAnsi="宋体" w:cs="宋体" w:eastAsia="宋体" w:hint="default"/>
                <w:spacing w:val="-38"/>
                <w:sz w:val="18"/>
                <w:szCs w:val="18"/>
              </w:rPr>
              <w:t> </w:t>
            </w:r>
            <w:r>
              <w:rPr>
                <w:rFonts w:ascii="宋体" w:hAnsi="宋体" w:cs="宋体" w:eastAsia="宋体" w:hint="default"/>
                <w:sz w:val="18"/>
                <w:szCs w:val="18"/>
              </w:rPr>
              <w:t>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18,202,098.88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2.42%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13,760,827.00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56"/>
              <w:jc w:val="right"/>
              <w:rPr>
                <w:rFonts w:ascii="Times New Roman" w:hAnsi="Times New Roman" w:cs="Times New Roman" w:eastAsia="Times New Roman" w:hint="default"/>
                <w:sz w:val="18"/>
                <w:szCs w:val="18"/>
              </w:rPr>
            </w:pPr>
            <w:r>
              <w:rPr>
                <w:rFonts w:ascii="Times New Roman"/>
                <w:sz w:val="18"/>
              </w:rPr>
              <w:t>1.90%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z w:val="18"/>
              </w:rPr>
              <w:t>0.52%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11"/>
              <w:jc w:val="right"/>
              <w:rPr>
                <w:rFonts w:ascii="Times New Roman" w:hAnsi="Times New Roman" w:cs="Times New Roman" w:eastAsia="Times New Roman" w:hint="default"/>
                <w:sz w:val="18"/>
                <w:szCs w:val="18"/>
              </w:rPr>
            </w:pPr>
            <w:r>
              <w:rPr>
                <w:rFonts w:ascii="Times New Roman"/>
                <w:sz w:val="18"/>
              </w:rPr>
              <w:t>32.27%</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7"/>
              <w:ind w:left="103" w:right="215"/>
              <w:jc w:val="left"/>
              <w:rPr>
                <w:rFonts w:ascii="宋体" w:hAnsi="宋体" w:cs="宋体" w:eastAsia="宋体" w:hint="default"/>
                <w:sz w:val="18"/>
                <w:szCs w:val="18"/>
              </w:rPr>
            </w:pPr>
            <w:r>
              <w:rPr>
                <w:rFonts w:ascii="宋体" w:hAnsi="宋体" w:cs="宋体" w:eastAsia="宋体" w:hint="default"/>
                <w:sz w:val="18"/>
                <w:szCs w:val="18"/>
              </w:rPr>
              <w:t>系本期被投资单位净 利润变化所致</w:t>
            </w:r>
          </w:p>
        </w:tc>
      </w:tr>
      <w:tr>
        <w:trPr>
          <w:trHeight w:val="636"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03" w:right="50"/>
              <w:jc w:val="left"/>
              <w:rPr>
                <w:rFonts w:ascii="宋体" w:hAnsi="宋体" w:cs="宋体" w:eastAsia="宋体" w:hint="default"/>
                <w:sz w:val="18"/>
                <w:szCs w:val="18"/>
              </w:rPr>
            </w:pPr>
            <w:r>
              <w:rPr>
                <w:rFonts w:ascii="宋体" w:hAnsi="宋体" w:cs="宋体" w:eastAsia="宋体" w:hint="default"/>
                <w:spacing w:val="39"/>
                <w:sz w:val="18"/>
                <w:szCs w:val="18"/>
              </w:rPr>
              <w:t>投资性房</w:t>
            </w:r>
            <w:r>
              <w:rPr>
                <w:rFonts w:ascii="宋体" w:hAnsi="宋体" w:cs="宋体" w:eastAsia="宋体" w:hint="default"/>
                <w:spacing w:val="-38"/>
                <w:sz w:val="18"/>
                <w:szCs w:val="18"/>
              </w:rPr>
              <w:t> </w:t>
            </w:r>
            <w:r>
              <w:rPr>
                <w:rFonts w:ascii="宋体" w:hAnsi="宋体" w:cs="宋体" w:eastAsia="宋体" w:hint="default"/>
                <w:sz w:val="18"/>
                <w:szCs w:val="18"/>
              </w:rPr>
              <w:t>地产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6,358,602.01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6,892,162.69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56"/>
              <w:jc w:val="right"/>
              <w:rPr>
                <w:rFonts w:ascii="Times New Roman" w:hAnsi="Times New Roman" w:cs="Times New Roman" w:eastAsia="Times New Roman" w:hint="default"/>
                <w:sz w:val="18"/>
                <w:szCs w:val="18"/>
              </w:rPr>
            </w:pPr>
            <w:r>
              <w:rPr>
                <w:rFonts w:ascii="Times New Roman"/>
                <w:sz w:val="18"/>
              </w:rPr>
              <w:t>0.95%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55"/>
              <w:jc w:val="right"/>
              <w:rPr>
                <w:rFonts w:ascii="Times New Roman" w:hAnsi="Times New Roman" w:cs="Times New Roman" w:eastAsia="Times New Roman" w:hint="default"/>
                <w:sz w:val="18"/>
                <w:szCs w:val="18"/>
              </w:rPr>
            </w:pPr>
            <w:r>
              <w:rPr>
                <w:rFonts w:ascii="Times New Roman"/>
                <w:sz w:val="18"/>
              </w:rPr>
              <w:t>-0.10%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8"/>
              <w:jc w:val="right"/>
              <w:rPr>
                <w:rFonts w:ascii="Times New Roman" w:hAnsi="Times New Roman" w:cs="Times New Roman" w:eastAsia="Times New Roman" w:hint="default"/>
                <w:sz w:val="18"/>
                <w:szCs w:val="18"/>
              </w:rPr>
            </w:pPr>
            <w:r>
              <w:rPr>
                <w:rFonts w:ascii="Times New Roman"/>
                <w:sz w:val="18"/>
              </w:rPr>
              <w:t>-7.74%</w:t>
            </w:r>
          </w:p>
        </w:tc>
        <w:tc>
          <w:tcPr>
            <w:tcW w:w="19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007" w:top="1100" w:bottom="1200" w:left="1060" w:right="90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097"/>
        <w:gridCol w:w="1418"/>
        <w:gridCol w:w="994"/>
        <w:gridCol w:w="1418"/>
        <w:gridCol w:w="994"/>
        <w:gridCol w:w="850"/>
        <w:gridCol w:w="994"/>
        <w:gridCol w:w="1949"/>
      </w:tblGrid>
      <w:tr>
        <w:trPr>
          <w:trHeight w:val="317" w:hRule="exact"/>
        </w:trPr>
        <w:tc>
          <w:tcPr>
            <w:tcW w:w="1097" w:type="dxa"/>
            <w:tcBorders>
              <w:top w:val="nil" w:sz="6" w:space="0" w:color="auto"/>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2"/>
              <w:jc w:val="center"/>
              <w:rPr>
                <w:rFonts w:ascii="Times New Roman" w:hAnsi="Times New Roman" w:cs="Times New Roman" w:eastAsia="Times New Roman" w:hint="default"/>
                <w:sz w:val="18"/>
                <w:szCs w:val="18"/>
              </w:rPr>
            </w:pPr>
            <w:r>
              <w:rPr>
                <w:rFonts w:ascii="Times New Roman"/>
                <w:sz w:val="18"/>
              </w:rPr>
              <w:t>77,407,470.75</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10.30%</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85"/>
              <w:jc w:val="right"/>
              <w:rPr>
                <w:rFonts w:ascii="Times New Roman" w:hAnsi="Times New Roman" w:cs="Times New Roman" w:eastAsia="Times New Roman" w:hint="default"/>
                <w:sz w:val="18"/>
                <w:szCs w:val="18"/>
              </w:rPr>
            </w:pPr>
            <w:r>
              <w:rPr>
                <w:rFonts w:ascii="Times New Roman"/>
                <w:spacing w:val="-1"/>
                <w:sz w:val="18"/>
              </w:rPr>
              <w:t>61,936,594.61</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8.55%</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86"/>
              <w:jc w:val="right"/>
              <w:rPr>
                <w:rFonts w:ascii="Times New Roman" w:hAnsi="Times New Roman" w:cs="Times New Roman" w:eastAsia="Times New Roman" w:hint="default"/>
                <w:sz w:val="18"/>
                <w:szCs w:val="18"/>
              </w:rPr>
            </w:pPr>
            <w:r>
              <w:rPr>
                <w:rFonts w:ascii="Times New Roman"/>
                <w:sz w:val="18"/>
              </w:rPr>
              <w:t>1.75%</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213" w:right="0"/>
              <w:jc w:val="left"/>
              <w:rPr>
                <w:rFonts w:ascii="Times New Roman" w:hAnsi="Times New Roman" w:cs="Times New Roman" w:eastAsia="Times New Roman" w:hint="default"/>
                <w:sz w:val="18"/>
                <w:szCs w:val="18"/>
              </w:rPr>
            </w:pPr>
            <w:r>
              <w:rPr>
                <w:rFonts w:ascii="Times New Roman"/>
                <w:sz w:val="18"/>
              </w:rPr>
              <w:t>24.98%</w:t>
            </w:r>
          </w:p>
        </w:tc>
        <w:tc>
          <w:tcPr>
            <w:tcW w:w="1949" w:type="dxa"/>
            <w:tcBorders>
              <w:top w:val="nil" w:sz="6" w:space="0" w:color="auto"/>
              <w:left w:val="single" w:sz="4" w:space="0" w:color="000000"/>
              <w:bottom w:val="single" w:sz="4" w:space="0" w:color="000000"/>
              <w:right w:val="single" w:sz="4" w:space="0" w:color="000000"/>
            </w:tcBorders>
          </w:tcPr>
          <w:p>
            <w:pPr/>
          </w:p>
        </w:tc>
      </w:tr>
      <w:tr>
        <w:trPr>
          <w:trHeight w:val="1135"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194,250,236.00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25.85%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38"/>
              <w:jc w:val="right"/>
              <w:rPr>
                <w:rFonts w:ascii="Times New Roman" w:hAnsi="Times New Roman" w:cs="Times New Roman" w:eastAsia="Times New Roman" w:hint="default"/>
                <w:sz w:val="18"/>
                <w:szCs w:val="18"/>
              </w:rPr>
            </w:pPr>
            <w:r>
              <w:rPr>
                <w:rFonts w:ascii="Times New Roman"/>
                <w:sz w:val="18"/>
              </w:rPr>
              <w:t>25.85%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4"/>
              <w:ind w:left="103" w:right="215"/>
              <w:jc w:val="both"/>
              <w:rPr>
                <w:rFonts w:ascii="宋体" w:hAnsi="宋体" w:cs="宋体" w:eastAsia="宋体" w:hint="default"/>
                <w:sz w:val="18"/>
                <w:szCs w:val="18"/>
              </w:rPr>
            </w:pPr>
            <w:r>
              <w:rPr>
                <w:rFonts w:ascii="宋体" w:hAnsi="宋体" w:cs="宋体" w:eastAsia="宋体" w:hint="default"/>
                <w:sz w:val="18"/>
                <w:szCs w:val="18"/>
              </w:rPr>
              <w:t>系本年购入研发及办 公房产尚未达到可使 用状态所致。</w:t>
            </w:r>
          </w:p>
        </w:tc>
      </w:tr>
      <w:tr>
        <w:trPr>
          <w:trHeight w:val="322"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center"/>
              <w:rPr>
                <w:rFonts w:ascii="Times New Roman" w:hAnsi="Times New Roman" w:cs="Times New Roman" w:eastAsia="Times New Roman" w:hint="default"/>
                <w:sz w:val="18"/>
                <w:szCs w:val="18"/>
              </w:rPr>
            </w:pPr>
            <w:r>
              <w:rPr>
                <w:rFonts w:ascii="Times New Roman"/>
                <w:sz w:val="18"/>
              </w:rPr>
              <w:t>22,701,293.26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3.02%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5"/>
              <w:jc w:val="right"/>
              <w:rPr>
                <w:rFonts w:ascii="Times New Roman" w:hAnsi="Times New Roman" w:cs="Times New Roman" w:eastAsia="Times New Roman" w:hint="default"/>
                <w:sz w:val="18"/>
                <w:szCs w:val="18"/>
              </w:rPr>
            </w:pPr>
            <w:r>
              <w:rPr>
                <w:rFonts w:ascii="Times New Roman"/>
                <w:spacing w:val="-1"/>
                <w:sz w:val="18"/>
              </w:rPr>
              <w:t>21,393,364.51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2.95%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6"/>
              <w:jc w:val="right"/>
              <w:rPr>
                <w:rFonts w:ascii="Times New Roman" w:hAnsi="Times New Roman" w:cs="Times New Roman" w:eastAsia="Times New Roman" w:hint="default"/>
                <w:sz w:val="18"/>
                <w:szCs w:val="18"/>
              </w:rPr>
            </w:pPr>
            <w:r>
              <w:rPr>
                <w:rFonts w:ascii="Times New Roman"/>
                <w:sz w:val="18"/>
              </w:rPr>
              <w:t>0.07%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6.11%</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4"/>
              <w:jc w:val="center"/>
              <w:rPr>
                <w:rFonts w:ascii="Times New Roman" w:hAnsi="Times New Roman" w:cs="Times New Roman" w:eastAsia="Times New Roman" w:hint="default"/>
                <w:sz w:val="18"/>
                <w:szCs w:val="18"/>
              </w:rPr>
            </w:pPr>
            <w:r>
              <w:rPr>
                <w:rFonts w:ascii="Times New Roman"/>
                <w:sz w:val="18"/>
              </w:rPr>
              <w:t>636,057.08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0.08%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77"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0.08%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686"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34"/>
              <w:ind w:left="103" w:right="50"/>
              <w:jc w:val="left"/>
              <w:rPr>
                <w:rFonts w:ascii="宋体" w:hAnsi="宋体" w:cs="宋体" w:eastAsia="宋体" w:hint="default"/>
                <w:sz w:val="18"/>
                <w:szCs w:val="18"/>
              </w:rPr>
            </w:pPr>
            <w:r>
              <w:rPr>
                <w:rFonts w:ascii="宋体" w:hAnsi="宋体" w:cs="宋体" w:eastAsia="宋体" w:hint="default"/>
                <w:spacing w:val="39"/>
                <w:sz w:val="18"/>
                <w:szCs w:val="18"/>
              </w:rPr>
              <w:t>长期待摊</w:t>
            </w:r>
            <w:r>
              <w:rPr>
                <w:rFonts w:ascii="宋体" w:hAnsi="宋体" w:cs="宋体" w:eastAsia="宋体" w:hint="default"/>
                <w:spacing w:val="-38"/>
                <w:sz w:val="18"/>
                <w:szCs w:val="18"/>
              </w:rPr>
              <w:t> </w:t>
            </w:r>
            <w:r>
              <w:rPr>
                <w:rFonts w:ascii="宋体" w:hAnsi="宋体" w:cs="宋体" w:eastAsia="宋体" w:hint="default"/>
                <w:sz w:val="18"/>
                <w:szCs w:val="18"/>
              </w:rPr>
              <w:t>费用</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867,122.06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0.12%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1,382,991.90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55"/>
              <w:jc w:val="right"/>
              <w:rPr>
                <w:rFonts w:ascii="Times New Roman" w:hAnsi="Times New Roman" w:cs="Times New Roman" w:eastAsia="Times New Roman" w:hint="default"/>
                <w:sz w:val="18"/>
                <w:szCs w:val="18"/>
              </w:rPr>
            </w:pPr>
            <w:r>
              <w:rPr>
                <w:rFonts w:ascii="Times New Roman"/>
                <w:sz w:val="18"/>
              </w:rPr>
              <w:t>-0.07%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-37.30%</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4"/>
              <w:ind w:left="103" w:right="215"/>
              <w:jc w:val="left"/>
              <w:rPr>
                <w:rFonts w:ascii="宋体" w:hAnsi="宋体" w:cs="宋体" w:eastAsia="宋体" w:hint="default"/>
                <w:sz w:val="18"/>
                <w:szCs w:val="18"/>
              </w:rPr>
            </w:pPr>
            <w:r>
              <w:rPr>
                <w:rFonts w:ascii="宋体" w:hAnsi="宋体" w:cs="宋体" w:eastAsia="宋体" w:hint="default"/>
                <w:sz w:val="18"/>
                <w:szCs w:val="18"/>
              </w:rPr>
              <w:t>系装修费用本年摊销 所致</w:t>
            </w:r>
          </w:p>
        </w:tc>
      </w:tr>
      <w:tr>
        <w:trPr>
          <w:trHeight w:val="634"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03" w:right="50"/>
              <w:jc w:val="left"/>
              <w:rPr>
                <w:rFonts w:ascii="宋体" w:hAnsi="宋体" w:cs="宋体" w:eastAsia="宋体" w:hint="default"/>
                <w:sz w:val="18"/>
                <w:szCs w:val="18"/>
              </w:rPr>
            </w:pPr>
            <w:r>
              <w:rPr>
                <w:rFonts w:ascii="宋体" w:hAnsi="宋体" w:cs="宋体" w:eastAsia="宋体" w:hint="default"/>
                <w:spacing w:val="39"/>
                <w:sz w:val="18"/>
                <w:szCs w:val="18"/>
              </w:rPr>
              <w:t>递延所得</w:t>
            </w:r>
            <w:r>
              <w:rPr>
                <w:rFonts w:ascii="宋体" w:hAnsi="宋体" w:cs="宋体" w:eastAsia="宋体" w:hint="default"/>
                <w:spacing w:val="-38"/>
                <w:sz w:val="18"/>
                <w:szCs w:val="18"/>
              </w:rPr>
              <w:t> </w:t>
            </w:r>
            <w:r>
              <w:rPr>
                <w:rFonts w:ascii="宋体" w:hAnsi="宋体" w:cs="宋体" w:eastAsia="宋体" w:hint="default"/>
                <w:sz w:val="18"/>
                <w:szCs w:val="18"/>
              </w:rPr>
              <w:t>税资产</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5,268,178.32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3,957,007.23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z w:val="18"/>
              </w:rPr>
              <w:t>0.15%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33.14%</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215"/>
              <w:jc w:val="left"/>
              <w:rPr>
                <w:rFonts w:ascii="宋体" w:hAnsi="宋体" w:cs="宋体" w:eastAsia="宋体" w:hint="default"/>
                <w:sz w:val="18"/>
                <w:szCs w:val="18"/>
              </w:rPr>
            </w:pPr>
            <w:r>
              <w:rPr>
                <w:rFonts w:ascii="宋体" w:hAnsi="宋体" w:cs="宋体" w:eastAsia="宋体" w:hint="default"/>
                <w:sz w:val="18"/>
                <w:szCs w:val="18"/>
              </w:rPr>
              <w:t>系公司坏账和存货跌 价准备增加所致</w:t>
            </w:r>
          </w:p>
        </w:tc>
      </w:tr>
      <w:tr>
        <w:trPr>
          <w:trHeight w:val="634"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8"/>
              <w:ind w:left="103" w:right="101"/>
              <w:jc w:val="left"/>
              <w:rPr>
                <w:rFonts w:ascii="宋体" w:hAnsi="宋体" w:cs="宋体" w:eastAsia="宋体" w:hint="default"/>
                <w:sz w:val="18"/>
                <w:szCs w:val="18"/>
              </w:rPr>
            </w:pPr>
            <w:r>
              <w:rPr>
                <w:rFonts w:ascii="宋体" w:hAnsi="宋体" w:cs="宋体" w:eastAsia="宋体" w:hint="default"/>
                <w:b/>
                <w:bCs/>
                <w:sz w:val="18"/>
                <w:szCs w:val="18"/>
              </w:rPr>
              <w:t>非</w:t>
            </w:r>
            <w:r>
              <w:rPr>
                <w:rFonts w:ascii="宋体" w:hAnsi="宋体" w:cs="宋体" w:eastAsia="宋体" w:hint="default"/>
                <w:b/>
                <w:bCs/>
                <w:spacing w:val="-40"/>
                <w:sz w:val="18"/>
                <w:szCs w:val="18"/>
              </w:rPr>
              <w:t> </w:t>
            </w:r>
            <w:r>
              <w:rPr>
                <w:rFonts w:ascii="宋体" w:hAnsi="宋体" w:cs="宋体" w:eastAsia="宋体" w:hint="default"/>
                <w:b/>
                <w:bCs/>
                <w:sz w:val="18"/>
                <w:szCs w:val="18"/>
              </w:rPr>
              <w:t>流</w:t>
            </w:r>
            <w:r>
              <w:rPr>
                <w:rFonts w:ascii="宋体" w:hAnsi="宋体" w:cs="宋体" w:eastAsia="宋体" w:hint="default"/>
                <w:b/>
                <w:bCs/>
                <w:spacing w:val="-40"/>
                <w:sz w:val="18"/>
                <w:szCs w:val="18"/>
              </w:rPr>
              <w:t> </w:t>
            </w:r>
            <w:r>
              <w:rPr>
                <w:rFonts w:ascii="宋体" w:hAnsi="宋体" w:cs="宋体" w:eastAsia="宋体" w:hint="default"/>
                <w:b/>
                <w:bCs/>
                <w:sz w:val="18"/>
                <w:szCs w:val="18"/>
              </w:rPr>
              <w:t>动</w:t>
            </w:r>
            <w:r>
              <w:rPr>
                <w:rFonts w:ascii="宋体" w:hAnsi="宋体" w:cs="宋体" w:eastAsia="宋体" w:hint="default"/>
                <w:b/>
                <w:bCs/>
                <w:spacing w:val="-37"/>
                <w:sz w:val="18"/>
                <w:szCs w:val="18"/>
              </w:rPr>
              <w:t> </w:t>
            </w:r>
            <w:r>
              <w:rPr>
                <w:rFonts w:ascii="宋体" w:hAnsi="宋体" w:cs="宋体" w:eastAsia="宋体" w:hint="default"/>
                <w:b/>
                <w:bCs/>
                <w:sz w:val="18"/>
                <w:szCs w:val="18"/>
              </w:rPr>
              <w:t>资</w:t>
            </w:r>
            <w:r>
              <w:rPr>
                <w:rFonts w:ascii="宋体" w:hAnsi="宋体" w:cs="宋体" w:eastAsia="宋体" w:hint="default"/>
                <w:b/>
                <w:bCs/>
                <w:w w:val="99"/>
                <w:sz w:val="18"/>
                <w:szCs w:val="18"/>
              </w:rPr>
              <w:t> </w:t>
            </w:r>
            <w:r>
              <w:rPr>
                <w:rFonts w:ascii="宋体" w:hAnsi="宋体" w:cs="宋体" w:eastAsia="宋体" w:hint="default"/>
                <w:b/>
                <w:bCs/>
                <w:sz w:val="18"/>
                <w:szCs w:val="18"/>
              </w:rPr>
              <w:t>产合计</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b/>
                <w:sz w:val="18"/>
              </w:rPr>
              <w:t>343,800,503.08</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b/>
                <w:sz w:val="18"/>
              </w:rPr>
              <w:t>45.65%</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39"/>
              <w:jc w:val="right"/>
              <w:rPr>
                <w:rFonts w:ascii="Times New Roman" w:hAnsi="Times New Roman" w:cs="Times New Roman" w:eastAsia="Times New Roman" w:hint="default"/>
                <w:sz w:val="18"/>
                <w:szCs w:val="18"/>
              </w:rPr>
            </w:pPr>
            <w:r>
              <w:rPr>
                <w:rFonts w:ascii="Times New Roman"/>
                <w:b/>
                <w:spacing w:val="-1"/>
                <w:sz w:val="18"/>
              </w:rPr>
              <w:t>136,717,023.71</w:t>
            </w:r>
            <w:r>
              <w:rPr>
                <w:rFonts w:ascii="Times New Roman"/>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b/>
                <w:sz w:val="18"/>
              </w:rPr>
              <w:t>18.86%</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25"/>
              <w:jc w:val="right"/>
              <w:rPr>
                <w:rFonts w:ascii="Times New Roman" w:hAnsi="Times New Roman" w:cs="Times New Roman" w:eastAsia="Times New Roman" w:hint="default"/>
                <w:sz w:val="18"/>
                <w:szCs w:val="18"/>
              </w:rPr>
            </w:pPr>
            <w:r>
              <w:rPr>
                <w:rFonts w:ascii="Times New Roman"/>
                <w:b/>
                <w:sz w:val="18"/>
              </w:rPr>
              <w:t>26.79%</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b/>
                <w:sz w:val="18"/>
              </w:rPr>
              <w:t>151.47%</w:t>
            </w:r>
            <w:r>
              <w:rPr>
                <w:rFonts w:ascii="Times New Roman"/>
                <w:sz w:val="18"/>
              </w:rPr>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2"/>
              <w:jc w:val="center"/>
              <w:rPr>
                <w:rFonts w:ascii="Times New Roman" w:hAnsi="Times New Roman" w:cs="Times New Roman" w:eastAsia="Times New Roman" w:hint="default"/>
                <w:sz w:val="18"/>
                <w:szCs w:val="18"/>
              </w:rPr>
            </w:pPr>
            <w:r>
              <w:rPr>
                <w:rFonts w:ascii="Times New Roman"/>
                <w:b/>
                <w:sz w:val="18"/>
              </w:rPr>
              <w:t>751,491,654.17</w:t>
            </w:r>
            <w:r>
              <w:rPr>
                <w:rFonts w:ascii="Times New Roman"/>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38"/>
              <w:jc w:val="right"/>
              <w:rPr>
                <w:rFonts w:ascii="Times New Roman" w:hAnsi="Times New Roman" w:cs="Times New Roman" w:eastAsia="Times New Roman" w:hint="default"/>
                <w:sz w:val="18"/>
                <w:szCs w:val="18"/>
              </w:rPr>
            </w:pPr>
            <w:r>
              <w:rPr>
                <w:rFonts w:ascii="Times New Roman"/>
                <w:b/>
                <w:spacing w:val="-1"/>
                <w:sz w:val="18"/>
              </w:rPr>
              <w:t>724,800,295.50</w:t>
            </w:r>
            <w:r>
              <w:rPr>
                <w:rFonts w:ascii="Times New Roman"/>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8"/>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59" w:right="0"/>
              <w:jc w:val="left"/>
              <w:rPr>
                <w:rFonts w:ascii="Times New Roman" w:hAnsi="Times New Roman" w:cs="Times New Roman" w:eastAsia="Times New Roman" w:hint="default"/>
                <w:sz w:val="18"/>
                <w:szCs w:val="18"/>
              </w:rPr>
            </w:pPr>
            <w:r>
              <w:rPr>
                <w:rFonts w:ascii="Times New Roman"/>
                <w:sz w:val="18"/>
              </w:rPr>
              <w:t>3.68%</w:t>
            </w:r>
          </w:p>
        </w:tc>
        <w:tc>
          <w:tcPr>
            <w:tcW w:w="19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4"/>
        <w:spacing w:line="240" w:lineRule="auto" w:before="26"/>
        <w:ind w:left="217" w:right="0"/>
        <w:jc w:val="left"/>
        <w:rPr>
          <w:b w:val="0"/>
          <w:bCs w:val="0"/>
        </w:rPr>
      </w:pPr>
      <w:r>
        <w:rPr/>
        <w:pict>
          <v:group style="position:absolute;margin-left:58.02pt;margin-top:-230.618378pt;width:55.6pt;height:218.35pt;mso-position-horizontal-relative:page;mso-position-vertical-relative:paragraph;z-index:-918544" coordorigin="1160,-4612" coordsize="1112,4367">
            <v:group style="position:absolute;left:1174;top:-4612;width:104;height:313" coordorigin="1174,-4612" coordsize="104,313">
              <v:shape style="position:absolute;left:1174;top:-4612;width:104;height:313" coordorigin="1174,-4612" coordsize="104,313" path="m1174,-4300l1277,-4300,1277,-4612,1174,-4612,1174,-4300xe" filled="true" fillcolor="#d9d9d9" stroked="false">
                <v:path arrowok="t"/>
                <v:fill type="solid"/>
              </v:shape>
            </v:group>
            <v:group style="position:absolute;left:2156;top:-4612;width:104;height:313" coordorigin="2156,-4612" coordsize="104,313">
              <v:shape style="position:absolute;left:2156;top:-4612;width:104;height:313" coordorigin="2156,-4612" coordsize="104,313" path="m2156,-4300l2259,-4300,2259,-4612,2156,-4612,2156,-4300xe" filled="true" fillcolor="#d9d9d9" stroked="false">
                <v:path arrowok="t"/>
                <v:fill type="solid"/>
              </v:shape>
            </v:group>
            <v:group style="position:absolute;left:1277;top:-4612;width:879;height:313" coordorigin="1277,-4612" coordsize="879,313">
              <v:shape style="position:absolute;left:1277;top:-4612;width:879;height:313" coordorigin="1277,-4612" coordsize="879,313" path="m1277,-4300l2156,-4300,2156,-4612,1277,-4612,1277,-4300xe" filled="true" fillcolor="#d9d9d9" stroked="false">
                <v:path arrowok="t"/>
                <v:fill type="solid"/>
              </v:shape>
            </v:group>
            <v:group style="position:absolute;left:1174;top:-4290;width:1086;height:408" coordorigin="1174,-4290" coordsize="1086,408">
              <v:shape style="position:absolute;left:1174;top:-4290;width:1086;height:408" coordorigin="1174,-4290" coordsize="1086,408" path="m1174,-3882l2259,-3882,2259,-4290,1174,-4290,1174,-3882xe" filled="true" fillcolor="#d9d9d9" stroked="false">
                <v:path arrowok="t"/>
                <v:fill type="solid"/>
              </v:shape>
            </v:group>
            <v:group style="position:absolute;left:1174;top:-3882;width:104;height:312" coordorigin="1174,-3882" coordsize="104,312">
              <v:shape style="position:absolute;left:1174;top:-3882;width:104;height:312" coordorigin="1174,-3882" coordsize="104,312" path="m1174,-3570l1277,-3570,1277,-3882,1174,-3882,1174,-3570xe" filled="true" fillcolor="#d9d9d9" stroked="false">
                <v:path arrowok="t"/>
                <v:fill type="solid"/>
              </v:shape>
            </v:group>
            <v:group style="position:absolute;left:2156;top:-3882;width:104;height:312" coordorigin="2156,-3882" coordsize="104,312">
              <v:shape style="position:absolute;left:2156;top:-3882;width:104;height:312" coordorigin="2156,-3882" coordsize="104,312" path="m2156,-3570l2259,-3570,2259,-3882,2156,-3882,2156,-3570xe" filled="true" fillcolor="#d9d9d9" stroked="false">
                <v:path arrowok="t"/>
                <v:fill type="solid"/>
              </v:shape>
            </v:group>
            <v:group style="position:absolute;left:1174;top:-3570;width:1086;height:406" coordorigin="1174,-3570" coordsize="1086,406">
              <v:shape style="position:absolute;left:1174;top:-3570;width:1086;height:406" coordorigin="1174,-3570" coordsize="1086,406" path="m1174,-3165l2259,-3165,2259,-3570,1174,-3570,1174,-3165xe" filled="true" fillcolor="#d9d9d9" stroked="false">
                <v:path arrowok="t"/>
                <v:fill type="solid"/>
              </v:shape>
            </v:group>
            <v:group style="position:absolute;left:1277;top:-3882;width:879;height:312" coordorigin="1277,-3882" coordsize="879,312">
              <v:shape style="position:absolute;left:1277;top:-3882;width:879;height:312" coordorigin="1277,-3882" coordsize="879,312" path="m1277,-3570l2156,-3570,2156,-3882,1277,-3882,1277,-3570xe" filled="true" fillcolor="#d9d9d9" stroked="false">
                <v:path arrowok="t"/>
                <v:fill type="solid"/>
              </v:shape>
            </v:group>
            <v:group style="position:absolute;left:1174;top:-3155;width:104;height:312" coordorigin="1174,-3155" coordsize="104,312">
              <v:shape style="position:absolute;left:1174;top:-3155;width:104;height:312" coordorigin="1174,-3155" coordsize="104,312" path="m1174,-2843l1277,-2843,1277,-3155,1174,-3155,1174,-2843xe" filled="true" fillcolor="#d9d9d9" stroked="false">
                <v:path arrowok="t"/>
                <v:fill type="solid"/>
              </v:shape>
            </v:group>
            <v:group style="position:absolute;left:2156;top:-3155;width:104;height:312" coordorigin="2156,-3155" coordsize="104,312">
              <v:shape style="position:absolute;left:2156;top:-3155;width:104;height:312" coordorigin="2156,-3155" coordsize="104,312" path="m2156,-2843l2259,-2843,2259,-3155,2156,-3155,2156,-2843xe" filled="true" fillcolor="#d9d9d9" stroked="false">
                <v:path arrowok="t"/>
                <v:fill type="solid"/>
              </v:shape>
            </v:group>
            <v:group style="position:absolute;left:1277;top:-3155;width:879;height:312" coordorigin="1277,-3155" coordsize="879,312">
              <v:shape style="position:absolute;left:1277;top:-3155;width:879;height:312" coordorigin="1277,-3155" coordsize="879,312" path="m1277,-2843l2156,-2843,2156,-3155,1277,-3155,1277,-2843xe" filled="true" fillcolor="#d9d9d9" stroked="false">
                <v:path arrowok="t"/>
                <v:fill type="solid"/>
              </v:shape>
            </v:group>
            <v:group style="position:absolute;left:1174;top:-2833;width:104;height:312" coordorigin="1174,-2833" coordsize="104,312">
              <v:shape style="position:absolute;left:1174;top:-2833;width:104;height:312" coordorigin="1174,-2833" coordsize="104,312" path="m1174,-2521l1277,-2521,1277,-2833,1174,-2833,1174,-2521xe" filled="true" fillcolor="#d9d9d9" stroked="false">
                <v:path arrowok="t"/>
                <v:fill type="solid"/>
              </v:shape>
            </v:group>
            <v:group style="position:absolute;left:2156;top:-2833;width:104;height:312" coordorigin="2156,-2833" coordsize="104,312">
              <v:shape style="position:absolute;left:2156;top:-2833;width:104;height:312" coordorigin="2156,-2833" coordsize="104,312" path="m2156,-2521l2259,-2521,2259,-2833,2156,-2833,2156,-2521xe" filled="true" fillcolor="#d9d9d9" stroked="false">
                <v:path arrowok="t"/>
                <v:fill type="solid"/>
              </v:shape>
            </v:group>
            <v:group style="position:absolute;left:1277;top:-2833;width:879;height:312" coordorigin="1277,-2833" coordsize="879,312">
              <v:shape style="position:absolute;left:1277;top:-2833;width:879;height:312" coordorigin="1277,-2833" coordsize="879,312" path="m1277,-2521l2156,-2521,2156,-2833,1277,-2833,1277,-2521xe" filled="true" fillcolor="#d9d9d9" stroked="false">
                <v:path arrowok="t"/>
                <v:fill type="solid"/>
              </v:shape>
            </v:group>
            <v:group style="position:absolute;left:1174;top:-2499;width:1086;height:2" coordorigin="1174,-2499" coordsize="1086,2">
              <v:shape style="position:absolute;left:1174;top:-2499;width:1086;height:2" coordorigin="1174,-2499" coordsize="1086,0" path="m1174,-2499l2259,-2499e" filled="false" stroked="true" strokeweight="1.32pt" strokecolor="#d9d9d9">
                <v:path arrowok="t"/>
              </v:shape>
            </v:group>
            <v:group style="position:absolute;left:1174;top:-2485;width:104;height:624" coordorigin="1174,-2485" coordsize="104,624">
              <v:shape style="position:absolute;left:1174;top:-2485;width:104;height:624" coordorigin="1174,-2485" coordsize="104,624" path="m1174,-1861l1277,-1861,1277,-2485,1174,-2485,1174,-1861xe" filled="true" fillcolor="#d9d9d9" stroked="false">
                <v:path arrowok="t"/>
                <v:fill type="solid"/>
              </v:shape>
            </v:group>
            <v:group style="position:absolute;left:2156;top:-2485;width:104;height:624" coordorigin="2156,-2485" coordsize="104,624">
              <v:shape style="position:absolute;left:2156;top:-2485;width:104;height:624" coordorigin="2156,-2485" coordsize="104,624" path="m2156,-1861l2259,-1861,2259,-2485,2156,-2485,2156,-1861xe" filled="true" fillcolor="#d9d9d9" stroked="false">
                <v:path arrowok="t"/>
                <v:fill type="solid"/>
              </v:shape>
            </v:group>
            <v:group style="position:absolute;left:1174;top:-1848;width:1086;height:2" coordorigin="1174,-1848" coordsize="1086,2">
              <v:shape style="position:absolute;left:1174;top:-1848;width:1086;height:2" coordorigin="1174,-1848" coordsize="1086,0" path="m1174,-1848l2259,-1848e" filled="false" stroked="true" strokeweight="1.32pt" strokecolor="#d9d9d9">
                <v:path arrowok="t"/>
              </v:shape>
            </v:group>
            <v:group style="position:absolute;left:1277;top:-2485;width:879;height:312" coordorigin="1277,-2485" coordsize="879,312">
              <v:shape style="position:absolute;left:1277;top:-2485;width:879;height:312" coordorigin="1277,-2485" coordsize="879,312" path="m1277,-2173l2156,-2173,2156,-2485,1277,-2485,1277,-2173xe" filled="true" fillcolor="#d9d9d9" stroked="false">
                <v:path arrowok="t"/>
                <v:fill type="solid"/>
              </v:shape>
            </v:group>
            <v:group style="position:absolute;left:1277;top:-2173;width:879;height:312" coordorigin="1277,-2173" coordsize="879,312">
              <v:shape style="position:absolute;left:1277;top:-2173;width:879;height:312" coordorigin="1277,-2173" coordsize="879,312" path="m1277,-1861l2156,-1861,2156,-2173,1277,-2173,1277,-1861xe" filled="true" fillcolor="#d9d9d9" stroked="false">
                <v:path arrowok="t"/>
                <v:fill type="solid"/>
              </v:shape>
            </v:group>
            <v:group style="position:absolute;left:1174;top:-1825;width:104;height:624" coordorigin="1174,-1825" coordsize="104,624">
              <v:shape style="position:absolute;left:1174;top:-1825;width:104;height:624" coordorigin="1174,-1825" coordsize="104,624" path="m1174,-1201l1277,-1201,1277,-1825,1174,-1825,1174,-1201xe" filled="true" fillcolor="#d9d9d9" stroked="false">
                <v:path arrowok="t"/>
                <v:fill type="solid"/>
              </v:shape>
            </v:group>
            <v:group style="position:absolute;left:2156;top:-1825;width:104;height:624" coordorigin="2156,-1825" coordsize="104,624">
              <v:shape style="position:absolute;left:2156;top:-1825;width:104;height:624" coordorigin="2156,-1825" coordsize="104,624" path="m2156,-1201l2259,-1201,2259,-1825,2156,-1825,2156,-1201xe" filled="true" fillcolor="#d9d9d9" stroked="false">
                <v:path arrowok="t"/>
                <v:fill type="solid"/>
              </v:shape>
            </v:group>
            <v:group style="position:absolute;left:1277;top:-1825;width:879;height:312" coordorigin="1277,-1825" coordsize="879,312">
              <v:shape style="position:absolute;left:1277;top:-1825;width:879;height:312" coordorigin="1277,-1825" coordsize="879,312" path="m1277,-1513l2156,-1513,2156,-1825,1277,-1825,1277,-1513xe" filled="true" fillcolor="#d9d9d9" stroked="false">
                <v:path arrowok="t"/>
                <v:fill type="solid"/>
              </v:shape>
            </v:group>
            <v:group style="position:absolute;left:1277;top:-1513;width:879;height:312" coordorigin="1277,-1513" coordsize="879,312">
              <v:shape style="position:absolute;left:1277;top:-1513;width:879;height:312" coordorigin="1277,-1513" coordsize="879,312" path="m1277,-1201l2156,-1201,2156,-1513,1277,-1513,1277,-1201xe" filled="true" fillcolor="#d9d9d9" stroked="false">
                <v:path arrowok="t"/>
                <v:fill type="solid"/>
              </v:shape>
            </v:group>
            <v:group style="position:absolute;left:1174;top:-1192;width:104;height:625" coordorigin="1174,-1192" coordsize="104,625">
              <v:shape style="position:absolute;left:1174;top:-1192;width:104;height:625" coordorigin="1174,-1192" coordsize="104,625" path="m1174,-567l1277,-567,1277,-1192,1174,-1192,1174,-567xe" filled="true" fillcolor="#d9d9d9" stroked="false">
                <v:path arrowok="t"/>
                <v:fill type="solid"/>
              </v:shape>
            </v:group>
            <v:group style="position:absolute;left:2156;top:-1192;width:104;height:625" coordorigin="2156,-1192" coordsize="104,625">
              <v:shape style="position:absolute;left:2156;top:-1192;width:104;height:625" coordorigin="2156,-1192" coordsize="104,625" path="m2156,-567l2259,-567,2259,-1192,2156,-1192,2156,-567xe" filled="true" fillcolor="#d9d9d9" stroked="false">
                <v:path arrowok="t"/>
                <v:fill type="solid"/>
              </v:shape>
            </v:group>
            <v:group style="position:absolute;left:1277;top:-1192;width:879;height:313" coordorigin="1277,-1192" coordsize="879,313">
              <v:shape style="position:absolute;left:1277;top:-1192;width:879;height:313" coordorigin="1277,-1192" coordsize="879,313" path="m1277,-879l2156,-879,2156,-1192,1277,-1192,1277,-879xe" filled="true" fillcolor="#d9d9d9" stroked="false">
                <v:path arrowok="t"/>
                <v:fill type="solid"/>
              </v:shape>
            </v:group>
            <v:group style="position:absolute;left:1277;top:-879;width:879;height:312" coordorigin="1277,-879" coordsize="879,312">
              <v:shape style="position:absolute;left:1277;top:-879;width:879;height:312" coordorigin="1277,-879" coordsize="879,312" path="m1277,-567l2156,-567,2156,-879,1277,-879,1277,-567xe" filled="true" fillcolor="#d9d9d9" stroked="false">
                <v:path arrowok="t"/>
                <v:fill type="solid"/>
              </v:shape>
            </v:group>
            <v:group style="position:absolute;left:1174;top:-558;width:104;height:312" coordorigin="1174,-558" coordsize="104,312">
              <v:shape style="position:absolute;left:1174;top:-558;width:104;height:312" coordorigin="1174,-558" coordsize="104,312" path="m1174,-246l1277,-246,1277,-558,1174,-558,1174,-246xe" filled="true" fillcolor="#d9d9d9" stroked="false">
                <v:path arrowok="t"/>
                <v:fill type="solid"/>
              </v:shape>
            </v:group>
            <v:group style="position:absolute;left:2156;top:-558;width:104;height:312" coordorigin="2156,-558" coordsize="104,312">
              <v:shape style="position:absolute;left:2156;top:-558;width:104;height:312" coordorigin="2156,-558" coordsize="104,312" path="m2156,-246l2259,-246,2259,-558,2156,-558,2156,-246xe" filled="true" fillcolor="#d9d9d9" stroked="false">
                <v:path arrowok="t"/>
                <v:fill type="solid"/>
              </v:shape>
            </v:group>
            <v:group style="position:absolute;left:1277;top:-558;width:879;height:312" coordorigin="1277,-558" coordsize="879,312">
              <v:shape style="position:absolute;left:1277;top:-558;width:879;height:312" coordorigin="1277,-558" coordsize="879,312" path="m1277,-246l2156,-246,2156,-558,1277,-558,1277,-246xe" filled="true" fillcolor="#d9d9d9" stroked="false">
                <v:path arrowok="t"/>
                <v:fill type="solid"/>
              </v:shape>
            </v:group>
            <w10:wrap type="none"/>
          </v:group>
        </w:pict>
      </w: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0"/>
          <w:szCs w:val="20"/>
        </w:rPr>
      </w:pPr>
    </w:p>
    <w:p>
      <w:pPr>
        <w:spacing w:before="36"/>
        <w:ind w:left="0" w:right="22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100"/>
        <w:gridCol w:w="1416"/>
        <w:gridCol w:w="994"/>
        <w:gridCol w:w="1421"/>
        <w:gridCol w:w="992"/>
        <w:gridCol w:w="850"/>
        <w:gridCol w:w="994"/>
        <w:gridCol w:w="1949"/>
      </w:tblGrid>
      <w:tr>
        <w:trPr>
          <w:trHeight w:val="322" w:hRule="exact"/>
        </w:trPr>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62" w:right="0"/>
              <w:jc w:val="lef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3"/>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2012</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24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2011</w:t>
            </w:r>
            <w:r>
              <w:rPr>
                <w:rFonts w:ascii="Times New Roman" w:hAnsi="Times New Roman" w:cs="Times New Roman" w:eastAsia="Times New Roman" w:hint="default"/>
                <w:b/>
                <w:bCs/>
                <w:spacing w:val="-2"/>
                <w:sz w:val="18"/>
                <w:szCs w:val="18"/>
              </w:rPr>
              <w:t> </w:t>
            </w:r>
            <w:r>
              <w:rPr>
                <w:rFonts w:ascii="宋体" w:hAnsi="宋体" w:cs="宋体" w:eastAsia="宋体" w:hint="default"/>
                <w:b/>
                <w:bCs/>
                <w:sz w:val="18"/>
                <w:szCs w:val="18"/>
              </w:rPr>
              <w:t>年</w:t>
            </w:r>
            <w:r>
              <w:rPr>
                <w:rFonts w:ascii="宋体" w:hAnsi="宋体" w:cs="宋体" w:eastAsia="宋体" w:hint="default"/>
                <w:sz w:val="18"/>
                <w:szCs w:val="18"/>
              </w:rPr>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28" w:right="149" w:hanging="183"/>
              <w:jc w:val="left"/>
              <w:rPr>
                <w:rFonts w:ascii="宋体" w:hAnsi="宋体" w:cs="宋体" w:eastAsia="宋体" w:hint="default"/>
                <w:sz w:val="18"/>
                <w:szCs w:val="18"/>
              </w:rPr>
            </w:pPr>
            <w:r>
              <w:rPr>
                <w:rFonts w:ascii="宋体" w:hAnsi="宋体" w:cs="宋体" w:eastAsia="宋体" w:hint="default"/>
                <w:b/>
                <w:bCs/>
                <w:sz w:val="18"/>
                <w:szCs w:val="18"/>
              </w:rPr>
              <w:t>比重增</w:t>
            </w:r>
            <w:r>
              <w:rPr>
                <w:rFonts w:ascii="宋体" w:hAnsi="宋体" w:cs="宋体" w:eastAsia="宋体" w:hint="default"/>
                <w:b/>
                <w:bCs/>
                <w:w w:val="99"/>
                <w:sz w:val="18"/>
                <w:szCs w:val="18"/>
              </w:rPr>
              <w:t> </w:t>
            </w:r>
            <w:r>
              <w:rPr>
                <w:rFonts w:ascii="宋体" w:hAnsi="宋体" w:cs="宋体" w:eastAsia="宋体" w:hint="default"/>
                <w:b/>
                <w:bCs/>
                <w:sz w:val="18"/>
                <w:szCs w:val="18"/>
              </w:rPr>
              <w:t>减</w:t>
            </w:r>
            <w:r>
              <w:rPr>
                <w:rFonts w:ascii="宋体" w:hAnsi="宋体" w:cs="宋体" w:eastAsia="宋体" w:hint="default"/>
                <w:sz w:val="18"/>
                <w:szCs w:val="18"/>
              </w:rPr>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29" w:right="0"/>
              <w:jc w:val="left"/>
              <w:rPr>
                <w:rFonts w:ascii="宋体" w:hAnsi="宋体" w:cs="宋体" w:eastAsia="宋体" w:hint="default"/>
                <w:sz w:val="18"/>
                <w:szCs w:val="18"/>
              </w:rPr>
            </w:pPr>
            <w:r>
              <w:rPr>
                <w:rFonts w:ascii="宋体" w:hAnsi="宋体" w:cs="宋体" w:eastAsia="宋体" w:hint="default"/>
                <w:b/>
                <w:bCs/>
                <w:sz w:val="18"/>
                <w:szCs w:val="18"/>
              </w:rPr>
              <w:t>同比增减</w:t>
            </w:r>
            <w:r>
              <w:rPr>
                <w:rFonts w:ascii="宋体" w:hAnsi="宋体" w:cs="宋体" w:eastAsia="宋体" w:hint="default"/>
                <w:sz w:val="18"/>
                <w:szCs w:val="18"/>
              </w:rPr>
            </w:r>
          </w:p>
        </w:tc>
        <w:tc>
          <w:tcPr>
            <w:tcW w:w="19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b/>
                <w:bCs/>
                <w:sz w:val="18"/>
                <w:szCs w:val="18"/>
              </w:rPr>
              <w:t>重大变动说明</w:t>
            </w:r>
            <w:r>
              <w:rPr>
                <w:rFonts w:ascii="宋体" w:hAnsi="宋体" w:cs="宋体" w:eastAsia="宋体" w:hint="default"/>
                <w:sz w:val="18"/>
                <w:szCs w:val="18"/>
              </w:rPr>
            </w:r>
          </w:p>
        </w:tc>
      </w:tr>
      <w:tr>
        <w:trPr>
          <w:trHeight w:val="634" w:hRule="exact"/>
        </w:trPr>
        <w:tc>
          <w:tcPr>
            <w:tcW w:w="1100"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10" w:right="130" w:hanging="180"/>
              <w:jc w:val="left"/>
              <w:rPr>
                <w:rFonts w:ascii="宋体" w:hAnsi="宋体" w:cs="宋体" w:eastAsia="宋体" w:hint="default"/>
                <w:sz w:val="18"/>
                <w:szCs w:val="18"/>
              </w:rPr>
            </w:pPr>
            <w:r>
              <w:rPr>
                <w:rFonts w:ascii="宋体" w:hAnsi="宋体" w:cs="宋体" w:eastAsia="宋体" w:hint="default"/>
                <w:b/>
                <w:bCs/>
                <w:sz w:val="18"/>
                <w:szCs w:val="18"/>
              </w:rPr>
              <w:t>占总资产</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07" w:right="130" w:hanging="181"/>
              <w:jc w:val="left"/>
              <w:rPr>
                <w:rFonts w:ascii="宋体" w:hAnsi="宋体" w:cs="宋体" w:eastAsia="宋体" w:hint="default"/>
                <w:sz w:val="18"/>
                <w:szCs w:val="18"/>
              </w:rPr>
            </w:pPr>
            <w:r>
              <w:rPr>
                <w:rFonts w:ascii="宋体" w:hAnsi="宋体" w:cs="宋体" w:eastAsia="宋体" w:hint="default"/>
                <w:b/>
                <w:bCs/>
                <w:sz w:val="18"/>
                <w:szCs w:val="18"/>
              </w:rPr>
              <w:t>占总资产</w:t>
            </w:r>
            <w:r>
              <w:rPr>
                <w:rFonts w:ascii="宋体" w:hAnsi="宋体" w:cs="宋体" w:eastAsia="宋体" w:hint="default"/>
                <w:b/>
                <w:bCs/>
                <w:w w:val="99"/>
                <w:sz w:val="18"/>
                <w:szCs w:val="18"/>
              </w:rPr>
              <w:t> </w:t>
            </w:r>
            <w:r>
              <w:rPr>
                <w:rFonts w:ascii="宋体" w:hAnsi="宋体" w:cs="宋体" w:eastAsia="宋体" w:hint="default"/>
                <w:b/>
                <w:bCs/>
                <w:sz w:val="18"/>
                <w:szCs w:val="18"/>
              </w:rPr>
              <w:t>比例</w:t>
            </w:r>
            <w:r>
              <w:rPr>
                <w:rFonts w:ascii="宋体" w:hAnsi="宋体" w:cs="宋体" w:eastAsia="宋体" w:hint="default"/>
                <w:sz w:val="18"/>
                <w:szCs w:val="18"/>
              </w:rPr>
            </w:r>
          </w:p>
        </w:tc>
        <w:tc>
          <w:tcPr>
            <w:tcW w:w="850"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949"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34,675,136.00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5,952,960.20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0.82%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3.79%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482.49%</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84"/>
              <w:jc w:val="left"/>
              <w:rPr>
                <w:rFonts w:ascii="宋体" w:hAnsi="宋体" w:cs="宋体" w:eastAsia="宋体" w:hint="default"/>
                <w:sz w:val="18"/>
                <w:szCs w:val="18"/>
              </w:rPr>
            </w:pPr>
            <w:r>
              <w:rPr>
                <w:rFonts w:ascii="宋体" w:hAnsi="宋体" w:cs="宋体" w:eastAsia="宋体" w:hint="default"/>
                <w:spacing w:val="14"/>
                <w:sz w:val="18"/>
                <w:szCs w:val="18"/>
              </w:rPr>
              <w:t>系本年新增银行借款 </w:t>
            </w:r>
            <w:r>
              <w:rPr>
                <w:rFonts w:ascii="宋体" w:hAnsi="宋体" w:cs="宋体" w:eastAsia="宋体" w:hint="default"/>
                <w:sz w:val="18"/>
                <w:szCs w:val="18"/>
              </w:rPr>
              <w:t>所致</w:t>
            </w:r>
          </w:p>
        </w:tc>
      </w:tr>
      <w:tr>
        <w:trPr>
          <w:trHeight w:val="324" w:hRule="exact"/>
        </w:trPr>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应付帐款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Times New Roman" w:hAnsi="Times New Roman" w:cs="Times New Roman" w:eastAsia="Times New Roman" w:hint="default"/>
                <w:sz w:val="18"/>
                <w:szCs w:val="18"/>
              </w:rPr>
            </w:pPr>
            <w:r>
              <w:rPr>
                <w:rFonts w:ascii="Times New Roman"/>
                <w:spacing w:val="-1"/>
                <w:sz w:val="18"/>
              </w:rPr>
              <w:t>57,318,714.72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7.63%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Times New Roman" w:hAnsi="Times New Roman" w:cs="Times New Roman" w:eastAsia="Times New Roman" w:hint="default"/>
                <w:sz w:val="18"/>
                <w:szCs w:val="18"/>
              </w:rPr>
            </w:pPr>
            <w:r>
              <w:rPr>
                <w:rFonts w:ascii="Times New Roman"/>
                <w:spacing w:val="-1"/>
                <w:sz w:val="18"/>
              </w:rPr>
              <w:t>48,182,565.57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Times New Roman" w:hAnsi="Times New Roman" w:cs="Times New Roman" w:eastAsia="Times New Roman" w:hint="default"/>
                <w:sz w:val="18"/>
                <w:szCs w:val="18"/>
              </w:rPr>
            </w:pPr>
            <w:r>
              <w:rPr>
                <w:rFonts w:ascii="Times New Roman"/>
                <w:sz w:val="18"/>
              </w:rPr>
              <w:t>6.65%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0.98%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sz w:val="18"/>
              </w:rPr>
              <w:t>18.96%</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910" w:hRule="exact"/>
        </w:trPr>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23,160,163.96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3.08%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43,568,410.34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6.01%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-2.93%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-46.84%</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5"/>
              <w:ind w:left="103" w:right="84"/>
              <w:jc w:val="left"/>
              <w:rPr>
                <w:rFonts w:ascii="宋体" w:hAnsi="宋体" w:cs="宋体" w:eastAsia="宋体" w:hint="default"/>
                <w:sz w:val="18"/>
                <w:szCs w:val="18"/>
              </w:rPr>
            </w:pPr>
            <w:r>
              <w:rPr>
                <w:rFonts w:ascii="宋体" w:hAnsi="宋体" w:cs="宋体" w:eastAsia="宋体" w:hint="default"/>
                <w:spacing w:val="14"/>
                <w:sz w:val="18"/>
                <w:szCs w:val="18"/>
              </w:rPr>
              <w:t>主要系本年新增项目 </w:t>
            </w:r>
            <w:r>
              <w:rPr>
                <w:rFonts w:ascii="宋体" w:hAnsi="宋体" w:cs="宋体" w:eastAsia="宋体" w:hint="default"/>
                <w:sz w:val="18"/>
                <w:szCs w:val="18"/>
              </w:rPr>
              <w:t>预收款减少所致</w:t>
            </w:r>
          </w:p>
        </w:tc>
      </w:tr>
      <w:tr>
        <w:trPr>
          <w:trHeight w:val="634" w:hRule="exact"/>
        </w:trPr>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365" w:right="182" w:hanging="180"/>
              <w:jc w:val="left"/>
              <w:rPr>
                <w:rFonts w:ascii="宋体" w:hAnsi="宋体" w:cs="宋体" w:eastAsia="宋体" w:hint="default"/>
                <w:sz w:val="18"/>
                <w:szCs w:val="18"/>
              </w:rPr>
            </w:pPr>
            <w:r>
              <w:rPr>
                <w:rFonts w:ascii="宋体" w:hAnsi="宋体" w:cs="宋体" w:eastAsia="宋体" w:hint="default"/>
                <w:sz w:val="18"/>
                <w:szCs w:val="18"/>
              </w:rPr>
              <w:t>应付职工 薪酬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12,843,108.94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14,938,693.57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-14.03%</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910" w:hRule="exact"/>
        </w:trPr>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7,596,293.26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1.01%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16,347,361.67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2.26%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-53.53%</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7"/>
              <w:ind w:left="103" w:right="84"/>
              <w:jc w:val="left"/>
              <w:rPr>
                <w:rFonts w:ascii="宋体" w:hAnsi="宋体" w:cs="宋体" w:eastAsia="宋体" w:hint="default"/>
                <w:sz w:val="18"/>
                <w:szCs w:val="18"/>
              </w:rPr>
            </w:pPr>
            <w:r>
              <w:rPr>
                <w:rFonts w:ascii="宋体" w:hAnsi="宋体" w:cs="宋体" w:eastAsia="宋体" w:hint="default"/>
                <w:spacing w:val="14"/>
                <w:sz w:val="18"/>
                <w:szCs w:val="18"/>
              </w:rPr>
              <w:t>主要系待缴所得税及 </w:t>
            </w:r>
            <w:r>
              <w:rPr>
                <w:rFonts w:ascii="宋体" w:hAnsi="宋体" w:cs="宋体" w:eastAsia="宋体" w:hint="default"/>
                <w:sz w:val="18"/>
                <w:szCs w:val="18"/>
              </w:rPr>
              <w:t>营业税减少所致</w:t>
            </w:r>
          </w:p>
        </w:tc>
      </w:tr>
      <w:tr>
        <w:trPr>
          <w:trHeight w:val="634" w:hRule="exact"/>
        </w:trPr>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454" w:right="182" w:hanging="269"/>
              <w:jc w:val="left"/>
              <w:rPr>
                <w:rFonts w:ascii="宋体" w:hAnsi="宋体" w:cs="宋体" w:eastAsia="宋体" w:hint="default"/>
                <w:sz w:val="18"/>
                <w:szCs w:val="18"/>
              </w:rPr>
            </w:pPr>
            <w:r>
              <w:rPr>
                <w:rFonts w:ascii="宋体" w:hAnsi="宋体" w:cs="宋体" w:eastAsia="宋体" w:hint="default"/>
                <w:sz w:val="18"/>
                <w:szCs w:val="18"/>
              </w:rPr>
              <w:t>其他应付 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14,314,546.69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1.90%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12,570,622.94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1.73%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13.87%</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85" w:right="182"/>
              <w:jc w:val="both"/>
              <w:rPr>
                <w:rFonts w:ascii="宋体" w:hAnsi="宋体" w:cs="宋体" w:eastAsia="宋体" w:hint="default"/>
                <w:sz w:val="18"/>
                <w:szCs w:val="18"/>
              </w:rPr>
            </w:pPr>
            <w:r>
              <w:rPr>
                <w:rFonts w:ascii="宋体" w:hAnsi="宋体" w:cs="宋体" w:eastAsia="宋体" w:hint="default"/>
                <w:sz w:val="18"/>
                <w:szCs w:val="18"/>
              </w:rPr>
              <w:t>一年内到 期的非流 动负债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3,437,247.65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0.46%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3,785,806.94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4"/>
              <w:jc w:val="right"/>
              <w:rPr>
                <w:rFonts w:ascii="Times New Roman" w:hAnsi="Times New Roman" w:cs="Times New Roman" w:eastAsia="Times New Roman" w:hint="default"/>
                <w:sz w:val="18"/>
                <w:szCs w:val="18"/>
              </w:rPr>
            </w:pPr>
            <w:r>
              <w:rPr>
                <w:rFonts w:ascii="Times New Roman"/>
                <w:sz w:val="18"/>
              </w:rPr>
              <w:t>0.52%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-0.06%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z w:val="18"/>
              </w:rPr>
              <w:t>-9.21%</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948" w:hRule="exact"/>
        </w:trPr>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65" w:right="182" w:hanging="180"/>
              <w:jc w:val="left"/>
              <w:rPr>
                <w:rFonts w:ascii="宋体" w:hAnsi="宋体" w:cs="宋体" w:eastAsia="宋体" w:hint="default"/>
                <w:sz w:val="18"/>
                <w:szCs w:val="18"/>
              </w:rPr>
            </w:pPr>
            <w:r>
              <w:rPr>
                <w:rFonts w:ascii="宋体" w:hAnsi="宋体" w:cs="宋体" w:eastAsia="宋体" w:hint="default"/>
                <w:sz w:val="18"/>
                <w:szCs w:val="18"/>
              </w:rPr>
              <w:t>其他流动 负债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466,666.66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0.06%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986,111.11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z w:val="18"/>
              </w:rPr>
              <w:t>0.14%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z w:val="18"/>
              </w:rPr>
              <w:t>-0.08%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-52.68%</w:t>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03" w:right="84"/>
              <w:jc w:val="both"/>
              <w:rPr>
                <w:rFonts w:ascii="宋体" w:hAnsi="宋体" w:cs="宋体" w:eastAsia="宋体" w:hint="default"/>
                <w:sz w:val="18"/>
                <w:szCs w:val="18"/>
              </w:rPr>
            </w:pPr>
            <w:r>
              <w:rPr>
                <w:rFonts w:ascii="宋体" w:hAnsi="宋体" w:cs="宋体" w:eastAsia="宋体" w:hint="default"/>
                <w:spacing w:val="14"/>
                <w:sz w:val="18"/>
                <w:szCs w:val="18"/>
              </w:rPr>
              <w:t>系上年收到的政府补 助结转营业外收入所 </w:t>
            </w:r>
            <w:r>
              <w:rPr>
                <w:rFonts w:ascii="宋体" w:hAnsi="宋体" w:cs="宋体" w:eastAsia="宋体" w:hint="default"/>
                <w:sz w:val="18"/>
                <w:szCs w:val="18"/>
              </w:rPr>
              <w:t>致</w:t>
            </w:r>
          </w:p>
        </w:tc>
      </w:tr>
      <w:tr>
        <w:trPr>
          <w:trHeight w:val="322" w:hRule="exact"/>
        </w:trPr>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10,314,765.71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1.37%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11,218,111.24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4"/>
              <w:jc w:val="right"/>
              <w:rPr>
                <w:rFonts w:ascii="Times New Roman" w:hAnsi="Times New Roman" w:cs="Times New Roman" w:eastAsia="Times New Roman" w:hint="default"/>
                <w:sz w:val="18"/>
                <w:szCs w:val="18"/>
              </w:rPr>
            </w:pPr>
            <w:r>
              <w:rPr>
                <w:rFonts w:ascii="Times New Roman"/>
                <w:sz w:val="18"/>
              </w:rPr>
              <w:t>1.55%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-8.05%</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2"/>
                <w:szCs w:val="12"/>
              </w:rPr>
            </w:pPr>
          </w:p>
          <w:p>
            <w:pPr>
              <w:pStyle w:val="TableParagraph"/>
              <w:spacing w:line="319" w:lineRule="auto"/>
              <w:ind w:left="274" w:right="182" w:hanging="89"/>
              <w:jc w:val="left"/>
              <w:rPr>
                <w:rFonts w:ascii="宋体" w:hAnsi="宋体" w:cs="宋体" w:eastAsia="宋体" w:hint="default"/>
                <w:sz w:val="18"/>
                <w:szCs w:val="18"/>
              </w:rPr>
            </w:pPr>
            <w:r>
              <w:rPr>
                <w:rFonts w:ascii="宋体" w:hAnsi="宋体" w:cs="宋体" w:eastAsia="宋体" w:hint="default"/>
                <w:sz w:val="18"/>
                <w:szCs w:val="18"/>
              </w:rPr>
              <w:t>其他非流 动负债</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spacing w:val="-1"/>
                <w:sz w:val="18"/>
              </w:rPr>
              <w:t>5,854,620.00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0.78%</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z w:val="18"/>
              </w:rPr>
              <w:t>0.78%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84"/>
              <w:jc w:val="both"/>
              <w:rPr>
                <w:rFonts w:ascii="宋体" w:hAnsi="宋体" w:cs="宋体" w:eastAsia="宋体" w:hint="default"/>
                <w:sz w:val="18"/>
                <w:szCs w:val="18"/>
              </w:rPr>
            </w:pPr>
            <w:r>
              <w:rPr>
                <w:rFonts w:ascii="宋体" w:hAnsi="宋体" w:cs="宋体" w:eastAsia="宋体" w:hint="default"/>
                <w:spacing w:val="14"/>
                <w:sz w:val="18"/>
                <w:szCs w:val="18"/>
              </w:rPr>
              <w:t>系本年收到需要递延 确认的政府补助增加 </w:t>
            </w:r>
            <w:r>
              <w:rPr>
                <w:rFonts w:ascii="宋体" w:hAnsi="宋体" w:cs="宋体" w:eastAsia="宋体" w:hint="default"/>
                <w:sz w:val="18"/>
                <w:szCs w:val="18"/>
              </w:rPr>
              <w:t>所致</w:t>
            </w:r>
          </w:p>
        </w:tc>
      </w:tr>
    </w:tbl>
    <w:p>
      <w:pPr>
        <w:spacing w:after="0" w:line="319" w:lineRule="auto"/>
        <w:jc w:val="both"/>
        <w:rPr>
          <w:rFonts w:ascii="宋体" w:hAnsi="宋体" w:cs="宋体" w:eastAsia="宋体" w:hint="default"/>
          <w:sz w:val="18"/>
          <w:szCs w:val="18"/>
        </w:rPr>
        <w:sectPr>
          <w:pgSz w:w="11910" w:h="16840"/>
          <w:pgMar w:header="884" w:footer="1007" w:top="1100" w:bottom="1200" w:left="1060" w:right="90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100"/>
        <w:gridCol w:w="1416"/>
        <w:gridCol w:w="994"/>
        <w:gridCol w:w="1421"/>
        <w:gridCol w:w="992"/>
        <w:gridCol w:w="850"/>
        <w:gridCol w:w="994"/>
        <w:gridCol w:w="1949"/>
      </w:tblGrid>
      <w:tr>
        <w:trPr>
          <w:trHeight w:val="905" w:hRule="exact"/>
        </w:trPr>
        <w:tc>
          <w:tcPr>
            <w:tcW w:w="1100"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316" w:lineRule="auto" w:before="148"/>
              <w:ind w:left="185" w:right="182"/>
              <w:jc w:val="left"/>
              <w:rPr>
                <w:rFonts w:ascii="宋体" w:hAnsi="宋体" w:cs="宋体" w:eastAsia="宋体" w:hint="default"/>
                <w:sz w:val="18"/>
                <w:szCs w:val="18"/>
              </w:rPr>
            </w:pPr>
            <w:r>
              <w:rPr>
                <w:rFonts w:ascii="宋体" w:hAnsi="宋体" w:cs="宋体" w:eastAsia="宋体" w:hint="default"/>
                <w:sz w:val="18"/>
                <w:szCs w:val="18"/>
              </w:rPr>
              <w:t>外币报表 折算差额</w:t>
            </w:r>
          </w:p>
        </w:tc>
        <w:tc>
          <w:tcPr>
            <w:tcW w:w="14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-1,754,682.69</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-0.23%</w:t>
            </w:r>
          </w:p>
        </w:tc>
        <w:tc>
          <w:tcPr>
            <w:tcW w:w="14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-641,799.83</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-0.09%</w:t>
            </w: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-0.14%</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173.40%</w:t>
            </w:r>
          </w:p>
        </w:tc>
        <w:tc>
          <w:tcPr>
            <w:tcW w:w="19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系汇率变动造成</w:t>
            </w:r>
          </w:p>
        </w:tc>
      </w:tr>
      <w:tr>
        <w:trPr>
          <w:trHeight w:val="322" w:hRule="exact"/>
        </w:trPr>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74"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3"/>
              <w:jc w:val="right"/>
              <w:rPr>
                <w:rFonts w:ascii="Times New Roman" w:hAnsi="Times New Roman" w:cs="Times New Roman" w:eastAsia="Times New Roman" w:hint="default"/>
                <w:sz w:val="18"/>
                <w:szCs w:val="18"/>
              </w:rPr>
            </w:pPr>
            <w:r>
              <w:rPr>
                <w:rFonts w:ascii="Times New Roman"/>
                <w:b/>
                <w:spacing w:val="-1"/>
                <w:sz w:val="18"/>
              </w:rPr>
              <w:t>751,491,654.17</w:t>
            </w:r>
            <w:r>
              <w:rPr>
                <w:rFonts w:ascii="Times New Roman"/>
                <w:spacing w:val="-1"/>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01"/>
              <w:jc w:val="right"/>
              <w:rPr>
                <w:rFonts w:ascii="Times New Roman" w:hAnsi="Times New Roman" w:cs="Times New Roman" w:eastAsia="Times New Roman" w:hint="default"/>
                <w:sz w:val="18"/>
                <w:szCs w:val="18"/>
              </w:rPr>
            </w:pPr>
            <w:r>
              <w:rPr>
                <w:rFonts w:ascii="Times New Roman"/>
                <w:b/>
                <w:spacing w:val="-1"/>
                <w:sz w:val="18"/>
              </w:rPr>
              <w:t>724,800,295.50</w:t>
            </w:r>
            <w:r>
              <w:rPr>
                <w:rFonts w:ascii="Times New Roman"/>
                <w:spacing w:val="-1"/>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z w:val="18"/>
              </w:rPr>
              <w:t>3.54%</w:t>
            </w:r>
          </w:p>
        </w:tc>
        <w:tc>
          <w:tcPr>
            <w:tcW w:w="19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4"/>
        <w:spacing w:line="240" w:lineRule="auto" w:before="26"/>
        <w:ind w:left="217" w:right="0"/>
        <w:jc w:val="left"/>
        <w:rPr>
          <w:b w:val="0"/>
          <w:bCs w:val="0"/>
        </w:rPr>
      </w:pPr>
      <w:r>
        <w:rPr/>
        <w:pict>
          <v:group style="position:absolute;margin-left:58.68pt;margin-top:-88.984383pt;width:54.4pt;height:61.1pt;mso-position-horizontal-relative:page;mso-position-vertical-relative:paragraph;z-index:-918520" coordorigin="1174,-1780" coordsize="1088,1222">
            <v:group style="position:absolute;left:1174;top:-1780;width:1088;height:140" coordorigin="1174,-1780" coordsize="1088,140">
              <v:shape style="position:absolute;left:1174;top:-1780;width:1088;height:140" coordorigin="1174,-1780" coordsize="1088,140" path="m1174,-1640l2261,-1640,2261,-1780,1174,-1780,1174,-1640xe" filled="true" fillcolor="#d2d2d2" stroked="false">
                <v:path arrowok="t"/>
                <v:fill type="solid"/>
              </v:shape>
            </v:group>
            <v:group style="position:absolute;left:1174;top:-1641;width:104;height:623" coordorigin="1174,-1641" coordsize="104,623">
              <v:shape style="position:absolute;left:1174;top:-1641;width:104;height:623" coordorigin="1174,-1641" coordsize="104,623" path="m1174,-1018l1277,-1018,1277,-1641,1174,-1641,1174,-1018xe" filled="true" fillcolor="#d2d2d2" stroked="false">
                <v:path arrowok="t"/>
                <v:fill type="solid"/>
              </v:shape>
            </v:group>
            <v:group style="position:absolute;left:2158;top:-1641;width:104;height:623" coordorigin="2158,-1641" coordsize="104,623">
              <v:shape style="position:absolute;left:2158;top:-1641;width:104;height:623" coordorigin="2158,-1641" coordsize="104,623" path="m2158,-1018l2261,-1018,2261,-1641,2158,-1641,2158,-1018xe" filled="true" fillcolor="#d2d2d2" stroked="false">
                <v:path arrowok="t"/>
                <v:fill type="solid"/>
              </v:shape>
            </v:group>
            <v:group style="position:absolute;left:1174;top:-1018;width:1088;height:140" coordorigin="1174,-1018" coordsize="1088,140">
              <v:shape style="position:absolute;left:1174;top:-1018;width:1088;height:140" coordorigin="1174,-1018" coordsize="1088,140" path="m1174,-879l2261,-879,2261,-1018,1174,-1018,1174,-879xe" filled="true" fillcolor="#d2d2d2" stroked="false">
                <v:path arrowok="t"/>
                <v:fill type="solid"/>
              </v:shape>
            </v:group>
            <v:group style="position:absolute;left:1277;top:-1641;width:881;height:313" coordorigin="1277,-1641" coordsize="881,313">
              <v:shape style="position:absolute;left:1277;top:-1641;width:881;height:313" coordorigin="1277,-1641" coordsize="881,313" path="m1277,-1328l2158,-1328,2158,-1641,1277,-1641,1277,-1328xe" filled="true" fillcolor="#d2d2d2" stroked="false">
                <v:path arrowok="t"/>
                <v:fill type="solid"/>
              </v:shape>
            </v:group>
            <v:group style="position:absolute;left:1277;top:-1328;width:881;height:310" coordorigin="1277,-1328" coordsize="881,310">
              <v:shape style="position:absolute;left:1277;top:-1328;width:881;height:310" coordorigin="1277,-1328" coordsize="881,310" path="m1277,-1018l2158,-1018,2158,-1328,1277,-1328,1277,-1018xe" filled="true" fillcolor="#d2d2d2" stroked="false">
                <v:path arrowok="t"/>
                <v:fill type="solid"/>
              </v:shape>
            </v:group>
            <v:group style="position:absolute;left:1174;top:-870;width:104;height:312" coordorigin="1174,-870" coordsize="104,312">
              <v:shape style="position:absolute;left:1174;top:-870;width:104;height:312" coordorigin="1174,-870" coordsize="104,312" path="m1174,-558l1277,-558,1277,-870,1174,-870,1174,-558xe" filled="true" fillcolor="#d2d2d2" stroked="false">
                <v:path arrowok="t"/>
                <v:fill type="solid"/>
              </v:shape>
            </v:group>
            <v:group style="position:absolute;left:2158;top:-870;width:104;height:312" coordorigin="2158,-870" coordsize="104,312">
              <v:shape style="position:absolute;left:2158;top:-870;width:104;height:312" coordorigin="2158,-870" coordsize="104,312" path="m2158,-558l2261,-558,2261,-870,2158,-870,2158,-558xe" filled="true" fillcolor="#d2d2d2" stroked="false">
                <v:path arrowok="t"/>
                <v:fill type="solid"/>
              </v:shape>
            </v:group>
            <v:group style="position:absolute;left:1277;top:-870;width:881;height:312" coordorigin="1277,-870" coordsize="881,312">
              <v:shape style="position:absolute;left:1277;top:-870;width:881;height:312" coordorigin="1277,-870" coordsize="881,312" path="m1277,-558l2158,-558,2158,-870,1277,-870,1277,-558xe" filled="true" fillcolor="#d2d2d2" stroked="false">
                <v:path arrowok="t"/>
                <v:fill type="solid"/>
              </v:shape>
            </v:group>
            <w10:wrap type="none"/>
          </v:group>
        </w:pict>
      </w:r>
      <w:r>
        <w:rPr/>
        <w:t>（</w:t>
      </w:r>
      <w:r>
        <w:rPr>
          <w:rFonts w:ascii="Times New Roman" w:hAnsi="Times New Roman" w:cs="Times New Roman" w:eastAsia="Times New Roman" w:hint="default"/>
        </w:rPr>
        <w:t>3</w:t>
      </w:r>
      <w:r>
        <w:rPr/>
        <w:t>）以公允价值计量的资产和负债</w:t>
      </w:r>
      <w:r>
        <w:rPr>
          <w:b w:val="0"/>
          <w:bCs w:val="0"/>
        </w:rPr>
      </w:r>
    </w:p>
    <w:p>
      <w:pPr>
        <w:spacing w:line="240" w:lineRule="auto" w:before="6"/>
        <w:rPr>
          <w:rFonts w:ascii="宋体" w:hAnsi="宋体" w:cs="宋体" w:eastAsia="宋体" w:hint="default"/>
          <w:b/>
          <w:bCs/>
          <w:sz w:val="27"/>
          <w:szCs w:val="27"/>
        </w:rPr>
      </w:pPr>
    </w:p>
    <w:p>
      <w:pPr>
        <w:pStyle w:val="BodyText"/>
        <w:spacing w:line="240" w:lineRule="auto"/>
        <w:ind w:left="697" w:right="0"/>
        <w:jc w:val="left"/>
      </w:pPr>
      <w:r>
        <w:rPr/>
        <w:t>报告期内公司主要资产计量属性是否发生重大变化</w:t>
      </w:r>
    </w:p>
    <w:p>
      <w:pPr>
        <w:pStyle w:val="BodyText"/>
        <w:spacing w:line="240" w:lineRule="auto" w:before="154"/>
        <w:ind w:left="697"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line="240" w:lineRule="auto" w:before="6"/>
        <w:rPr>
          <w:rFonts w:ascii="宋体" w:hAnsi="宋体" w:cs="宋体" w:eastAsia="宋体" w:hint="default"/>
          <w:sz w:val="27"/>
          <w:szCs w:val="27"/>
        </w:rPr>
      </w:pPr>
    </w:p>
    <w:p>
      <w:pPr>
        <w:spacing w:line="456" w:lineRule="auto" w:before="0"/>
        <w:ind w:left="217" w:right="5149" w:firstLine="0"/>
        <w:jc w:val="left"/>
        <w:rPr>
          <w:rFonts w:ascii="宋体" w:hAnsi="宋体" w:cs="宋体" w:eastAsia="宋体" w:hint="default"/>
          <w:sz w:val="24"/>
          <w:szCs w:val="24"/>
        </w:rPr>
      </w:pPr>
      <w:bookmarkStart w:name="_bookmark17" w:id="18"/>
      <w:bookmarkEnd w:id="18"/>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、公司竞争能力重大变化分析</w:t>
      </w:r>
      <w:r>
        <w:rPr>
          <w:rFonts w:ascii="宋体" w:hAnsi="宋体" w:cs="宋体" w:eastAsia="宋体" w:hint="default"/>
          <w:b/>
          <w:bCs/>
          <w:w w:val="99"/>
          <w:sz w:val="24"/>
          <w:szCs w:val="24"/>
        </w:rPr>
        <w:t> </w:t>
      </w:r>
      <w:r>
        <w:rPr>
          <w:rFonts w:ascii="宋体" w:hAnsi="宋体" w:cs="宋体" w:eastAsia="宋体" w:hint="default"/>
          <w:sz w:val="24"/>
          <w:szCs w:val="24"/>
        </w:rPr>
        <w:t>报告期内，公司竞争能力未发生重大变化。 </w:t>
      </w:r>
      <w:bookmarkStart w:name="_bookmark18" w:id="19"/>
      <w:bookmarkEnd w:id="19"/>
      <w:r>
        <w:rPr>
          <w:rFonts w:ascii="宋体" w:hAnsi="宋体" w:cs="宋体" w:eastAsia="宋体" w:hint="default"/>
          <w:sz w:val="24"/>
          <w:szCs w:val="24"/>
        </w:rPr>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、投资状况分析</w:t>
      </w:r>
      <w:r>
        <w:rPr>
          <w:rFonts w:ascii="宋体" w:hAnsi="宋体" w:cs="宋体" w:eastAsia="宋体" w:hint="default"/>
          <w:sz w:val="24"/>
          <w:szCs w:val="24"/>
        </w:rPr>
      </w:r>
    </w:p>
    <w:p>
      <w:pPr>
        <w:pStyle w:val="Heading4"/>
        <w:spacing w:line="240" w:lineRule="auto" w:before="43"/>
        <w:ind w:left="217"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7"/>
        <w:rPr>
          <w:rFonts w:ascii="宋体" w:hAnsi="宋体" w:cs="宋体" w:eastAsia="宋体" w:hint="default"/>
          <w:b/>
          <w:bCs/>
          <w:sz w:val="20"/>
          <w:szCs w:val="20"/>
        </w:rPr>
      </w:pPr>
    </w:p>
    <w:p>
      <w:pPr>
        <w:spacing w:before="36"/>
        <w:ind w:left="0" w:right="226"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0"/>
        <w:rPr>
          <w:rFonts w:ascii="宋体" w:hAnsi="宋体" w:cs="宋体" w:eastAsia="宋体" w:hint="default"/>
          <w:sz w:val="3"/>
          <w:szCs w:val="3"/>
        </w:rPr>
      </w:pPr>
    </w:p>
    <w:tbl>
      <w:tblPr>
        <w:tblW w:w="0" w:type="auto"/>
        <w:jc w:val="left"/>
        <w:tblInd w:w="183" w:type="dxa"/>
        <w:tblLayout w:type="fixed"/>
        <w:tblCellMar>
          <w:top w:w="0" w:type="dxa"/>
          <w:left w:w="0" w:type="dxa"/>
          <w:bottom w:w="0" w:type="dxa"/>
          <w:right w:w="0" w:type="dxa"/>
        </w:tblCellMar>
        <w:tblLook w:val="01E0"/>
      </w:tblPr>
      <w:tblGrid>
        <w:gridCol w:w="4083"/>
        <w:gridCol w:w="5471"/>
      </w:tblGrid>
      <w:tr>
        <w:trPr>
          <w:trHeight w:val="324" w:hRule="exact"/>
        </w:trPr>
        <w:tc>
          <w:tcPr>
            <w:tcW w:w="4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1"/>
                <w:szCs w:val="21"/>
              </w:rPr>
            </w:pPr>
            <w:r>
              <w:rPr>
                <w:rFonts w:ascii="宋体" w:hAnsi="宋体" w:cs="宋体" w:eastAsia="宋体" w:hint="default"/>
                <w:sz w:val="21"/>
                <w:szCs w:val="21"/>
              </w:rPr>
              <w:t>募集资金总额</w:t>
            </w:r>
          </w:p>
        </w:tc>
        <w:tc>
          <w:tcPr>
            <w:tcW w:w="54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6"/>
              <w:ind w:left="7" w:right="0"/>
              <w:jc w:val="center"/>
              <w:rPr>
                <w:rFonts w:ascii="Times New Roman" w:hAnsi="Times New Roman" w:cs="Times New Roman" w:eastAsia="Times New Roman" w:hint="default"/>
                <w:sz w:val="21"/>
                <w:szCs w:val="21"/>
              </w:rPr>
            </w:pPr>
            <w:r>
              <w:rPr>
                <w:rFonts w:ascii="Times New Roman"/>
                <w:sz w:val="21"/>
              </w:rPr>
              <w:t>34,257.37</w:t>
            </w:r>
          </w:p>
        </w:tc>
      </w:tr>
      <w:tr>
        <w:trPr>
          <w:trHeight w:val="322" w:hRule="exact"/>
        </w:trPr>
        <w:tc>
          <w:tcPr>
            <w:tcW w:w="4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center"/>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54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15,386.66</w:t>
            </w:r>
          </w:p>
        </w:tc>
      </w:tr>
      <w:tr>
        <w:trPr>
          <w:trHeight w:val="322" w:hRule="exact"/>
        </w:trPr>
        <w:tc>
          <w:tcPr>
            <w:tcW w:w="4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center"/>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54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7" w:right="0"/>
              <w:jc w:val="center"/>
              <w:rPr>
                <w:rFonts w:ascii="Times New Roman" w:hAnsi="Times New Roman" w:cs="Times New Roman" w:eastAsia="Times New Roman" w:hint="default"/>
                <w:sz w:val="21"/>
                <w:szCs w:val="21"/>
              </w:rPr>
            </w:pPr>
            <w:r>
              <w:rPr>
                <w:rFonts w:ascii="Times New Roman"/>
                <w:sz w:val="21"/>
              </w:rPr>
              <w:t>28,266.66</w:t>
            </w:r>
          </w:p>
        </w:tc>
      </w:tr>
      <w:tr>
        <w:trPr>
          <w:trHeight w:val="322" w:hRule="exact"/>
        </w:trPr>
        <w:tc>
          <w:tcPr>
            <w:tcW w:w="4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center"/>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54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9" w:right="0"/>
              <w:jc w:val="center"/>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4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4" w:right="0"/>
              <w:jc w:val="center"/>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54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9" w:right="0"/>
              <w:jc w:val="center"/>
              <w:rPr>
                <w:rFonts w:ascii="Times New Roman" w:hAnsi="Times New Roman" w:cs="Times New Roman" w:eastAsia="Times New Roman" w:hint="default"/>
                <w:sz w:val="21"/>
                <w:szCs w:val="21"/>
              </w:rPr>
            </w:pPr>
            <w:r>
              <w:rPr>
                <w:rFonts w:ascii="Times New Roman"/>
                <w:sz w:val="21"/>
              </w:rPr>
              <w:t>0.00</w:t>
            </w:r>
          </w:p>
        </w:tc>
      </w:tr>
      <w:tr>
        <w:trPr>
          <w:trHeight w:val="329" w:hRule="exact"/>
        </w:trPr>
        <w:tc>
          <w:tcPr>
            <w:tcW w:w="4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center"/>
              <w:rPr>
                <w:rFonts w:ascii="宋体" w:hAnsi="宋体" w:cs="宋体" w:eastAsia="宋体" w:hint="default"/>
                <w:sz w:val="21"/>
                <w:szCs w:val="21"/>
              </w:rPr>
            </w:pPr>
            <w:r>
              <w:rPr>
                <w:rFonts w:ascii="宋体" w:hAnsi="宋体" w:cs="宋体" w:eastAsia="宋体" w:hint="default"/>
                <w:sz w:val="21"/>
                <w:szCs w:val="21"/>
              </w:rPr>
              <w:t>累计变更用途的募集资金总额比例（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47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9" w:right="0"/>
              <w:jc w:val="center"/>
              <w:rPr>
                <w:rFonts w:ascii="Times New Roman" w:hAnsi="Times New Roman" w:cs="Times New Roman" w:eastAsia="Times New Roman" w:hint="default"/>
                <w:sz w:val="21"/>
                <w:szCs w:val="21"/>
              </w:rPr>
            </w:pPr>
            <w:r>
              <w:rPr>
                <w:rFonts w:ascii="Times New Roman"/>
                <w:sz w:val="21"/>
              </w:rPr>
              <w:t>0.00</w:t>
            </w:r>
          </w:p>
        </w:tc>
      </w:tr>
      <w:tr>
        <w:trPr>
          <w:trHeight w:val="317" w:hRule="exact"/>
        </w:trPr>
        <w:tc>
          <w:tcPr>
            <w:tcW w:w="95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 w:right="0"/>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1726" w:hRule="exact"/>
        </w:trPr>
        <w:tc>
          <w:tcPr>
            <w:tcW w:w="9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4" w:right="16" w:firstLine="420"/>
              <w:jc w:val="left"/>
              <w:rPr>
                <w:rFonts w:ascii="宋体" w:hAnsi="宋体" w:cs="宋体" w:eastAsia="宋体" w:hint="default"/>
                <w:sz w:val="21"/>
                <w:szCs w:val="21"/>
              </w:rPr>
            </w:pPr>
            <w:r>
              <w:rPr>
                <w:rFonts w:ascii="宋体" w:hAnsi="宋体" w:cs="宋体" w:eastAsia="宋体" w:hint="default"/>
                <w:spacing w:val="-3"/>
                <w:sz w:val="21"/>
                <w:szCs w:val="21"/>
              </w:rPr>
              <w:t>截至</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12</w:t>
            </w:r>
            <w:r>
              <w:rPr>
                <w:rFonts w:ascii="宋体" w:hAnsi="宋体" w:cs="宋体" w:eastAsia="宋体" w:hint="default"/>
                <w:spacing w:val="-3"/>
                <w:sz w:val="21"/>
                <w:szCs w:val="21"/>
              </w:rPr>
              <w:t>月</w:t>
            </w:r>
            <w:r>
              <w:rPr>
                <w:rFonts w:ascii="Times New Roman" w:hAnsi="Times New Roman" w:cs="Times New Roman" w:eastAsia="Times New Roman" w:hint="default"/>
                <w:spacing w:val="-3"/>
                <w:sz w:val="21"/>
                <w:szCs w:val="21"/>
              </w:rPr>
              <w:t>31</w:t>
            </w:r>
            <w:r>
              <w:rPr>
                <w:rFonts w:ascii="宋体" w:hAnsi="宋体" w:cs="宋体" w:eastAsia="宋体" w:hint="default"/>
                <w:spacing w:val="-3"/>
                <w:sz w:val="21"/>
                <w:szCs w:val="21"/>
              </w:rPr>
              <w:t>日，本公司募集资金累计投入募投项目</w:t>
            </w:r>
            <w:r>
              <w:rPr>
                <w:rFonts w:ascii="Times New Roman" w:hAnsi="Times New Roman" w:cs="Times New Roman" w:eastAsia="Times New Roman" w:hint="default"/>
                <w:spacing w:val="-3"/>
                <w:sz w:val="21"/>
                <w:szCs w:val="21"/>
              </w:rPr>
              <w:t>28,266.66</w:t>
            </w:r>
            <w:r>
              <w:rPr>
                <w:rFonts w:ascii="宋体" w:hAnsi="宋体" w:cs="宋体" w:eastAsia="宋体" w:hint="default"/>
                <w:spacing w:val="-3"/>
                <w:sz w:val="21"/>
                <w:szCs w:val="21"/>
              </w:rPr>
              <w:t>万元，其中</w:t>
            </w:r>
            <w:r>
              <w:rPr>
                <w:rFonts w:ascii="Times New Roman" w:hAnsi="Times New Roman" w:cs="Times New Roman" w:eastAsia="Times New Roman" w:hint="default"/>
                <w:spacing w:val="-3"/>
                <w:sz w:val="21"/>
                <w:szCs w:val="21"/>
              </w:rPr>
              <w:t>GIS</w:t>
            </w:r>
            <w:r>
              <w:rPr>
                <w:rFonts w:ascii="宋体" w:hAnsi="宋体" w:cs="宋体" w:eastAsia="宋体" w:hint="default"/>
                <w:spacing w:val="-3"/>
                <w:sz w:val="21"/>
                <w:szCs w:val="21"/>
              </w:rPr>
              <w:t>基础平台研发升级</w:t>
            </w:r>
            <w:r>
              <w:rPr>
                <w:rFonts w:ascii="宋体" w:hAnsi="宋体" w:cs="宋体" w:eastAsia="宋体" w:hint="default"/>
                <w:w w:val="100"/>
                <w:sz w:val="21"/>
                <w:szCs w:val="21"/>
              </w:rPr>
              <w:t> </w:t>
            </w:r>
            <w:r>
              <w:rPr>
                <w:rFonts w:ascii="宋体" w:hAnsi="宋体" w:cs="宋体" w:eastAsia="宋体" w:hint="default"/>
                <w:spacing w:val="-3"/>
                <w:sz w:val="21"/>
                <w:szCs w:val="21"/>
              </w:rPr>
              <w:t>项目累计投入</w:t>
            </w:r>
            <w:r>
              <w:rPr>
                <w:rFonts w:ascii="Times New Roman" w:hAnsi="Times New Roman" w:cs="Times New Roman" w:eastAsia="Times New Roman" w:hint="default"/>
                <w:spacing w:val="-3"/>
                <w:sz w:val="21"/>
                <w:szCs w:val="21"/>
              </w:rPr>
              <w:t>7,697.08</w:t>
            </w:r>
            <w:r>
              <w:rPr>
                <w:rFonts w:ascii="宋体" w:hAnsi="宋体" w:cs="宋体" w:eastAsia="宋体" w:hint="default"/>
                <w:spacing w:val="-3"/>
                <w:sz w:val="21"/>
                <w:szCs w:val="21"/>
              </w:rPr>
              <w:t>万元、</w:t>
            </w:r>
            <w:r>
              <w:rPr>
                <w:rFonts w:ascii="Times New Roman" w:hAnsi="Times New Roman" w:cs="Times New Roman" w:eastAsia="Times New Roman" w:hint="default"/>
                <w:spacing w:val="-3"/>
                <w:sz w:val="21"/>
                <w:szCs w:val="21"/>
              </w:rPr>
              <w:t>GIS</w:t>
            </w:r>
            <w:r>
              <w:rPr>
                <w:rFonts w:ascii="宋体" w:hAnsi="宋体" w:cs="宋体" w:eastAsia="宋体" w:hint="default"/>
                <w:spacing w:val="-3"/>
                <w:sz w:val="21"/>
                <w:szCs w:val="21"/>
              </w:rPr>
              <w:t>应用平台软件系列研发升级项目累计投入</w:t>
            </w:r>
            <w:r>
              <w:rPr>
                <w:rFonts w:ascii="Times New Roman" w:hAnsi="Times New Roman" w:cs="Times New Roman" w:eastAsia="Times New Roman" w:hint="default"/>
                <w:spacing w:val="-3"/>
                <w:sz w:val="21"/>
                <w:szCs w:val="21"/>
              </w:rPr>
              <w:t>3,843.00</w:t>
            </w:r>
            <w:r>
              <w:rPr>
                <w:rFonts w:ascii="宋体" w:hAnsi="宋体" w:cs="宋体" w:eastAsia="宋体" w:hint="default"/>
                <w:spacing w:val="-3"/>
                <w:sz w:val="21"/>
                <w:szCs w:val="21"/>
              </w:rPr>
              <w:t>万元、日本超图株式会</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社的部份股权收购累计投入</w:t>
            </w:r>
            <w:r>
              <w:rPr>
                <w:rFonts w:ascii="Times New Roman" w:hAnsi="Times New Roman" w:cs="Times New Roman" w:eastAsia="Times New Roman" w:hint="default"/>
                <w:sz w:val="21"/>
                <w:szCs w:val="21"/>
              </w:rPr>
              <w:t>1,710.21</w:t>
            </w:r>
            <w:r>
              <w:rPr>
                <w:rFonts w:ascii="宋体" w:hAnsi="宋体" w:cs="宋体" w:eastAsia="宋体" w:hint="default"/>
                <w:sz w:val="21"/>
                <w:szCs w:val="21"/>
              </w:rPr>
              <w:t>万元、购置总部研发办公大楼投入</w:t>
            </w:r>
            <w:r>
              <w:rPr>
                <w:rFonts w:ascii="Times New Roman" w:hAnsi="Times New Roman" w:cs="Times New Roman" w:eastAsia="Times New Roman" w:hint="default"/>
                <w:sz w:val="21"/>
                <w:szCs w:val="21"/>
              </w:rPr>
              <w:t>8,000</w:t>
            </w:r>
            <w:r>
              <w:rPr>
                <w:rFonts w:ascii="宋体" w:hAnsi="宋体" w:cs="宋体" w:eastAsia="宋体" w:hint="default"/>
                <w:sz w:val="21"/>
                <w:szCs w:val="21"/>
              </w:rPr>
              <w:t>万元、成都技术中心建设投</w:t>
            </w:r>
            <w:r>
              <w:rPr>
                <w:rFonts w:ascii="宋体" w:hAnsi="宋体" w:cs="宋体" w:eastAsia="宋体" w:hint="default"/>
                <w:w w:val="100"/>
                <w:sz w:val="21"/>
                <w:szCs w:val="21"/>
              </w:rPr>
              <w:t> </w:t>
            </w:r>
            <w:r>
              <w:rPr>
                <w:rFonts w:ascii="宋体" w:hAnsi="宋体" w:cs="宋体" w:eastAsia="宋体" w:hint="default"/>
                <w:spacing w:val="-2"/>
                <w:sz w:val="21"/>
                <w:szCs w:val="21"/>
              </w:rPr>
              <w:t>入</w:t>
            </w:r>
            <w:r>
              <w:rPr>
                <w:rFonts w:ascii="Times New Roman" w:hAnsi="Times New Roman" w:cs="Times New Roman" w:eastAsia="Times New Roman" w:hint="default"/>
                <w:spacing w:val="-2"/>
                <w:sz w:val="21"/>
                <w:szCs w:val="21"/>
              </w:rPr>
              <w:t>2,073.58</w:t>
            </w:r>
            <w:r>
              <w:rPr>
                <w:rFonts w:ascii="宋体" w:hAnsi="宋体" w:cs="宋体" w:eastAsia="宋体" w:hint="default"/>
                <w:spacing w:val="-2"/>
                <w:sz w:val="21"/>
                <w:szCs w:val="21"/>
              </w:rPr>
              <w:t>万元、承接西安市数字化“城市管理”信息系统建设项目累计投入</w:t>
            </w:r>
            <w:r>
              <w:rPr>
                <w:rFonts w:ascii="Times New Roman" w:hAnsi="Times New Roman" w:cs="Times New Roman" w:eastAsia="Times New Roman" w:hint="default"/>
                <w:spacing w:val="-2"/>
                <w:sz w:val="21"/>
                <w:szCs w:val="21"/>
              </w:rPr>
              <w:t>637.18</w:t>
            </w:r>
            <w:r>
              <w:rPr>
                <w:rFonts w:ascii="宋体" w:hAnsi="宋体" w:cs="宋体" w:eastAsia="宋体" w:hint="default"/>
                <w:spacing w:val="-2"/>
                <w:sz w:val="21"/>
                <w:szCs w:val="21"/>
              </w:rPr>
              <w:t>万元、补充流动资金</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Times New Roman" w:hAnsi="Times New Roman" w:cs="Times New Roman" w:eastAsia="Times New Roman" w:hint="default"/>
                <w:sz w:val="21"/>
                <w:szCs w:val="21"/>
              </w:rPr>
              <w:t>4,000</w:t>
            </w:r>
            <w:r>
              <w:rPr>
                <w:rFonts w:ascii="宋体" w:hAnsi="宋体" w:cs="宋体" w:eastAsia="宋体" w:hint="default"/>
                <w:sz w:val="21"/>
                <w:szCs w:val="21"/>
              </w:rPr>
              <w:t>万元、建设移动地理信息平台产品及整体解决方案研发与产业化项目</w:t>
            </w:r>
            <w:r>
              <w:rPr>
                <w:rFonts w:ascii="Times New Roman" w:hAnsi="Times New Roman" w:cs="Times New Roman" w:eastAsia="Times New Roman" w:hint="default"/>
                <w:sz w:val="21"/>
                <w:szCs w:val="21"/>
              </w:rPr>
              <w:t>305.61</w:t>
            </w:r>
            <w:r>
              <w:rPr>
                <w:rFonts w:ascii="宋体" w:hAnsi="宋体" w:cs="宋体" w:eastAsia="宋体" w:hint="default"/>
                <w:sz w:val="21"/>
                <w:szCs w:val="21"/>
              </w:rPr>
              <w:t>万元。</w:t>
            </w:r>
          </w:p>
        </w:tc>
      </w:tr>
    </w:tbl>
    <w:p>
      <w:pPr>
        <w:spacing w:after="0" w:line="256" w:lineRule="auto"/>
        <w:jc w:val="left"/>
        <w:rPr>
          <w:rFonts w:ascii="宋体" w:hAnsi="宋体" w:cs="宋体" w:eastAsia="宋体" w:hint="default"/>
          <w:sz w:val="21"/>
          <w:szCs w:val="21"/>
        </w:rPr>
        <w:sectPr>
          <w:pgSz w:w="11910" w:h="16840"/>
          <w:pgMar w:header="884" w:footer="1007" w:top="1100" w:bottom="1200" w:left="1060" w:right="900"/>
        </w:sectPr>
      </w:pPr>
    </w:p>
    <w:p>
      <w:pPr>
        <w:spacing w:line="240" w:lineRule="auto" w:before="1"/>
        <w:rPr>
          <w:rFonts w:ascii="宋体" w:hAnsi="宋体" w:cs="宋体" w:eastAsia="宋体" w:hint="default"/>
          <w:sz w:val="27"/>
          <w:szCs w:val="27"/>
        </w:rPr>
      </w:pPr>
    </w:p>
    <w:p>
      <w:pPr>
        <w:pStyle w:val="Heading4"/>
        <w:spacing w:line="240" w:lineRule="auto" w:before="26"/>
        <w:ind w:left="240"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7"/>
        <w:rPr>
          <w:rFonts w:ascii="宋体" w:hAnsi="宋体" w:cs="宋体" w:eastAsia="宋体" w:hint="default"/>
          <w:b/>
          <w:bCs/>
          <w:sz w:val="20"/>
          <w:szCs w:val="20"/>
        </w:rPr>
      </w:pPr>
    </w:p>
    <w:p>
      <w:pPr>
        <w:spacing w:before="36"/>
        <w:ind w:left="0" w:right="493" w:firstLine="0"/>
        <w:jc w:val="right"/>
        <w:rPr>
          <w:rFonts w:ascii="宋体" w:hAnsi="宋体" w:cs="宋体" w:eastAsia="宋体" w:hint="default"/>
          <w:sz w:val="21"/>
          <w:szCs w:val="21"/>
        </w:rPr>
      </w:pPr>
      <w:r>
        <w:rPr>
          <w:rFonts w:ascii="宋体" w:hAnsi="宋体" w:cs="宋体" w:eastAsia="宋体" w:hint="default"/>
          <w:spacing w:val="-1"/>
          <w:sz w:val="21"/>
          <w:szCs w:val="21"/>
        </w:rPr>
        <w:t>单位：万元</w:t>
      </w:r>
    </w:p>
    <w:p>
      <w:pPr>
        <w:spacing w:line="240" w:lineRule="auto" w:before="10"/>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1654"/>
        <w:gridCol w:w="763"/>
        <w:gridCol w:w="182"/>
        <w:gridCol w:w="970"/>
        <w:gridCol w:w="1136"/>
        <w:gridCol w:w="1159"/>
        <w:gridCol w:w="1220"/>
        <w:gridCol w:w="1140"/>
        <w:gridCol w:w="1222"/>
        <w:gridCol w:w="922"/>
        <w:gridCol w:w="1190"/>
        <w:gridCol w:w="1140"/>
        <w:gridCol w:w="821"/>
        <w:gridCol w:w="912"/>
      </w:tblGrid>
      <w:tr>
        <w:trPr>
          <w:trHeight w:val="336" w:hRule="exact"/>
        </w:trPr>
        <w:tc>
          <w:tcPr>
            <w:tcW w:w="4705" w:type="dxa"/>
            <w:gridSpan w:val="5"/>
            <w:tcBorders>
              <w:top w:val="single" w:sz="12"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3519" w:type="dxa"/>
            <w:gridSpan w:val="3"/>
            <w:tcBorders>
              <w:top w:val="single" w:sz="12" w:space="0" w:color="000000"/>
              <w:left w:val="single" w:sz="6" w:space="0" w:color="000000"/>
              <w:bottom w:val="single" w:sz="6" w:space="0" w:color="000000"/>
              <w:right w:val="single" w:sz="6"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34,257.37</w:t>
            </w:r>
          </w:p>
        </w:tc>
        <w:tc>
          <w:tcPr>
            <w:tcW w:w="4474" w:type="dxa"/>
            <w:gridSpan w:val="4"/>
            <w:vMerge w:val="restart"/>
            <w:tcBorders>
              <w:top w:val="single" w:sz="12" w:space="0" w:color="000000"/>
              <w:left w:val="single" w:sz="6" w:space="0" w:color="000000"/>
              <w:right w:val="single" w:sz="6" w:space="0" w:color="000000"/>
            </w:tcBorders>
            <w:shd w:val="clear" w:color="auto" w:fill="CCCCCC"/>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238" w:right="0"/>
              <w:jc w:val="left"/>
              <w:rPr>
                <w:rFonts w:ascii="宋体" w:hAnsi="宋体" w:cs="宋体" w:eastAsia="宋体" w:hint="default"/>
                <w:sz w:val="18"/>
                <w:szCs w:val="18"/>
              </w:rPr>
            </w:pPr>
            <w:r>
              <w:rPr>
                <w:rFonts w:ascii="宋体" w:hAnsi="宋体" w:cs="宋体" w:eastAsia="宋体" w:hint="default"/>
                <w:sz w:val="18"/>
                <w:szCs w:val="18"/>
              </w:rPr>
              <w:t>本年度投入募集资金总额</w:t>
            </w:r>
          </w:p>
        </w:tc>
        <w:tc>
          <w:tcPr>
            <w:tcW w:w="1733" w:type="dxa"/>
            <w:gridSpan w:val="2"/>
            <w:vMerge w:val="restart"/>
            <w:tcBorders>
              <w:top w:val="single" w:sz="12" w:space="0" w:color="000000"/>
              <w:left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897" w:right="0"/>
              <w:jc w:val="left"/>
              <w:rPr>
                <w:rFonts w:ascii="Times New Roman" w:hAnsi="Times New Roman" w:cs="Times New Roman" w:eastAsia="Times New Roman" w:hint="default"/>
                <w:sz w:val="18"/>
                <w:szCs w:val="18"/>
              </w:rPr>
            </w:pPr>
            <w:r>
              <w:rPr>
                <w:rFonts w:ascii="Times New Roman"/>
                <w:sz w:val="18"/>
              </w:rPr>
              <w:t>15,386.66</w:t>
            </w:r>
          </w:p>
        </w:tc>
      </w:tr>
      <w:tr>
        <w:trPr>
          <w:trHeight w:val="326" w:hRule="exact"/>
        </w:trPr>
        <w:tc>
          <w:tcPr>
            <w:tcW w:w="4705" w:type="dxa"/>
            <w:gridSpan w:val="5"/>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
              <w:ind w:left="986"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351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4474" w:type="dxa"/>
            <w:gridSpan w:val="4"/>
            <w:vMerge/>
            <w:tcBorders>
              <w:left w:val="single" w:sz="6" w:space="0" w:color="000000"/>
              <w:bottom w:val="single" w:sz="6" w:space="0" w:color="000000"/>
              <w:right w:val="single" w:sz="6" w:space="0" w:color="000000"/>
            </w:tcBorders>
            <w:shd w:val="clear" w:color="auto" w:fill="CCCCCC"/>
          </w:tcPr>
          <w:p>
            <w:pPr/>
          </w:p>
        </w:tc>
        <w:tc>
          <w:tcPr>
            <w:tcW w:w="1733" w:type="dxa"/>
            <w:gridSpan w:val="2"/>
            <w:vMerge/>
            <w:tcBorders>
              <w:left w:val="single" w:sz="6" w:space="0" w:color="000000"/>
              <w:bottom w:val="single" w:sz="6" w:space="0" w:color="000000"/>
              <w:right w:val="single" w:sz="12" w:space="0" w:color="000000"/>
            </w:tcBorders>
          </w:tcPr>
          <w:p>
            <w:pPr/>
          </w:p>
        </w:tc>
      </w:tr>
      <w:tr>
        <w:trPr>
          <w:trHeight w:val="326" w:hRule="exact"/>
        </w:trPr>
        <w:tc>
          <w:tcPr>
            <w:tcW w:w="4705" w:type="dxa"/>
            <w:gridSpan w:val="5"/>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
              <w:ind w:left="1166"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351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4474" w:type="dxa"/>
            <w:gridSpan w:val="4"/>
            <w:vMerge w:val="restart"/>
            <w:tcBorders>
              <w:top w:val="single" w:sz="6" w:space="0" w:color="000000"/>
              <w:left w:val="single" w:sz="6" w:space="0" w:color="000000"/>
              <w:right w:val="single" w:sz="6" w:space="0" w:color="000000"/>
            </w:tcBorders>
            <w:shd w:val="clear" w:color="auto" w:fill="CCCCCC"/>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38"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1733" w:type="dxa"/>
            <w:gridSpan w:val="2"/>
            <w:vMerge w:val="restart"/>
            <w:tcBorders>
              <w:top w:val="single" w:sz="6" w:space="0" w:color="000000"/>
              <w:left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897" w:right="0"/>
              <w:jc w:val="left"/>
              <w:rPr>
                <w:rFonts w:ascii="Times New Roman" w:hAnsi="Times New Roman" w:cs="Times New Roman" w:eastAsia="Times New Roman" w:hint="default"/>
                <w:sz w:val="18"/>
                <w:szCs w:val="18"/>
              </w:rPr>
            </w:pPr>
            <w:r>
              <w:rPr>
                <w:rFonts w:ascii="Times New Roman"/>
                <w:sz w:val="18"/>
              </w:rPr>
              <w:t>28,266.66</w:t>
            </w:r>
          </w:p>
        </w:tc>
      </w:tr>
      <w:tr>
        <w:trPr>
          <w:trHeight w:val="337" w:hRule="exact"/>
        </w:trPr>
        <w:tc>
          <w:tcPr>
            <w:tcW w:w="4705" w:type="dxa"/>
            <w:gridSpan w:val="5"/>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before="8"/>
              <w:ind w:left="986"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351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4474" w:type="dxa"/>
            <w:gridSpan w:val="4"/>
            <w:vMerge/>
            <w:tcBorders>
              <w:left w:val="single" w:sz="6" w:space="0" w:color="000000"/>
              <w:bottom w:val="single" w:sz="6" w:space="0" w:color="000000"/>
              <w:right w:val="single" w:sz="6" w:space="0" w:color="000000"/>
            </w:tcBorders>
            <w:shd w:val="clear" w:color="auto" w:fill="CCCCCC"/>
          </w:tcPr>
          <w:p>
            <w:pPr/>
          </w:p>
        </w:tc>
        <w:tc>
          <w:tcPr>
            <w:tcW w:w="1733" w:type="dxa"/>
            <w:gridSpan w:val="2"/>
            <w:vMerge/>
            <w:tcBorders>
              <w:left w:val="single" w:sz="6" w:space="0" w:color="000000"/>
              <w:bottom w:val="single" w:sz="6" w:space="0" w:color="000000"/>
              <w:right w:val="single" w:sz="12" w:space="0" w:color="000000"/>
            </w:tcBorders>
          </w:tcPr>
          <w:p>
            <w:pPr/>
          </w:p>
        </w:tc>
      </w:tr>
      <w:tr>
        <w:trPr>
          <w:trHeight w:val="1567" w:hRule="exact"/>
        </w:trPr>
        <w:tc>
          <w:tcPr>
            <w:tcW w:w="1654" w:type="dxa"/>
            <w:tcBorders>
              <w:top w:val="single" w:sz="6" w:space="0" w:color="000000"/>
              <w:left w:val="single" w:sz="12"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271" w:right="189" w:hanging="89"/>
              <w:jc w:val="left"/>
              <w:rPr>
                <w:rFonts w:ascii="宋体" w:hAnsi="宋体" w:cs="宋体" w:eastAsia="宋体" w:hint="default"/>
                <w:sz w:val="18"/>
                <w:szCs w:val="18"/>
              </w:rPr>
            </w:pPr>
            <w:r>
              <w:rPr>
                <w:rFonts w:ascii="宋体" w:hAnsi="宋体" w:cs="宋体" w:eastAsia="宋体" w:hint="default"/>
                <w:sz w:val="18"/>
                <w:szCs w:val="18"/>
              </w:rPr>
              <w:t>承诺投资项目和 超募资金投向</w:t>
            </w:r>
          </w:p>
        </w:tc>
        <w:tc>
          <w:tcPr>
            <w:tcW w:w="946"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2" w:lineRule="auto" w:before="157"/>
              <w:ind w:left="100"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97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117" w:right="115"/>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11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调整后投资</w:t>
            </w:r>
          </w:p>
          <w:p>
            <w:pPr>
              <w:pStyle w:val="TableParagraph"/>
              <w:spacing w:line="240" w:lineRule="auto" w:before="76"/>
              <w:ind w:left="66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11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2"/>
              <w:ind w:right="0"/>
              <w:jc w:val="left"/>
              <w:rPr>
                <w:rFonts w:ascii="宋体" w:hAnsi="宋体" w:cs="宋体" w:eastAsia="宋体" w:hint="default"/>
                <w:sz w:val="23"/>
                <w:szCs w:val="23"/>
              </w:rPr>
            </w:pPr>
          </w:p>
          <w:p>
            <w:pPr>
              <w:pStyle w:val="TableParagraph"/>
              <w:spacing w:line="338" w:lineRule="auto"/>
              <w:ind w:left="119"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截至期末承 诺投入金额 </w:t>
            </w:r>
            <w:r>
              <w:rPr>
                <w:rFonts w:ascii="Times New Roman" w:hAnsi="Times New Roman" w:cs="Times New Roman" w:eastAsia="Times New Roman" w:hint="default"/>
                <w:sz w:val="18"/>
                <w:szCs w:val="18"/>
              </w:rPr>
              <w:t>(1)</w:t>
            </w:r>
          </w:p>
        </w:tc>
        <w:tc>
          <w:tcPr>
            <w:tcW w:w="122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422" w:right="149" w:hanging="269"/>
              <w:jc w:val="left"/>
              <w:rPr>
                <w:rFonts w:ascii="宋体" w:hAnsi="宋体" w:cs="宋体" w:eastAsia="宋体" w:hint="default"/>
                <w:sz w:val="18"/>
                <w:szCs w:val="18"/>
              </w:rPr>
            </w:pPr>
            <w:r>
              <w:rPr>
                <w:rFonts w:ascii="宋体" w:hAnsi="宋体" w:cs="宋体" w:eastAsia="宋体" w:hint="default"/>
                <w:sz w:val="18"/>
                <w:szCs w:val="18"/>
              </w:rPr>
              <w:t>本年度投入 金额</w:t>
            </w:r>
          </w:p>
        </w:tc>
        <w:tc>
          <w:tcPr>
            <w:tcW w:w="11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2"/>
              <w:ind w:right="0"/>
              <w:jc w:val="left"/>
              <w:rPr>
                <w:rFonts w:ascii="宋体" w:hAnsi="宋体" w:cs="宋体" w:eastAsia="宋体" w:hint="default"/>
                <w:sz w:val="23"/>
                <w:szCs w:val="23"/>
              </w:rPr>
            </w:pPr>
          </w:p>
          <w:p>
            <w:pPr>
              <w:pStyle w:val="TableParagraph"/>
              <w:spacing w:line="338" w:lineRule="auto"/>
              <w:ind w:left="112"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2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
              <w:ind w:left="153" w:right="15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与承诺投入 金额的差额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9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
              <w:ind w:left="139" w:right="137"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末投入 进度</w:t>
            </w:r>
            <w:r>
              <w:rPr>
                <w:rFonts w:ascii="Times New Roman" w:hAnsi="Times New Roman" w:cs="Times New Roman" w:eastAsia="Times New Roman" w:hint="default"/>
                <w:sz w:val="18"/>
                <w:szCs w:val="18"/>
              </w:rPr>
              <w:t>(%)</w:t>
            </w:r>
          </w:p>
          <w:p>
            <w:pPr>
              <w:pStyle w:val="TableParagraph"/>
              <w:spacing w:line="340" w:lineRule="auto"/>
              <w:ind w:left="218" w:right="215" w:firstLine="4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(2)/(1)</w:t>
            </w:r>
          </w:p>
        </w:tc>
        <w:tc>
          <w:tcPr>
            <w:tcW w:w="11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139" w:right="134"/>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11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157"/>
              <w:ind w:left="112" w:right="110"/>
              <w:jc w:val="center"/>
              <w:rPr>
                <w:rFonts w:ascii="宋体" w:hAnsi="宋体" w:cs="宋体" w:eastAsia="宋体" w:hint="default"/>
                <w:sz w:val="18"/>
                <w:szCs w:val="18"/>
              </w:rPr>
            </w:pPr>
            <w:r>
              <w:rPr>
                <w:rFonts w:ascii="宋体" w:hAnsi="宋体" w:cs="宋体" w:eastAsia="宋体" w:hint="default"/>
                <w:sz w:val="18"/>
                <w:szCs w:val="18"/>
              </w:rPr>
              <w:t>本年度实现 的效益（指 贡献的营业 收入）</w:t>
            </w:r>
          </w:p>
        </w:tc>
        <w:tc>
          <w:tcPr>
            <w:tcW w:w="82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2"/>
              <w:ind w:right="0"/>
              <w:jc w:val="left"/>
              <w:rPr>
                <w:rFonts w:ascii="宋体" w:hAnsi="宋体" w:cs="宋体" w:eastAsia="宋体" w:hint="default"/>
                <w:sz w:val="23"/>
                <w:szCs w:val="23"/>
              </w:rPr>
            </w:pPr>
          </w:p>
          <w:p>
            <w:pPr>
              <w:pStyle w:val="TableParagraph"/>
              <w:spacing w:line="316" w:lineRule="auto"/>
              <w:ind w:left="131" w:right="132"/>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912" w:type="dxa"/>
            <w:tcBorders>
              <w:top w:val="single" w:sz="6" w:space="0" w:color="000000"/>
              <w:left w:val="single" w:sz="6" w:space="0" w:color="000000"/>
              <w:bottom w:val="single" w:sz="6" w:space="0" w:color="000000"/>
              <w:right w:val="single" w:sz="12" w:space="0" w:color="000000"/>
            </w:tcBorders>
            <w:shd w:val="clear" w:color="auto" w:fill="BEBEBE"/>
          </w:tcPr>
          <w:p>
            <w:pPr>
              <w:pStyle w:val="TableParagraph"/>
              <w:spacing w:line="316" w:lineRule="auto" w:before="1"/>
              <w:ind w:left="177" w:right="170"/>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326" w:hRule="exact"/>
        </w:trPr>
        <w:tc>
          <w:tcPr>
            <w:tcW w:w="14431" w:type="dxa"/>
            <w:gridSpan w:val="14"/>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承诺投资项目</w:t>
            </w:r>
            <w:r>
              <w:rPr>
                <w:rFonts w:ascii="宋体" w:hAnsi="宋体" w:cs="宋体" w:eastAsia="宋体" w:hint="default"/>
                <w:sz w:val="18"/>
                <w:szCs w:val="18"/>
              </w:rPr>
            </w:r>
          </w:p>
        </w:tc>
      </w:tr>
      <w:tr>
        <w:trPr>
          <w:trHeight w:val="951" w:hRule="exact"/>
        </w:trPr>
        <w:tc>
          <w:tcPr>
            <w:tcW w:w="1654" w:type="dxa"/>
            <w:tcBorders>
              <w:top w:val="single" w:sz="6" w:space="0" w:color="000000"/>
              <w:left w:val="single" w:sz="12" w:space="0" w:color="000000"/>
              <w:bottom w:val="single" w:sz="6" w:space="0" w:color="000000"/>
              <w:right w:val="single" w:sz="6" w:space="0" w:color="000000"/>
            </w:tcBorders>
          </w:tcPr>
          <w:p>
            <w:pPr>
              <w:pStyle w:val="TableParagraph"/>
              <w:spacing w:line="309" w:lineRule="auto" w:before="8"/>
              <w:ind w:left="9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基础平台软件 系列研发升级项 目</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05" w:right="0"/>
              <w:jc w:val="left"/>
              <w:rPr>
                <w:rFonts w:ascii="Times New Roman" w:hAnsi="Times New Roman" w:cs="Times New Roman" w:eastAsia="Times New Roman" w:hint="default"/>
                <w:sz w:val="18"/>
                <w:szCs w:val="18"/>
              </w:rPr>
            </w:pPr>
            <w:r>
              <w:rPr>
                <w:rFonts w:ascii="Times New Roman"/>
                <w:sz w:val="18"/>
              </w:rPr>
              <w:t>8,198.00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w w:val="95"/>
                <w:sz w:val="18"/>
              </w:rPr>
              <w:t>8,198.00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8,19800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639.26</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5"/>
                <w:sz w:val="18"/>
              </w:rPr>
              <w:t>7,697.08</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-500.92</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93.89</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12,797.12</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1654" w:type="dxa"/>
            <w:tcBorders>
              <w:top w:val="single" w:sz="6" w:space="0" w:color="000000"/>
              <w:left w:val="single" w:sz="12" w:space="0" w:color="000000"/>
              <w:bottom w:val="single" w:sz="6" w:space="0" w:color="000000"/>
              <w:right w:val="single" w:sz="6" w:space="0" w:color="000000"/>
            </w:tcBorders>
          </w:tcPr>
          <w:p>
            <w:pPr>
              <w:pStyle w:val="TableParagraph"/>
              <w:spacing w:line="309" w:lineRule="auto" w:before="8"/>
              <w:ind w:left="93"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应用平台软件 系列研发升级项 目</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05" w:right="0"/>
              <w:jc w:val="left"/>
              <w:rPr>
                <w:rFonts w:ascii="Times New Roman" w:hAnsi="Times New Roman" w:cs="Times New Roman" w:eastAsia="Times New Roman" w:hint="default"/>
                <w:sz w:val="18"/>
                <w:szCs w:val="18"/>
              </w:rPr>
            </w:pPr>
            <w:r>
              <w:rPr>
                <w:rFonts w:ascii="Times New Roman"/>
                <w:sz w:val="18"/>
              </w:rPr>
              <w:t>3,843.00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w w:val="95"/>
                <w:sz w:val="18"/>
              </w:rPr>
              <w:t>3,843.00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w w:val="95"/>
                <w:sz w:val="18"/>
              </w:rPr>
              <w:t>3,843.00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5"/>
                <w:sz w:val="18"/>
              </w:rPr>
              <w:t>3,843.00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9,423.86</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1" w:hRule="exact"/>
        </w:trPr>
        <w:tc>
          <w:tcPr>
            <w:tcW w:w="165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3" w:right="276"/>
              <w:jc w:val="left"/>
              <w:rPr>
                <w:rFonts w:ascii="宋体" w:hAnsi="宋体" w:cs="宋体" w:eastAsia="宋体" w:hint="default"/>
                <w:sz w:val="18"/>
                <w:szCs w:val="18"/>
              </w:rPr>
            </w:pPr>
            <w:r>
              <w:rPr>
                <w:rFonts w:ascii="宋体" w:hAnsi="宋体" w:cs="宋体" w:eastAsia="宋体" w:hint="default"/>
                <w:sz w:val="18"/>
                <w:szCs w:val="18"/>
              </w:rPr>
              <w:t>承诺投资项目小 计</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12,041.00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12,041.00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12,041.00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639.26</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11,540.08</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-500.92</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00"/>
              <w:jc w:val="right"/>
              <w:rPr>
                <w:rFonts w:ascii="Times New Roman" w:hAnsi="Times New Roman" w:cs="Times New Roman" w:eastAsia="Times New Roman" w:hint="default"/>
                <w:sz w:val="18"/>
                <w:szCs w:val="18"/>
              </w:rPr>
            </w:pPr>
            <w:r>
              <w:rPr>
                <w:rFonts w:ascii="Times New Roman"/>
                <w:spacing w:val="-1"/>
                <w:sz w:val="18"/>
              </w:rPr>
              <w:t>22,220.98</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6" w:hRule="exact"/>
        </w:trPr>
        <w:tc>
          <w:tcPr>
            <w:tcW w:w="14431" w:type="dxa"/>
            <w:gridSpan w:val="14"/>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b/>
                <w:bCs/>
                <w:sz w:val="18"/>
                <w:szCs w:val="18"/>
              </w:rPr>
              <w:t>超募资金投向</w:t>
            </w:r>
            <w:r>
              <w:rPr>
                <w:rFonts w:ascii="宋体" w:hAnsi="宋体" w:cs="宋体" w:eastAsia="宋体" w:hint="default"/>
                <w:sz w:val="18"/>
                <w:szCs w:val="18"/>
              </w:rPr>
            </w:r>
          </w:p>
        </w:tc>
      </w:tr>
      <w:tr>
        <w:trPr>
          <w:trHeight w:val="951" w:hRule="exact"/>
        </w:trPr>
        <w:tc>
          <w:tcPr>
            <w:tcW w:w="1654"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8"/>
              <w:ind w:left="93" w:right="276"/>
              <w:jc w:val="both"/>
              <w:rPr>
                <w:rFonts w:ascii="宋体" w:hAnsi="宋体" w:cs="宋体" w:eastAsia="宋体" w:hint="default"/>
                <w:sz w:val="18"/>
                <w:szCs w:val="18"/>
              </w:rPr>
            </w:pPr>
            <w:r>
              <w:rPr>
                <w:rFonts w:ascii="宋体" w:hAnsi="宋体" w:cs="宋体" w:eastAsia="宋体" w:hint="default"/>
                <w:sz w:val="18"/>
                <w:szCs w:val="18"/>
              </w:rPr>
              <w:t>日本超图株式会 社的部分股权收 购</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405" w:right="0"/>
              <w:jc w:val="left"/>
              <w:rPr>
                <w:rFonts w:ascii="Times New Roman" w:hAnsi="Times New Roman" w:cs="Times New Roman" w:eastAsia="Times New Roman" w:hint="default"/>
                <w:sz w:val="18"/>
                <w:szCs w:val="18"/>
              </w:rPr>
            </w:pPr>
            <w:r>
              <w:rPr>
                <w:rFonts w:ascii="Times New Roman"/>
                <w:sz w:val="18"/>
              </w:rPr>
              <w:t>1,568.49</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5"/>
              <w:jc w:val="right"/>
              <w:rPr>
                <w:rFonts w:ascii="Times New Roman" w:hAnsi="Times New Roman" w:cs="Times New Roman" w:eastAsia="Times New Roman" w:hint="default"/>
                <w:sz w:val="18"/>
                <w:szCs w:val="18"/>
              </w:rPr>
            </w:pPr>
            <w:r>
              <w:rPr>
                <w:rFonts w:ascii="Times New Roman"/>
                <w:w w:val="95"/>
                <w:sz w:val="18"/>
              </w:rPr>
              <w:t>1,710.21</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w w:val="95"/>
                <w:sz w:val="18"/>
              </w:rPr>
              <w:t>1,710.21</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5"/>
                <w:sz w:val="18"/>
              </w:rPr>
              <w:t>1,710.21</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w w:val="95"/>
                <w:sz w:val="18"/>
              </w:rPr>
              <w:t>1,196.73</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6" w:hRule="exact"/>
        </w:trPr>
        <w:tc>
          <w:tcPr>
            <w:tcW w:w="1654"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8"/>
              <w:ind w:left="93" w:right="276"/>
              <w:jc w:val="left"/>
              <w:rPr>
                <w:rFonts w:ascii="宋体" w:hAnsi="宋体" w:cs="宋体" w:eastAsia="宋体" w:hint="default"/>
                <w:sz w:val="18"/>
                <w:szCs w:val="18"/>
              </w:rPr>
            </w:pPr>
            <w:r>
              <w:rPr>
                <w:rFonts w:ascii="宋体" w:hAnsi="宋体" w:cs="宋体" w:eastAsia="宋体" w:hint="default"/>
                <w:sz w:val="18"/>
                <w:szCs w:val="18"/>
              </w:rPr>
              <w:t>购置研发办公用 房</w:t>
            </w:r>
          </w:p>
        </w:tc>
        <w:tc>
          <w:tcPr>
            <w:tcW w:w="76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2"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8,000.00</w:t>
            </w:r>
          </w:p>
        </w:tc>
        <w:tc>
          <w:tcPr>
            <w:tcW w:w="11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8,000.00</w:t>
            </w:r>
          </w:p>
        </w:tc>
        <w:tc>
          <w:tcPr>
            <w:tcW w:w="1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8,000.00</w:t>
            </w:r>
          </w:p>
        </w:tc>
        <w:tc>
          <w:tcPr>
            <w:tcW w:w="12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5"/>
                <w:sz w:val="18"/>
              </w:rPr>
              <w:t>8,000.00</w:t>
            </w:r>
          </w:p>
        </w:tc>
        <w:tc>
          <w:tcPr>
            <w:tcW w:w="11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8,000.00</w:t>
            </w:r>
          </w:p>
        </w:tc>
        <w:tc>
          <w:tcPr>
            <w:tcW w:w="12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1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0" w:type="dxa"/>
            <w:tcBorders>
              <w:top w:val="single" w:sz="6" w:space="0" w:color="000000"/>
              <w:left w:val="single" w:sz="6" w:space="0" w:color="000000"/>
              <w:bottom w:val="single" w:sz="12" w:space="0" w:color="000000"/>
              <w:right w:val="single" w:sz="6" w:space="0" w:color="000000"/>
            </w:tcBorders>
          </w:tcPr>
          <w:p>
            <w:pPr/>
          </w:p>
        </w:tc>
        <w:tc>
          <w:tcPr>
            <w:tcW w:w="8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1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17"/>
          <w:footerReference w:type="default" r:id="rId18"/>
          <w:pgSz w:w="16840" w:h="11910" w:orient="landscape"/>
          <w:pgMar w:header="884" w:footer="1008" w:top="1140" w:bottom="1200" w:left="1200" w:right="940"/>
          <w:pgNumType w:start="26"/>
        </w:sectPr>
      </w:pPr>
    </w:p>
    <w:p>
      <w:pPr>
        <w:spacing w:line="240" w:lineRule="auto" w:before="3"/>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654"/>
        <w:gridCol w:w="763"/>
        <w:gridCol w:w="1152"/>
        <w:gridCol w:w="1136"/>
        <w:gridCol w:w="1159"/>
        <w:gridCol w:w="1220"/>
        <w:gridCol w:w="1140"/>
        <w:gridCol w:w="1222"/>
        <w:gridCol w:w="922"/>
        <w:gridCol w:w="1190"/>
        <w:gridCol w:w="1140"/>
        <w:gridCol w:w="821"/>
        <w:gridCol w:w="912"/>
      </w:tblGrid>
      <w:tr>
        <w:trPr>
          <w:trHeight w:val="958" w:hRule="exact"/>
        </w:trPr>
        <w:tc>
          <w:tcPr>
            <w:tcW w:w="1654" w:type="dxa"/>
            <w:tcBorders>
              <w:top w:val="single" w:sz="12" w:space="0" w:color="000000"/>
              <w:left w:val="single" w:sz="12" w:space="0" w:color="000000"/>
              <w:bottom w:val="single" w:sz="6" w:space="0" w:color="000000"/>
              <w:right w:val="single" w:sz="6" w:space="0" w:color="000000"/>
            </w:tcBorders>
          </w:tcPr>
          <w:p>
            <w:pPr>
              <w:pStyle w:val="TableParagraph"/>
              <w:spacing w:line="316" w:lineRule="auto" w:before="8"/>
              <w:ind w:left="93" w:right="101"/>
              <w:jc w:val="left"/>
              <w:rPr>
                <w:rFonts w:ascii="宋体" w:hAnsi="宋体" w:cs="宋体" w:eastAsia="宋体" w:hint="default"/>
                <w:sz w:val="18"/>
                <w:szCs w:val="18"/>
              </w:rPr>
            </w:pPr>
            <w:r>
              <w:rPr>
                <w:rFonts w:ascii="宋体" w:hAnsi="宋体" w:cs="宋体" w:eastAsia="宋体" w:hint="default"/>
                <w:sz w:val="18"/>
                <w:szCs w:val="18"/>
              </w:rPr>
              <w:t>承接西安市数字 化“城市管理”信 息系统建设项目</w:t>
            </w:r>
          </w:p>
        </w:tc>
        <w:tc>
          <w:tcPr>
            <w:tcW w:w="76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w w:val="95"/>
                <w:sz w:val="18"/>
              </w:rPr>
              <w:t>2,305.89</w:t>
            </w:r>
          </w:p>
        </w:tc>
        <w:tc>
          <w:tcPr>
            <w:tcW w:w="11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5"/>
              <w:jc w:val="right"/>
              <w:rPr>
                <w:rFonts w:ascii="Times New Roman" w:hAnsi="Times New Roman" w:cs="Times New Roman" w:eastAsia="Times New Roman" w:hint="default"/>
                <w:sz w:val="18"/>
                <w:szCs w:val="18"/>
              </w:rPr>
            </w:pPr>
            <w:r>
              <w:rPr>
                <w:rFonts w:ascii="Times New Roman"/>
                <w:w w:val="95"/>
                <w:sz w:val="18"/>
              </w:rPr>
              <w:t>2,305.89</w:t>
            </w:r>
          </w:p>
        </w:tc>
        <w:tc>
          <w:tcPr>
            <w:tcW w:w="11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w w:val="95"/>
                <w:sz w:val="18"/>
              </w:rPr>
              <w:t>2,305.89</w:t>
            </w:r>
          </w:p>
        </w:tc>
        <w:tc>
          <w:tcPr>
            <w:tcW w:w="122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pacing w:val="-1"/>
                <w:sz w:val="18"/>
              </w:rPr>
              <w:t>442.42</w:t>
            </w:r>
          </w:p>
        </w:tc>
        <w:tc>
          <w:tcPr>
            <w:tcW w:w="11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637.18</w:t>
            </w:r>
          </w:p>
        </w:tc>
        <w:tc>
          <w:tcPr>
            <w:tcW w:w="12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0"/>
              <w:jc w:val="right"/>
              <w:rPr>
                <w:rFonts w:ascii="Times New Roman" w:hAnsi="Times New Roman" w:cs="Times New Roman" w:eastAsia="Times New Roman" w:hint="default"/>
                <w:sz w:val="18"/>
                <w:szCs w:val="18"/>
              </w:rPr>
            </w:pPr>
            <w:r>
              <w:rPr>
                <w:rFonts w:ascii="Times New Roman"/>
                <w:spacing w:val="-1"/>
                <w:sz w:val="18"/>
              </w:rPr>
              <w:t>-1,668.71</w:t>
            </w:r>
          </w:p>
        </w:tc>
        <w:tc>
          <w:tcPr>
            <w:tcW w:w="92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98"/>
              <w:jc w:val="right"/>
              <w:rPr>
                <w:rFonts w:ascii="Times New Roman" w:hAnsi="Times New Roman" w:cs="Times New Roman" w:eastAsia="Times New Roman" w:hint="default"/>
                <w:sz w:val="18"/>
                <w:szCs w:val="18"/>
              </w:rPr>
            </w:pPr>
            <w:r>
              <w:rPr>
                <w:rFonts w:ascii="Times New Roman"/>
                <w:sz w:val="18"/>
              </w:rPr>
              <w:t>27.63</w:t>
            </w:r>
          </w:p>
        </w:tc>
        <w:tc>
          <w:tcPr>
            <w:tcW w:w="11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0" w:type="dxa"/>
            <w:tcBorders>
              <w:top w:val="single" w:sz="12" w:space="0" w:color="000000"/>
              <w:left w:val="single" w:sz="6" w:space="0" w:color="000000"/>
              <w:bottom w:val="single" w:sz="6" w:space="0" w:color="000000"/>
              <w:right w:val="single" w:sz="6" w:space="0" w:color="000000"/>
            </w:tcBorders>
          </w:tcPr>
          <w:p>
            <w:pPr/>
          </w:p>
        </w:tc>
        <w:tc>
          <w:tcPr>
            <w:tcW w:w="82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1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8" w:hRule="exact"/>
        </w:trPr>
        <w:tc>
          <w:tcPr>
            <w:tcW w:w="165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276"/>
              <w:jc w:val="left"/>
              <w:rPr>
                <w:rFonts w:ascii="宋体" w:hAnsi="宋体" w:cs="宋体" w:eastAsia="宋体" w:hint="default"/>
                <w:sz w:val="18"/>
                <w:szCs w:val="18"/>
              </w:rPr>
            </w:pPr>
            <w:r>
              <w:rPr>
                <w:rFonts w:ascii="宋体" w:hAnsi="宋体" w:cs="宋体" w:eastAsia="宋体" w:hint="default"/>
                <w:sz w:val="18"/>
                <w:szCs w:val="18"/>
              </w:rPr>
              <w:t>建设成都技术中 心</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4,152.50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4,152.50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4,152.50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5"/>
                <w:sz w:val="18"/>
              </w:rPr>
              <w:t>1,999.37</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w w:val="95"/>
                <w:sz w:val="18"/>
              </w:rPr>
              <w:t>2,073.58</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-2,078.91</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49.94</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0"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65" w:hRule="exact"/>
        </w:trPr>
        <w:tc>
          <w:tcPr>
            <w:tcW w:w="1654" w:type="dxa"/>
            <w:tcBorders>
              <w:top w:val="single" w:sz="6" w:space="0" w:color="000000"/>
              <w:left w:val="single" w:sz="12" w:space="0" w:color="000000"/>
              <w:bottom w:val="single" w:sz="6" w:space="0" w:color="000000"/>
              <w:right w:val="single" w:sz="6" w:space="0" w:color="000000"/>
            </w:tcBorders>
          </w:tcPr>
          <w:p>
            <w:pPr>
              <w:pStyle w:val="TableParagraph"/>
              <w:spacing w:line="319" w:lineRule="auto" w:before="10"/>
              <w:ind w:left="93" w:right="276"/>
              <w:jc w:val="both"/>
              <w:rPr>
                <w:rFonts w:ascii="宋体" w:hAnsi="宋体" w:cs="宋体" w:eastAsia="宋体" w:hint="default"/>
                <w:sz w:val="18"/>
                <w:szCs w:val="18"/>
              </w:rPr>
            </w:pPr>
            <w:r>
              <w:rPr>
                <w:rFonts w:ascii="宋体" w:hAnsi="宋体" w:cs="宋体" w:eastAsia="宋体" w:hint="default"/>
                <w:sz w:val="18"/>
                <w:szCs w:val="18"/>
              </w:rPr>
              <w:t>移动地理信息平 台产品及整体解 决方案研发与产 业化项目</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98"/>
              <w:jc w:val="right"/>
              <w:rPr>
                <w:rFonts w:ascii="Times New Roman" w:hAnsi="Times New Roman" w:cs="Times New Roman" w:eastAsia="Times New Roman" w:hint="default"/>
                <w:sz w:val="18"/>
                <w:szCs w:val="18"/>
              </w:rPr>
            </w:pPr>
            <w:r>
              <w:rPr>
                <w:rFonts w:ascii="Times New Roman"/>
                <w:w w:val="95"/>
                <w:sz w:val="18"/>
              </w:rPr>
              <w:t>2,809.50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95"/>
              <w:jc w:val="right"/>
              <w:rPr>
                <w:rFonts w:ascii="Times New Roman" w:hAnsi="Times New Roman" w:cs="Times New Roman" w:eastAsia="Times New Roman" w:hint="default"/>
                <w:sz w:val="18"/>
                <w:szCs w:val="18"/>
              </w:rPr>
            </w:pPr>
            <w:r>
              <w:rPr>
                <w:rFonts w:ascii="Times New Roman"/>
                <w:w w:val="95"/>
                <w:sz w:val="18"/>
              </w:rPr>
              <w:t>2,809.50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w w:val="95"/>
                <w:sz w:val="18"/>
              </w:rPr>
              <w:t>2,809.50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98"/>
              <w:jc w:val="right"/>
              <w:rPr>
                <w:rFonts w:ascii="Times New Roman" w:hAnsi="Times New Roman" w:cs="Times New Roman" w:eastAsia="Times New Roman" w:hint="default"/>
                <w:sz w:val="18"/>
                <w:szCs w:val="18"/>
              </w:rPr>
            </w:pPr>
            <w:r>
              <w:rPr>
                <w:rFonts w:ascii="Times New Roman"/>
                <w:spacing w:val="-1"/>
                <w:sz w:val="18"/>
              </w:rPr>
              <w:t>305.61</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305.61</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00"/>
              <w:jc w:val="right"/>
              <w:rPr>
                <w:rFonts w:ascii="Times New Roman" w:hAnsi="Times New Roman" w:cs="Times New Roman" w:eastAsia="Times New Roman" w:hint="default"/>
                <w:sz w:val="18"/>
                <w:szCs w:val="18"/>
              </w:rPr>
            </w:pPr>
            <w:r>
              <w:rPr>
                <w:rFonts w:ascii="Times New Roman"/>
                <w:spacing w:val="-1"/>
                <w:sz w:val="18"/>
              </w:rPr>
              <w:t>-2,503.89</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98"/>
              <w:jc w:val="right"/>
              <w:rPr>
                <w:rFonts w:ascii="Times New Roman" w:hAnsi="Times New Roman" w:cs="Times New Roman" w:eastAsia="Times New Roman" w:hint="default"/>
                <w:sz w:val="18"/>
                <w:szCs w:val="18"/>
              </w:rPr>
            </w:pPr>
            <w:r>
              <w:rPr>
                <w:rFonts w:ascii="Times New Roman"/>
                <w:sz w:val="18"/>
              </w:rPr>
              <w:t>10.88</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40" w:type="dxa"/>
            <w:tcBorders>
              <w:top w:val="single" w:sz="6" w:space="0" w:color="000000"/>
              <w:left w:val="single" w:sz="6" w:space="0" w:color="000000"/>
              <w:bottom w:val="single" w:sz="6" w:space="0" w:color="000000"/>
              <w:right w:val="single" w:sz="6" w:space="0" w:color="000000"/>
            </w:tcBorders>
          </w:tcPr>
          <w:p>
            <w:pP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43" w:hRule="exact"/>
        </w:trPr>
        <w:tc>
          <w:tcPr>
            <w:tcW w:w="165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3" w:right="99"/>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159" w:type="dxa"/>
            <w:tcBorders>
              <w:top w:val="single" w:sz="6" w:space="0" w:color="000000"/>
              <w:left w:val="single" w:sz="6" w:space="0" w:color="000000"/>
              <w:bottom w:val="single" w:sz="6" w:space="0" w:color="000000"/>
              <w:right w:val="single" w:sz="6" w:space="0" w:color="000000"/>
            </w:tcBorders>
          </w:tcPr>
          <w:p>
            <w:pPr/>
          </w:p>
        </w:tc>
        <w:tc>
          <w:tcPr>
            <w:tcW w:w="1220" w:type="dxa"/>
            <w:tcBorders>
              <w:top w:val="single" w:sz="6" w:space="0" w:color="000000"/>
              <w:left w:val="single" w:sz="6" w:space="0" w:color="000000"/>
              <w:bottom w:val="single" w:sz="6" w:space="0" w:color="000000"/>
              <w:right w:val="single" w:sz="6" w:space="0" w:color="000000"/>
            </w:tcBorders>
          </w:tcPr>
          <w:p>
            <w:pPr/>
          </w:p>
        </w:tc>
        <w:tc>
          <w:tcPr>
            <w:tcW w:w="1140" w:type="dxa"/>
            <w:tcBorders>
              <w:top w:val="single" w:sz="6" w:space="0" w:color="000000"/>
              <w:left w:val="single" w:sz="6" w:space="0" w:color="000000"/>
              <w:bottom w:val="single" w:sz="6" w:space="0" w:color="000000"/>
              <w:right w:val="single" w:sz="6" w:space="0" w:color="000000"/>
            </w:tcBorders>
          </w:tcPr>
          <w:p>
            <w:pPr/>
          </w:p>
        </w:tc>
        <w:tc>
          <w:tcPr>
            <w:tcW w:w="1222" w:type="dxa"/>
            <w:tcBorders>
              <w:top w:val="single" w:sz="6" w:space="0" w:color="000000"/>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41" w:hRule="exact"/>
        </w:trPr>
        <w:tc>
          <w:tcPr>
            <w:tcW w:w="165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93" w:right="99"/>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4,000.00</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w w:val="95"/>
                <w:sz w:val="18"/>
              </w:rPr>
              <w:t>4,000.00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4,000.00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w w:val="95"/>
                <w:sz w:val="18"/>
              </w:rPr>
              <w:t>4,000.00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4,000.00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38" w:hRule="exact"/>
        </w:trPr>
        <w:tc>
          <w:tcPr>
            <w:tcW w:w="165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276"/>
              <w:jc w:val="left"/>
              <w:rPr>
                <w:rFonts w:ascii="宋体" w:hAnsi="宋体" w:cs="宋体" w:eastAsia="宋体" w:hint="default"/>
                <w:sz w:val="18"/>
                <w:szCs w:val="18"/>
              </w:rPr>
            </w:pPr>
            <w:r>
              <w:rPr>
                <w:rFonts w:ascii="宋体" w:hAnsi="宋体" w:cs="宋体" w:eastAsia="宋体" w:hint="default"/>
                <w:sz w:val="18"/>
                <w:szCs w:val="18"/>
              </w:rPr>
              <w:t>超募资金投向小 计</w:t>
            </w:r>
          </w:p>
        </w:tc>
        <w:tc>
          <w:tcPr>
            <w:tcW w:w="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22,836.38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22,978.10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22,978.10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14,747.40</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16,726.58</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-6,251.51</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1,196.73</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7" w:hRule="exact"/>
        </w:trPr>
        <w:tc>
          <w:tcPr>
            <w:tcW w:w="16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4"/>
              <w:jc w:val="center"/>
              <w:rPr>
                <w:rFonts w:ascii="Times New Roman" w:hAnsi="Times New Roman" w:cs="Times New Roman" w:eastAsia="Times New Roman" w:hint="default"/>
                <w:sz w:val="18"/>
                <w:szCs w:val="18"/>
              </w:rPr>
            </w:pPr>
            <w:r>
              <w:rPr>
                <w:rFonts w:ascii="宋体" w:hAnsi="宋体" w:cs="宋体" w:eastAsia="宋体" w:hint="default"/>
                <w:sz w:val="18"/>
                <w:szCs w:val="18"/>
              </w:rPr>
              <w:t>合计</w:t>
            </w:r>
            <w:r>
              <w:rPr>
                <w:rFonts w:ascii="Times New Roman" w:hAnsi="Times New Roman" w:cs="Times New Roman" w:eastAsia="Times New Roman" w:hint="default"/>
                <w:sz w:val="18"/>
                <w:szCs w:val="18"/>
              </w:rPr>
              <w:t>-</w:t>
            </w:r>
          </w:p>
        </w:tc>
        <w:tc>
          <w:tcPr>
            <w:tcW w:w="763"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34,877.38</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35,019.10</w:t>
            </w:r>
          </w:p>
        </w:tc>
        <w:tc>
          <w:tcPr>
            <w:tcW w:w="11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3"/>
              <w:jc w:val="right"/>
              <w:rPr>
                <w:rFonts w:ascii="Times New Roman" w:hAnsi="Times New Roman" w:cs="Times New Roman" w:eastAsia="Times New Roman" w:hint="default"/>
                <w:sz w:val="18"/>
                <w:szCs w:val="18"/>
              </w:rPr>
            </w:pPr>
            <w:r>
              <w:rPr>
                <w:rFonts w:ascii="Times New Roman"/>
                <w:spacing w:val="-1"/>
                <w:sz w:val="18"/>
              </w:rPr>
              <w:t>35,019.10</w:t>
            </w:r>
          </w:p>
        </w:tc>
        <w:tc>
          <w:tcPr>
            <w:tcW w:w="1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pacing w:val="-1"/>
                <w:sz w:val="18"/>
              </w:rPr>
              <w:t>15,386.66</w:t>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28,266.66</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0"/>
              <w:jc w:val="right"/>
              <w:rPr>
                <w:rFonts w:ascii="Times New Roman" w:hAnsi="Times New Roman" w:cs="Times New Roman" w:eastAsia="Times New Roman" w:hint="default"/>
                <w:sz w:val="18"/>
                <w:szCs w:val="18"/>
              </w:rPr>
            </w:pPr>
            <w:r>
              <w:rPr>
                <w:rFonts w:ascii="Times New Roman"/>
                <w:spacing w:val="-1"/>
                <w:sz w:val="18"/>
              </w:rPr>
              <w:t>-6,752.43</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27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01"/>
              <w:jc w:val="right"/>
              <w:rPr>
                <w:rFonts w:ascii="Times New Roman" w:hAnsi="Times New Roman" w:cs="Times New Roman" w:eastAsia="Times New Roman" w:hint="default"/>
                <w:sz w:val="18"/>
                <w:szCs w:val="18"/>
              </w:rPr>
            </w:pPr>
            <w:r>
              <w:rPr>
                <w:rFonts w:ascii="Times New Roman"/>
                <w:spacing w:val="-1"/>
                <w:sz w:val="18"/>
              </w:rPr>
              <w:t>23,417.71</w:t>
            </w:r>
            <w:r>
              <w:rPr>
                <w:rFonts w:ascii="Times New Roman"/>
                <w:sz w:val="18"/>
              </w:rPr>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1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50"/>
              <w:ind w:left="10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262" w:hRule="exact"/>
        </w:trPr>
        <w:tc>
          <w:tcPr>
            <w:tcW w:w="165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8"/>
              <w:ind w:left="93" w:right="99" w:hanging="1"/>
              <w:jc w:val="center"/>
              <w:rPr>
                <w:rFonts w:ascii="宋体" w:hAnsi="宋体" w:cs="宋体" w:eastAsia="宋体" w:hint="default"/>
                <w:sz w:val="18"/>
                <w:szCs w:val="18"/>
              </w:rPr>
            </w:pPr>
            <w:r>
              <w:rPr>
                <w:rFonts w:ascii="宋体" w:hAnsi="宋体" w:cs="宋体" w:eastAsia="宋体" w:hint="default"/>
                <w:sz w:val="18"/>
                <w:szCs w:val="18"/>
              </w:rPr>
              <w:t>未达到计划进度 或预计收益的情 况和原因（分具体 项目）</w:t>
            </w:r>
          </w:p>
        </w:tc>
        <w:tc>
          <w:tcPr>
            <w:tcW w:w="12777" w:type="dxa"/>
            <w:gridSpan w:val="12"/>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3"/>
              <w:ind w:left="100" w:right="113"/>
              <w:jc w:val="left"/>
              <w:rPr>
                <w:rFonts w:ascii="宋体" w:hAnsi="宋体" w:cs="宋体" w:eastAsia="宋体" w:hint="default"/>
                <w:sz w:val="18"/>
                <w:szCs w:val="18"/>
              </w:rPr>
            </w:pPr>
            <w:r>
              <w:rPr>
                <w:rFonts w:ascii="宋体" w:hAnsi="宋体" w:cs="宋体" w:eastAsia="宋体" w:hint="default"/>
                <w:sz w:val="18"/>
                <w:szCs w:val="18"/>
              </w:rPr>
              <w:t>截止报告期末，西安市数字化</w:t>
            </w:r>
            <w:r>
              <w:rPr>
                <w:rFonts w:ascii="Times New Roman" w:hAnsi="Times New Roman" w:cs="Times New Roman" w:eastAsia="Times New Roman" w:hint="default"/>
                <w:sz w:val="18"/>
                <w:szCs w:val="18"/>
              </w:rPr>
              <w:t>“</w:t>
            </w:r>
            <w:r>
              <w:rPr>
                <w:rFonts w:ascii="宋体" w:hAnsi="宋体" w:cs="宋体" w:eastAsia="宋体" w:hint="default"/>
                <w:sz w:val="18"/>
                <w:szCs w:val="18"/>
              </w:rPr>
              <w:t>城市管理</w:t>
            </w:r>
            <w:r>
              <w:rPr>
                <w:rFonts w:ascii="Times New Roman" w:hAnsi="Times New Roman" w:cs="Times New Roman" w:eastAsia="Times New Roman" w:hint="default"/>
                <w:sz w:val="18"/>
                <w:szCs w:val="18"/>
              </w:rPr>
              <w:t>”</w:t>
            </w:r>
            <w:r>
              <w:rPr>
                <w:rFonts w:ascii="宋体" w:hAnsi="宋体" w:cs="宋体" w:eastAsia="宋体" w:hint="default"/>
                <w:sz w:val="18"/>
                <w:szCs w:val="18"/>
              </w:rPr>
              <w:t>信息系统建设项目的投资进度较预期有所迟缓，原因为本项目为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项目，部分供应商的相关运维费用、服务费用按年 度分期支付，直至本项目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年到期。因此，本项目投资进度会有所推迟。</w:t>
            </w:r>
          </w:p>
        </w:tc>
      </w:tr>
      <w:tr>
        <w:trPr>
          <w:trHeight w:val="329" w:hRule="exact"/>
        </w:trPr>
        <w:tc>
          <w:tcPr>
            <w:tcW w:w="1654" w:type="dxa"/>
            <w:vMerge w:val="restart"/>
            <w:tcBorders>
              <w:top w:val="single" w:sz="6" w:space="0" w:color="000000"/>
              <w:left w:val="single" w:sz="12" w:space="0" w:color="000000"/>
              <w:right w:val="single" w:sz="6" w:space="0" w:color="000000"/>
            </w:tcBorders>
          </w:tcPr>
          <w:p>
            <w:pPr>
              <w:pStyle w:val="TableParagraph"/>
              <w:spacing w:line="316" w:lineRule="auto" w:before="10"/>
              <w:ind w:left="182" w:right="189"/>
              <w:jc w:val="center"/>
              <w:rPr>
                <w:rFonts w:ascii="宋体" w:hAnsi="宋体" w:cs="宋体" w:eastAsia="宋体" w:hint="default"/>
                <w:sz w:val="18"/>
                <w:szCs w:val="18"/>
              </w:rPr>
            </w:pPr>
            <w:r>
              <w:rPr>
                <w:rFonts w:ascii="宋体" w:hAnsi="宋体" w:cs="宋体" w:eastAsia="宋体" w:hint="default"/>
                <w:sz w:val="18"/>
                <w:szCs w:val="18"/>
              </w:rPr>
              <w:t>项目可行性发生 重大变化的情况 说明</w:t>
            </w:r>
          </w:p>
        </w:tc>
        <w:tc>
          <w:tcPr>
            <w:tcW w:w="12777" w:type="dxa"/>
            <w:gridSpan w:val="12"/>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629" w:hRule="exact"/>
        </w:trPr>
        <w:tc>
          <w:tcPr>
            <w:tcW w:w="1654" w:type="dxa"/>
            <w:vMerge/>
            <w:tcBorders>
              <w:left w:val="single" w:sz="12" w:space="0" w:color="000000"/>
              <w:bottom w:val="single" w:sz="12" w:space="0" w:color="000000"/>
              <w:right w:val="single" w:sz="6" w:space="0" w:color="000000"/>
            </w:tcBorders>
          </w:tcPr>
          <w:p>
            <w:pPr/>
          </w:p>
        </w:tc>
        <w:tc>
          <w:tcPr>
            <w:tcW w:w="12777" w:type="dxa"/>
            <w:gridSpan w:val="12"/>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57"/>
              <w:ind w:left="100" w:right="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84" w:footer="1008" w:top="1140" w:bottom="1200" w:left="1200" w:right="940"/>
        </w:sectPr>
      </w:pPr>
    </w:p>
    <w:p>
      <w:pPr>
        <w:spacing w:line="240" w:lineRule="auto" w:before="3"/>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654"/>
        <w:gridCol w:w="12777"/>
      </w:tblGrid>
      <w:tr>
        <w:trPr>
          <w:trHeight w:val="4078" w:hRule="exact"/>
        </w:trPr>
        <w:tc>
          <w:tcPr>
            <w:tcW w:w="165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93" w:right="96"/>
              <w:jc w:val="center"/>
              <w:rPr>
                <w:rFonts w:ascii="宋体" w:hAnsi="宋体" w:cs="宋体" w:eastAsia="宋体" w:hint="default"/>
                <w:sz w:val="18"/>
                <w:szCs w:val="18"/>
              </w:rPr>
            </w:pPr>
            <w:r>
              <w:rPr>
                <w:rFonts w:ascii="宋体" w:hAnsi="宋体" w:cs="宋体" w:eastAsia="宋体" w:hint="default"/>
                <w:sz w:val="18"/>
                <w:szCs w:val="18"/>
              </w:rPr>
              <w:t>超募资金的金额、 用途及使用进展 情况</w:t>
            </w:r>
          </w:p>
        </w:tc>
        <w:tc>
          <w:tcPr>
            <w:tcW w:w="1277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超募资金总额为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23,023.18 </w:t>
            </w:r>
            <w:r>
              <w:rPr>
                <w:rFonts w:ascii="宋体" w:hAnsi="宋体" w:cs="宋体" w:eastAsia="宋体" w:hint="default"/>
                <w:sz w:val="18"/>
                <w:szCs w:val="18"/>
              </w:rPr>
              <w:t>万元。超募资金项目的资金事情情况如下：</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日本超图株式会社的部分股权收购项目</w:t>
            </w:r>
            <w:r>
              <w:rPr>
                <w:rFonts w:ascii="宋体" w:hAnsi="宋体" w:cs="宋体" w:eastAsia="宋体" w:hint="default"/>
                <w:spacing w:val="-92"/>
                <w:sz w:val="18"/>
                <w:szCs w:val="18"/>
              </w:rPr>
              <w:t>：</w:t>
            </w:r>
            <w:r>
              <w:rPr>
                <w:rFonts w:ascii="宋体" w:hAnsi="宋体" w:cs="宋体" w:eastAsia="宋体" w:hint="default"/>
                <w:sz w:val="18"/>
                <w:szCs w:val="18"/>
              </w:rPr>
              <w:t>公司安排使用</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17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02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元超募资金进行该</w:t>
            </w:r>
            <w:r>
              <w:rPr>
                <w:rFonts w:ascii="宋体" w:hAnsi="宋体" w:cs="宋体" w:eastAsia="宋体" w:hint="default"/>
                <w:spacing w:val="-3"/>
                <w:sz w:val="18"/>
                <w:szCs w:val="18"/>
              </w:rPr>
              <w:t>项</w:t>
            </w:r>
            <w:r>
              <w:rPr>
                <w:rFonts w:ascii="宋体" w:hAnsi="宋体" w:cs="宋体" w:eastAsia="宋体" w:hint="default"/>
                <w:sz w:val="18"/>
                <w:szCs w:val="18"/>
              </w:rPr>
              <w:t>目</w:t>
            </w:r>
            <w:r>
              <w:rPr>
                <w:rFonts w:ascii="宋体" w:hAnsi="宋体" w:cs="宋体" w:eastAsia="宋体" w:hint="default"/>
                <w:spacing w:val="-92"/>
                <w:sz w:val="18"/>
                <w:szCs w:val="18"/>
              </w:rPr>
              <w:t>，</w:t>
            </w:r>
            <w:r>
              <w:rPr>
                <w:rFonts w:ascii="宋体" w:hAnsi="宋体" w:cs="宋体" w:eastAsia="宋体" w:hint="default"/>
                <w:sz w:val="18"/>
                <w:szCs w:val="18"/>
              </w:rPr>
              <w:t>其中用于收购的投资金</w:t>
            </w:r>
            <w:r>
              <w:rPr>
                <w:rFonts w:ascii="宋体" w:hAnsi="宋体" w:cs="宋体" w:eastAsia="宋体" w:hint="default"/>
                <w:spacing w:val="2"/>
                <w:sz w:val="18"/>
                <w:szCs w:val="18"/>
              </w:rPr>
              <w:t>额</w:t>
            </w:r>
            <w:r>
              <w:rPr>
                <w:rFonts w:ascii="宋体" w:hAnsi="宋体" w:cs="宋体" w:eastAsia="宋体" w:hint="default"/>
                <w:sz w:val="18"/>
                <w:szCs w:val="18"/>
              </w:rPr>
              <w:t>为</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90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元人民币</w:t>
            </w:r>
            <w:r>
              <w:rPr>
                <w:rFonts w:ascii="宋体" w:hAnsi="宋体" w:cs="宋体" w:eastAsia="宋体" w:hint="default"/>
                <w:spacing w:val="-92"/>
                <w:sz w:val="18"/>
                <w:szCs w:val="18"/>
              </w:rPr>
              <w:t>，</w:t>
            </w:r>
            <w:r>
              <w:rPr>
                <w:rFonts w:ascii="宋体" w:hAnsi="宋体" w:cs="宋体" w:eastAsia="宋体" w:hint="default"/>
                <w:spacing w:val="-3"/>
                <w:sz w:val="18"/>
                <w:szCs w:val="18"/>
              </w:rPr>
              <w:t>另</w:t>
            </w:r>
            <w:r>
              <w:rPr>
                <w:rFonts w:ascii="宋体" w:hAnsi="宋体" w:cs="宋体" w:eastAsia="宋体" w:hint="default"/>
                <w:sz w:val="18"/>
                <w:szCs w:val="18"/>
              </w:rPr>
              <w:t>含</w:t>
            </w:r>
            <w:r>
              <w:rPr>
                <w:rFonts w:ascii="宋体" w:hAnsi="宋体" w:cs="宋体" w:eastAsia="宋体" w:hint="default"/>
                <w:spacing w:val="-6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2</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元人民币手续费。至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月，公司完成该投资所需要的所有手续，并支付完毕相关款项；</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、购置研发办公用房项目：公司安排</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万元超募集资金结合自有资金的方式，用于购置办公用房，该笔资金已支付完成。</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、承接西安市数字化“城市管理”信息系统建设项目：公司计划安排</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2,305.89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万元超募资金承接西安数字化“城市管理”信息系统建设项目。截至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0" w:right="-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日，西安数字化“城市管理”信息系统建设项目主体工程部分已经实施完毕，并已通过初验。截至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日，公司已支付本项目共计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637.18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、成都技术中心建设项目：公司计划安排超募资金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4,152.5 </w:t>
            </w:r>
            <w:r>
              <w:rPr>
                <w:rFonts w:ascii="宋体" w:hAnsi="宋体" w:cs="宋体" w:eastAsia="宋体" w:hint="default"/>
                <w:sz w:val="18"/>
                <w:szCs w:val="18"/>
              </w:rPr>
              <w:t>万元建设成都技术中心，截至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日，成都技术中心办公用房已入驻使用，公司总部人</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员派遣及本地化人员招聘已经初步完成，公司已支付本项目共计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2,073.58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、永久补充流动资金：</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月，公司使用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万元超募资金永久补充流动资金，该项议案已实施。</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、建设移动地理信息平台产品及整体解决方案研发与产业化项目：公司计划安排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2,809.50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万元超募资金用于建设移动地理信息平台产品及整体解决方案研发与</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产业化项目，截至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日，公司已支付本项目共计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305.61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7</w:t>
            </w:r>
            <w:r>
              <w:rPr>
                <w:rFonts w:ascii="宋体" w:hAnsi="宋体" w:cs="宋体" w:eastAsia="宋体" w:hint="default"/>
                <w:sz w:val="18"/>
                <w:szCs w:val="18"/>
              </w:rPr>
              <w:t>、其他超募资金安排截至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日，公司已决议安排超募资金项目总额</w:t>
            </w:r>
          </w:p>
          <w:p>
            <w:pPr>
              <w:pStyle w:val="TableParagraph"/>
              <w:spacing w:line="300" w:lineRule="auto" w:before="63"/>
              <w:ind w:left="100" w:right="92"/>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22,978.10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万元，剩余可使用超募资金约为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45.08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万元，公司将根据公司的发展规划及实际生产经营需求，妥善安排超募资金的具体使用计划，提交董事会审议 通过后及时披露。</w:t>
            </w:r>
          </w:p>
        </w:tc>
      </w:tr>
      <w:tr>
        <w:trPr>
          <w:trHeight w:val="1280" w:hRule="exact"/>
        </w:trPr>
        <w:tc>
          <w:tcPr>
            <w:tcW w:w="16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319" w:lineRule="auto"/>
              <w:ind w:left="182" w:right="189"/>
              <w:jc w:val="center"/>
              <w:rPr>
                <w:rFonts w:ascii="宋体" w:hAnsi="宋体" w:cs="宋体" w:eastAsia="宋体" w:hint="default"/>
                <w:sz w:val="18"/>
                <w:szCs w:val="18"/>
              </w:rPr>
            </w:pPr>
            <w:r>
              <w:rPr>
                <w:rFonts w:ascii="宋体" w:hAnsi="宋体" w:cs="宋体" w:eastAsia="宋体" w:hint="default"/>
                <w:sz w:val="18"/>
                <w:szCs w:val="18"/>
              </w:rPr>
              <w:t>募集资金投资项 目实施地点变更 情况</w:t>
            </w:r>
          </w:p>
        </w:tc>
        <w:tc>
          <w:tcPr>
            <w:tcW w:w="12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tc>
      </w:tr>
      <w:tr>
        <w:trPr>
          <w:trHeight w:val="1277" w:hRule="exact"/>
        </w:trPr>
        <w:tc>
          <w:tcPr>
            <w:tcW w:w="16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182" w:right="189"/>
              <w:jc w:val="center"/>
              <w:rPr>
                <w:rFonts w:ascii="宋体" w:hAnsi="宋体" w:cs="宋体" w:eastAsia="宋体" w:hint="default"/>
                <w:sz w:val="18"/>
                <w:szCs w:val="18"/>
              </w:rPr>
            </w:pPr>
            <w:r>
              <w:rPr>
                <w:rFonts w:ascii="宋体" w:hAnsi="宋体" w:cs="宋体" w:eastAsia="宋体" w:hint="default"/>
                <w:sz w:val="18"/>
                <w:szCs w:val="18"/>
              </w:rPr>
              <w:t>募集资金投资项 目实施方式调整 情况</w:t>
            </w:r>
          </w:p>
        </w:tc>
        <w:tc>
          <w:tcPr>
            <w:tcW w:w="12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tc>
      </w:tr>
      <w:tr>
        <w:trPr>
          <w:trHeight w:val="1592" w:hRule="exact"/>
        </w:trPr>
        <w:tc>
          <w:tcPr>
            <w:tcW w:w="165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2"/>
              <w:ind w:left="182" w:right="189"/>
              <w:jc w:val="center"/>
              <w:rPr>
                <w:rFonts w:ascii="宋体" w:hAnsi="宋体" w:cs="宋体" w:eastAsia="宋体" w:hint="default"/>
                <w:sz w:val="18"/>
                <w:szCs w:val="18"/>
              </w:rPr>
            </w:pPr>
            <w:r>
              <w:rPr>
                <w:rFonts w:ascii="宋体" w:hAnsi="宋体" w:cs="宋体" w:eastAsia="宋体" w:hint="default"/>
                <w:sz w:val="18"/>
                <w:szCs w:val="18"/>
              </w:rPr>
              <w:t>募集资金投资项 目先期投入及置 换情况</w:t>
            </w:r>
          </w:p>
        </w:tc>
        <w:tc>
          <w:tcPr>
            <w:tcW w:w="12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tc>
      </w:tr>
      <w:tr>
        <w:trPr>
          <w:trHeight w:val="955" w:hRule="exact"/>
        </w:trPr>
        <w:tc>
          <w:tcPr>
            <w:tcW w:w="1654" w:type="dxa"/>
            <w:tcBorders>
              <w:top w:val="single" w:sz="6" w:space="0" w:color="000000"/>
              <w:left w:val="single" w:sz="12" w:space="0" w:color="000000"/>
              <w:bottom w:val="single" w:sz="12" w:space="0" w:color="000000"/>
              <w:right w:val="single" w:sz="6" w:space="0" w:color="000000"/>
            </w:tcBorders>
          </w:tcPr>
          <w:p>
            <w:pPr>
              <w:pStyle w:val="TableParagraph"/>
              <w:spacing w:line="316" w:lineRule="auto" w:before="8"/>
              <w:ind w:left="182" w:right="189"/>
              <w:jc w:val="center"/>
              <w:rPr>
                <w:rFonts w:ascii="宋体" w:hAnsi="宋体" w:cs="宋体" w:eastAsia="宋体" w:hint="default"/>
                <w:sz w:val="18"/>
                <w:szCs w:val="18"/>
              </w:rPr>
            </w:pPr>
            <w:r>
              <w:rPr>
                <w:rFonts w:ascii="宋体" w:hAnsi="宋体" w:cs="宋体" w:eastAsia="宋体" w:hint="default"/>
                <w:sz w:val="18"/>
                <w:szCs w:val="18"/>
              </w:rPr>
              <w:t>用闲置募集资金 暂时补充流动资 金情况</w:t>
            </w:r>
          </w:p>
        </w:tc>
        <w:tc>
          <w:tcPr>
            <w:tcW w:w="1277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0" w:right="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6840" w:h="11910" w:orient="landscape"/>
          <w:pgMar w:header="884" w:footer="1008" w:top="1140" w:bottom="1200" w:left="1200" w:right="940"/>
        </w:sectPr>
      </w:pPr>
    </w:p>
    <w:p>
      <w:pPr>
        <w:spacing w:line="240" w:lineRule="auto" w:before="3"/>
        <w:rPr>
          <w:rFonts w:ascii="Times New Roman" w:hAnsi="Times New Roman" w:cs="Times New Roman" w:eastAsia="Times New Roman"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1654"/>
        <w:gridCol w:w="12777"/>
      </w:tblGrid>
      <w:tr>
        <w:trPr>
          <w:trHeight w:val="382" w:hRule="exact"/>
        </w:trPr>
        <w:tc>
          <w:tcPr>
            <w:tcW w:w="1654"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182" w:right="187" w:hanging="1"/>
              <w:jc w:val="center"/>
              <w:rPr>
                <w:rFonts w:ascii="宋体" w:hAnsi="宋体" w:cs="宋体" w:eastAsia="宋体" w:hint="default"/>
                <w:sz w:val="18"/>
                <w:szCs w:val="18"/>
              </w:rPr>
            </w:pPr>
            <w:r>
              <w:rPr>
                <w:rFonts w:ascii="宋体" w:hAnsi="宋体" w:cs="宋体" w:eastAsia="宋体" w:hint="default"/>
                <w:sz w:val="18"/>
                <w:szCs w:val="18"/>
              </w:rPr>
              <w:t>项目实施出现募 集资金结余的金 额及原因</w:t>
            </w:r>
          </w:p>
        </w:tc>
        <w:tc>
          <w:tcPr>
            <w:tcW w:w="1277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2"/>
              <w:ind w:left="100" w:right="0"/>
              <w:jc w:val="left"/>
              <w:rPr>
                <w:rFonts w:ascii="宋体" w:hAnsi="宋体" w:cs="宋体" w:eastAsia="宋体" w:hint="default"/>
                <w:sz w:val="18"/>
                <w:szCs w:val="18"/>
              </w:rPr>
            </w:pPr>
            <w:r>
              <w:rPr>
                <w:rFonts w:ascii="宋体" w:hAnsi="宋体" w:cs="宋体" w:eastAsia="宋体" w:hint="default"/>
                <w:sz w:val="18"/>
                <w:szCs w:val="18"/>
              </w:rPr>
              <w:t>√ 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tc>
      </w:tr>
      <w:tr>
        <w:trPr>
          <w:trHeight w:val="1262" w:hRule="exact"/>
        </w:trPr>
        <w:tc>
          <w:tcPr>
            <w:tcW w:w="1654" w:type="dxa"/>
            <w:vMerge/>
            <w:tcBorders>
              <w:left w:val="single" w:sz="12" w:space="0" w:color="000000"/>
              <w:bottom w:val="single" w:sz="6" w:space="0" w:color="000000"/>
              <w:right w:val="single" w:sz="6" w:space="0" w:color="000000"/>
            </w:tcBorders>
          </w:tcPr>
          <w:p>
            <w:pPr/>
          </w:p>
        </w:tc>
        <w:tc>
          <w:tcPr>
            <w:tcW w:w="12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基础平台软件系列研发升级项目原计划使用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8,198.00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日实际使用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7,697.08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万元，即本项目募集资金实际结余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500.92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万元，产生利</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305.90 </w:t>
            </w:r>
            <w:r>
              <w:rPr>
                <w:rFonts w:ascii="宋体" w:hAnsi="宋体" w:cs="宋体" w:eastAsia="宋体" w:hint="default"/>
                <w:sz w:val="18"/>
                <w:szCs w:val="18"/>
              </w:rPr>
              <w:t>万，共计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806.81 </w:t>
            </w:r>
            <w:r>
              <w:rPr>
                <w:rFonts w:ascii="宋体" w:hAnsi="宋体" w:cs="宋体" w:eastAsia="宋体" w:hint="default"/>
                <w:sz w:val="18"/>
                <w:szCs w:val="18"/>
              </w:rPr>
              <w:t>万元。出现结余的原因主要为：（</w:t>
            </w:r>
            <w:r>
              <w:rPr>
                <w:rFonts w:ascii="Times New Roman" w:hAnsi="Times New Roman" w:cs="Times New Roman" w:eastAsia="Times New Roman" w:hint="default"/>
                <w:sz w:val="18"/>
                <w:szCs w:val="18"/>
              </w:rPr>
              <w:t>1</w:t>
            </w:r>
            <w:r>
              <w:rPr>
                <w:rFonts w:ascii="宋体" w:hAnsi="宋体" w:cs="宋体" w:eastAsia="宋体" w:hint="default"/>
                <w:sz w:val="18"/>
                <w:szCs w:val="18"/>
              </w:rPr>
              <w:t>）项目实施过程中公司较好地控制了成本费用；（</w:t>
            </w:r>
            <w:r>
              <w:rPr>
                <w:rFonts w:ascii="Times New Roman" w:hAnsi="Times New Roman" w:cs="Times New Roman" w:eastAsia="Times New Roman" w:hint="default"/>
                <w:sz w:val="18"/>
                <w:szCs w:val="18"/>
              </w:rPr>
              <w:t>2</w:t>
            </w:r>
            <w:r>
              <w:rPr>
                <w:rFonts w:ascii="宋体" w:hAnsi="宋体" w:cs="宋体" w:eastAsia="宋体" w:hint="default"/>
                <w:sz w:val="18"/>
                <w:szCs w:val="18"/>
              </w:rPr>
              <w:t>）项目后期，部份完成开发工作的人员转入其</w:t>
            </w:r>
          </w:p>
          <w:p>
            <w:pPr>
              <w:pStyle w:val="TableParagraph"/>
              <w:spacing w:line="300" w:lineRule="auto" w:before="63"/>
              <w:ind w:left="100" w:right="0"/>
              <w:jc w:val="left"/>
              <w:rPr>
                <w:rFonts w:ascii="宋体" w:hAnsi="宋体" w:cs="宋体" w:eastAsia="宋体" w:hint="default"/>
                <w:sz w:val="18"/>
                <w:szCs w:val="18"/>
              </w:rPr>
            </w:pPr>
            <w:r>
              <w:rPr>
                <w:rFonts w:ascii="宋体" w:hAnsi="宋体" w:cs="宋体" w:eastAsia="宋体" w:hint="default"/>
                <w:spacing w:val="-3"/>
                <w:sz w:val="18"/>
                <w:szCs w:val="18"/>
              </w:rPr>
              <w:t>他项目组工作，人工成本与预算时比较有一定减少造成。注：</w:t>
            </w:r>
            <w:r>
              <w:rPr>
                <w:rFonts w:ascii="Times New Roman" w:hAnsi="Times New Roman" w:cs="Times New Roman" w:eastAsia="Times New Roman" w:hint="default"/>
                <w:spacing w:val="-3"/>
                <w:sz w:val="18"/>
                <w:szCs w:val="18"/>
              </w:rPr>
              <w:t>GIS</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基础平台结余资金（含利息）共计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806.81</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日全部转至超募资金账户， 用于超募项目</w:t>
            </w:r>
            <w:r>
              <w:rPr>
                <w:rFonts w:ascii="Times New Roman" w:hAnsi="Times New Roman" w:cs="Times New Roman" w:eastAsia="Times New Roman" w:hint="default"/>
                <w:sz w:val="18"/>
                <w:szCs w:val="18"/>
              </w:rPr>
              <w:t>——</w:t>
            </w:r>
            <w:r>
              <w:rPr>
                <w:rFonts w:ascii="宋体" w:hAnsi="宋体" w:cs="宋体" w:eastAsia="宋体" w:hint="default"/>
                <w:sz w:val="18"/>
                <w:szCs w:val="18"/>
              </w:rPr>
              <w:t>移动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GIS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的研发。</w:t>
            </w:r>
          </w:p>
        </w:tc>
      </w:tr>
      <w:tr>
        <w:trPr>
          <w:trHeight w:val="641" w:hRule="exact"/>
        </w:trPr>
        <w:tc>
          <w:tcPr>
            <w:tcW w:w="165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10"/>
              <w:ind w:left="182" w:right="189"/>
              <w:jc w:val="left"/>
              <w:rPr>
                <w:rFonts w:ascii="宋体" w:hAnsi="宋体" w:cs="宋体" w:eastAsia="宋体" w:hint="default"/>
                <w:sz w:val="18"/>
                <w:szCs w:val="18"/>
              </w:rPr>
            </w:pPr>
            <w:r>
              <w:rPr>
                <w:rFonts w:ascii="宋体" w:hAnsi="宋体" w:cs="宋体" w:eastAsia="宋体" w:hint="default"/>
                <w:sz w:val="18"/>
                <w:szCs w:val="18"/>
              </w:rPr>
              <w:t>尚未使用的募集 资金用途及去向</w:t>
            </w:r>
          </w:p>
        </w:tc>
        <w:tc>
          <w:tcPr>
            <w:tcW w:w="12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存储于募集资金帐户。</w:t>
            </w:r>
          </w:p>
        </w:tc>
      </w:tr>
      <w:tr>
        <w:trPr>
          <w:trHeight w:val="1004" w:hRule="exact"/>
        </w:trPr>
        <w:tc>
          <w:tcPr>
            <w:tcW w:w="1654" w:type="dxa"/>
            <w:tcBorders>
              <w:top w:val="single" w:sz="6" w:space="0" w:color="000000"/>
              <w:left w:val="single" w:sz="12" w:space="0" w:color="000000"/>
              <w:bottom w:val="single" w:sz="6" w:space="0" w:color="000000"/>
              <w:right w:val="single" w:sz="6" w:space="0" w:color="000000"/>
            </w:tcBorders>
          </w:tcPr>
          <w:p>
            <w:pPr>
              <w:pStyle w:val="TableParagraph"/>
              <w:spacing w:line="316" w:lineRule="auto" w:before="35"/>
              <w:ind w:left="182" w:right="189"/>
              <w:jc w:val="both"/>
              <w:rPr>
                <w:rFonts w:ascii="宋体" w:hAnsi="宋体" w:cs="宋体" w:eastAsia="宋体" w:hint="default"/>
                <w:sz w:val="18"/>
                <w:szCs w:val="18"/>
              </w:rPr>
            </w:pPr>
            <w:r>
              <w:rPr>
                <w:rFonts w:ascii="宋体" w:hAnsi="宋体" w:cs="宋体" w:eastAsia="宋体" w:hint="default"/>
                <w:sz w:val="18"/>
                <w:szCs w:val="18"/>
              </w:rPr>
              <w:t>募集资金使用及 披露中存在的问 题或其他情况</w:t>
            </w:r>
          </w:p>
        </w:tc>
        <w:tc>
          <w:tcPr>
            <w:tcW w:w="1277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0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年度，公司不存在募集资金使用及管理的违法违规情形，募集资金的使用已得到及时、准确、充分的披露。</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3"/>
                <w:sz w:val="18"/>
                <w:szCs w:val="18"/>
              </w:rPr>
              <w:t> </w:t>
            </w:r>
            <w:r>
              <w:rPr>
                <w:rFonts w:ascii="宋体" w:hAnsi="宋体" w:cs="宋体" w:eastAsia="宋体" w:hint="default"/>
                <w:sz w:val="18"/>
                <w:szCs w:val="18"/>
              </w:rPr>
              <w:t>年度公司将进一步完善募集资金使用制度， 加强募集资金管理以及披露。</w:t>
            </w:r>
          </w:p>
        </w:tc>
      </w:tr>
      <w:tr>
        <w:trPr>
          <w:trHeight w:val="329" w:hRule="exact"/>
        </w:trPr>
        <w:tc>
          <w:tcPr>
            <w:tcW w:w="14431"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10"/>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：“本年度投入募集资金总额”包括募集资金到账后“本年度投入金额”及实际已转换先期投入金额。</w:t>
            </w:r>
          </w:p>
        </w:tc>
      </w:tr>
      <w:tr>
        <w:trPr>
          <w:trHeight w:val="326" w:hRule="exact"/>
        </w:trPr>
        <w:tc>
          <w:tcPr>
            <w:tcW w:w="14431"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：“截至期末承诺投入金额”以最近一次已披露募集资金投资计划为依据确定。</w:t>
            </w:r>
          </w:p>
        </w:tc>
      </w:tr>
      <w:tr>
        <w:trPr>
          <w:trHeight w:val="334" w:hRule="exact"/>
        </w:trPr>
        <w:tc>
          <w:tcPr>
            <w:tcW w:w="14431" w:type="dxa"/>
            <w:gridSpan w:val="2"/>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：截止年末，两项产品研发类募集资金项目的本年度实现的效益指对应的销售收入。</w:t>
            </w:r>
          </w:p>
        </w:tc>
      </w:tr>
    </w:tbl>
    <w:p>
      <w:pPr>
        <w:spacing w:after="0" w:line="240" w:lineRule="auto"/>
        <w:jc w:val="left"/>
        <w:rPr>
          <w:rFonts w:ascii="宋体" w:hAnsi="宋体" w:cs="宋体" w:eastAsia="宋体" w:hint="default"/>
          <w:sz w:val="18"/>
          <w:szCs w:val="18"/>
        </w:rPr>
        <w:sectPr>
          <w:pgSz w:w="16840" w:h="11910" w:orient="landscape"/>
          <w:pgMar w:header="884" w:footer="1008" w:top="1140" w:bottom="1200" w:left="1200" w:right="9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p>
      <w:pPr>
        <w:spacing w:line="441" w:lineRule="auto" w:before="26"/>
        <w:ind w:left="217" w:right="466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）募集资金变更项目情况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报告期内，公司未发生募集资金变更项目情况。</w:t>
      </w:r>
    </w:p>
    <w:p>
      <w:pPr>
        <w:spacing w:line="439" w:lineRule="auto" w:before="98"/>
        <w:ind w:left="217" w:right="5734"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）非募集资金投资的重大项目情况</w:t>
      </w:r>
      <w:r>
        <w:rPr>
          <w:rFonts w:ascii="宋体" w:hAnsi="宋体" w:cs="宋体" w:eastAsia="宋体" w:hint="default"/>
          <w:b/>
          <w:bCs/>
          <w:w w:val="99"/>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不适用</w:t>
      </w:r>
    </w:p>
    <w:p>
      <w:pPr>
        <w:spacing w:line="441" w:lineRule="auto" w:before="61"/>
        <w:ind w:left="217" w:right="562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）证券投资情况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报告期内，公司未发生证券投资情况。</w:t>
      </w:r>
    </w:p>
    <w:p>
      <w:pPr>
        <w:spacing w:line="439" w:lineRule="auto" w:before="98"/>
        <w:ind w:left="217" w:right="418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6</w:t>
      </w:r>
      <w:r>
        <w:rPr>
          <w:rFonts w:ascii="宋体" w:hAnsi="宋体" w:cs="宋体" w:eastAsia="宋体" w:hint="default"/>
          <w:b/>
          <w:bCs/>
          <w:sz w:val="24"/>
          <w:szCs w:val="24"/>
        </w:rPr>
        <w:t>）持有其他上市公司股权情况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报告期内，公司未持有其他上市公司股权情况的说明</w:t>
      </w:r>
    </w:p>
    <w:p>
      <w:pPr>
        <w:spacing w:line="441" w:lineRule="auto" w:before="101"/>
        <w:ind w:left="217" w:right="394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7</w:t>
      </w:r>
      <w:r>
        <w:rPr>
          <w:rFonts w:ascii="宋体" w:hAnsi="宋体" w:cs="宋体" w:eastAsia="宋体" w:hint="default"/>
          <w:b/>
          <w:bCs/>
          <w:sz w:val="24"/>
          <w:szCs w:val="24"/>
        </w:rPr>
        <w:t>）持有非上市金融企业股权情况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报告期内，公司未持有非上市金融企业股权情况的说明</w:t>
      </w:r>
    </w:p>
    <w:p>
      <w:pPr>
        <w:spacing w:line="439" w:lineRule="auto" w:before="99"/>
        <w:ind w:left="217" w:right="394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8</w:t>
      </w:r>
      <w:r>
        <w:rPr>
          <w:rFonts w:ascii="宋体" w:hAnsi="宋体" w:cs="宋体" w:eastAsia="宋体" w:hint="default"/>
          <w:b/>
          <w:bCs/>
          <w:sz w:val="24"/>
          <w:szCs w:val="24"/>
        </w:rPr>
        <w:t>）买卖其他上市公司股份的情况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报告期内，公司不存在买卖其他上市公司股份的情况。</w:t>
      </w:r>
    </w:p>
    <w:p>
      <w:pPr>
        <w:pStyle w:val="Heading4"/>
        <w:spacing w:line="240" w:lineRule="auto" w:before="101"/>
        <w:ind w:left="217" w:right="0"/>
        <w:jc w:val="left"/>
        <w:rPr>
          <w:b w:val="0"/>
          <w:bCs w:val="0"/>
        </w:rPr>
      </w:pPr>
      <w:r>
        <w:rPr/>
        <w:t>（</w:t>
      </w:r>
      <w:r>
        <w:rPr>
          <w:rFonts w:ascii="Times New Roman" w:hAnsi="Times New Roman" w:cs="Times New Roman" w:eastAsia="Times New Roman" w:hint="default"/>
        </w:rPr>
        <w:t>9</w:t>
      </w:r>
      <w:r>
        <w:rPr/>
        <w:t>）外币金融资产和外币金融负债</w:t>
      </w:r>
      <w:r>
        <w:rPr>
          <w:b w:val="0"/>
          <w:bCs w:val="0"/>
        </w:rPr>
      </w:r>
    </w:p>
    <w:p>
      <w:pPr>
        <w:spacing w:line="240" w:lineRule="auto" w:before="5"/>
        <w:rPr>
          <w:rFonts w:ascii="宋体" w:hAnsi="宋体" w:cs="宋体" w:eastAsia="宋体" w:hint="default"/>
          <w:b/>
          <w:bCs/>
          <w:sz w:val="21"/>
          <w:szCs w:val="21"/>
        </w:rPr>
      </w:pPr>
    </w:p>
    <w:p>
      <w:pPr>
        <w:pStyle w:val="BodyText"/>
        <w:spacing w:line="240" w:lineRule="auto"/>
        <w:ind w:left="217"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7"/>
        <w:rPr>
          <w:rFonts w:ascii="宋体" w:hAnsi="宋体" w:cs="宋体" w:eastAsia="宋体" w:hint="default"/>
          <w:sz w:val="21"/>
          <w:szCs w:val="21"/>
        </w:rPr>
      </w:pPr>
    </w:p>
    <w:p>
      <w:pPr>
        <w:pStyle w:val="Heading4"/>
        <w:spacing w:line="240" w:lineRule="auto"/>
        <w:ind w:left="217" w:right="0"/>
        <w:jc w:val="left"/>
        <w:rPr>
          <w:b w:val="0"/>
          <w:bCs w:val="0"/>
        </w:rPr>
      </w:pPr>
      <w:bookmarkStart w:name="_bookmark19" w:id="20"/>
      <w:bookmarkEnd w:id="20"/>
      <w:r>
        <w:rPr>
          <w:b w:val="0"/>
          <w:bCs w:val="0"/>
        </w:rPr>
      </w:r>
      <w:r>
        <w:rPr>
          <w:rFonts w:ascii="Times New Roman" w:hAnsi="Times New Roman" w:cs="Times New Roman" w:eastAsia="Times New Roman" w:hint="default"/>
        </w:rPr>
        <w:t>6</w:t>
      </w:r>
      <w:r>
        <w:rPr/>
        <w:t>、主要控股参股公司分析</w:t>
      </w:r>
      <w:r>
        <w:rPr>
          <w:b w:val="0"/>
          <w:bCs w:val="0"/>
        </w:rPr>
      </w:r>
    </w:p>
    <w:p>
      <w:pPr>
        <w:spacing w:line="240" w:lineRule="auto" w:before="6"/>
        <w:rPr>
          <w:rFonts w:ascii="宋体" w:hAnsi="宋体" w:cs="宋体" w:eastAsia="宋体" w:hint="default"/>
          <w:b/>
          <w:bCs/>
          <w:sz w:val="21"/>
          <w:szCs w:val="21"/>
        </w:rPr>
      </w:pPr>
    </w:p>
    <w:p>
      <w:pPr>
        <w:spacing w:before="0"/>
        <w:ind w:left="217" w:right="0"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）报告期内，公司的全资、控股子公司的经营情况</w:t>
      </w:r>
      <w:r>
        <w:rPr>
          <w:rFonts w:ascii="宋体" w:hAnsi="宋体" w:cs="宋体" w:eastAsia="宋体" w:hint="default"/>
          <w:sz w:val="24"/>
          <w:szCs w:val="24"/>
        </w:rPr>
      </w:r>
    </w:p>
    <w:p>
      <w:pPr>
        <w:spacing w:line="240" w:lineRule="auto" w:before="6"/>
        <w:rPr>
          <w:rFonts w:ascii="宋体" w:hAnsi="宋体" w:cs="宋体" w:eastAsia="宋体" w:hint="default"/>
          <w:b/>
          <w:bCs/>
          <w:sz w:val="27"/>
          <w:szCs w:val="27"/>
        </w:rPr>
      </w:pPr>
    </w:p>
    <w:p>
      <w:pPr>
        <w:pStyle w:val="BodyText"/>
        <w:tabs>
          <w:tab w:pos="1069" w:val="left" w:leader="none"/>
        </w:tabs>
        <w:spacing w:line="369" w:lineRule="auto"/>
        <w:ind w:left="697" w:right="231" w:hanging="58"/>
        <w:jc w:val="left"/>
      </w:pPr>
      <w:r>
        <w:rPr>
          <w:rFonts w:ascii="Wingdings" w:hAnsi="Wingdings" w:cs="Wingdings" w:eastAsia="Wingdings" w:hint="default"/>
        </w:rPr>
        <w:t></w:t>
      </w:r>
      <w:r>
        <w:rPr>
          <w:rFonts w:ascii="Times New Roman" w:hAnsi="Times New Roman" w:cs="Times New Roman" w:eastAsia="Times New Roman" w:hint="default"/>
        </w:rPr>
        <w:tab/>
      </w:r>
      <w:r>
        <w:rPr/>
        <w:t>超图信息 </w:t>
      </w:r>
      <w:r>
        <w:rPr>
          <w:spacing w:val="-3"/>
        </w:rPr>
        <w:t>成立日期：</w:t>
      </w: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17</w:t>
      </w:r>
      <w:r>
        <w:rPr>
          <w:spacing w:val="-3"/>
        </w:rPr>
        <w:t>日，注册资本</w:t>
      </w:r>
      <w:r>
        <w:rPr>
          <w:rFonts w:ascii="Times New Roman" w:hAnsi="Times New Roman" w:cs="Times New Roman" w:eastAsia="Times New Roman" w:hint="default"/>
          <w:spacing w:val="-3"/>
        </w:rPr>
        <w:t>500</w:t>
      </w:r>
      <w:r>
        <w:rPr>
          <w:spacing w:val="-3"/>
        </w:rPr>
        <w:t>万元人民币，是公司的全资子公司。超图信息</w:t>
      </w:r>
    </w:p>
    <w:p>
      <w:pPr>
        <w:pStyle w:val="BodyText"/>
        <w:spacing w:line="338" w:lineRule="auto"/>
        <w:ind w:left="697" w:right="2362" w:hanging="480"/>
        <w:jc w:val="left"/>
      </w:pPr>
      <w:r>
        <w:rPr/>
        <w:t>主要面向安全部门提供</w:t>
      </w:r>
      <w:r>
        <w:rPr>
          <w:rFonts w:ascii="Times New Roman" w:hAnsi="Times New Roman" w:cs="Times New Roman" w:eastAsia="Times New Roman" w:hint="default"/>
        </w:rPr>
        <w:t>GIS</w:t>
      </w:r>
      <w:r>
        <w:rPr/>
        <w:t>信息系统技术开发和相关平台产品的研发。 超图信息</w:t>
      </w:r>
      <w:r>
        <w:rPr>
          <w:rFonts w:ascii="Times New Roman" w:hAnsi="Times New Roman" w:cs="Times New Roman" w:eastAsia="Times New Roman" w:hint="default"/>
        </w:rPr>
        <w:t>2012</w:t>
      </w:r>
      <w:r>
        <w:rPr/>
        <w:t>年经营情况如下：</w:t>
      </w:r>
    </w:p>
    <w:p>
      <w:pPr>
        <w:pStyle w:val="BodyText"/>
        <w:spacing w:line="240" w:lineRule="auto" w:before="27"/>
        <w:ind w:left="0" w:right="228"/>
        <w:jc w:val="right"/>
      </w:pPr>
      <w:r>
        <w:rPr/>
        <w:t>单位：万元</w:t>
      </w:r>
    </w:p>
    <w:p>
      <w:pPr>
        <w:spacing w:line="240" w:lineRule="auto" w:before="10"/>
        <w:rPr>
          <w:rFonts w:ascii="宋体" w:hAnsi="宋体" w:cs="宋体" w:eastAsia="宋体"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2537"/>
        <w:gridCol w:w="2273"/>
        <w:gridCol w:w="2338"/>
        <w:gridCol w:w="2566"/>
      </w:tblGrid>
      <w:tr>
        <w:trPr>
          <w:trHeight w:val="317" w:hRule="exact"/>
        </w:trPr>
        <w:tc>
          <w:tcPr>
            <w:tcW w:w="2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7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78" w:lineRule="exact"/>
              <w:ind w:right="4"/>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5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643" w:right="0"/>
              <w:jc w:val="left"/>
              <w:rPr>
                <w:rFonts w:ascii="宋体" w:hAnsi="宋体" w:cs="宋体" w:eastAsia="宋体" w:hint="default"/>
                <w:sz w:val="21"/>
                <w:szCs w:val="21"/>
              </w:rPr>
            </w:pPr>
            <w:r>
              <w:rPr>
                <w:rFonts w:ascii="宋体" w:hAnsi="宋体" w:cs="宋体" w:eastAsia="宋体" w:hint="default"/>
                <w:b/>
                <w:bCs/>
                <w:sz w:val="21"/>
                <w:szCs w:val="21"/>
              </w:rPr>
              <w:t>同比变动幅度</w:t>
            </w:r>
            <w:r>
              <w:rPr>
                <w:rFonts w:ascii="宋体" w:hAnsi="宋体" w:cs="宋体" w:eastAsia="宋体" w:hint="default"/>
                <w:sz w:val="21"/>
                <w:szCs w:val="21"/>
              </w:rPr>
            </w:r>
          </w:p>
        </w:tc>
      </w:tr>
      <w:tr>
        <w:trPr>
          <w:trHeight w:val="360" w:hRule="exact"/>
        </w:trPr>
        <w:tc>
          <w:tcPr>
            <w:tcW w:w="2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4"/>
              <w:ind w:left="2"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273"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179.8</w:t>
            </w:r>
          </w:p>
        </w:tc>
        <w:tc>
          <w:tcPr>
            <w:tcW w:w="2338"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1,158.51</w:t>
            </w:r>
          </w:p>
        </w:tc>
        <w:tc>
          <w:tcPr>
            <w:tcW w:w="2566"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13"/>
              <w:ind w:right="101"/>
              <w:jc w:val="right"/>
              <w:rPr>
                <w:rFonts w:ascii="宋体" w:hAnsi="宋体" w:cs="宋体" w:eastAsia="宋体" w:hint="default"/>
                <w:sz w:val="21"/>
                <w:szCs w:val="21"/>
              </w:rPr>
            </w:pPr>
            <w:r>
              <w:rPr>
                <w:rFonts w:ascii="宋体"/>
                <w:spacing w:val="-1"/>
                <w:sz w:val="21"/>
              </w:rPr>
              <w:t>-84.48%</w:t>
            </w:r>
          </w:p>
        </w:tc>
      </w:tr>
      <w:tr>
        <w:trPr>
          <w:trHeight w:val="326" w:hRule="exact"/>
        </w:trPr>
        <w:tc>
          <w:tcPr>
            <w:tcW w:w="2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营业利润</w:t>
            </w:r>
            <w:r>
              <w:rPr>
                <w:rFonts w:ascii="宋体" w:hAnsi="宋体" w:cs="宋体" w:eastAsia="宋体" w:hint="default"/>
                <w:sz w:val="21"/>
                <w:szCs w:val="21"/>
              </w:rPr>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-444.05</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476.63</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-191.16%</w:t>
            </w:r>
          </w:p>
        </w:tc>
      </w:tr>
    </w:tbl>
    <w:p>
      <w:pPr>
        <w:spacing w:after="0" w:line="265" w:lineRule="exact"/>
        <w:jc w:val="right"/>
        <w:rPr>
          <w:rFonts w:ascii="宋体" w:hAnsi="宋体" w:cs="宋体" w:eastAsia="宋体" w:hint="default"/>
          <w:sz w:val="21"/>
          <w:szCs w:val="21"/>
        </w:rPr>
        <w:sectPr>
          <w:headerReference w:type="default" r:id="rId19"/>
          <w:footerReference w:type="default" r:id="rId20"/>
          <w:pgSz w:w="11910" w:h="16840"/>
          <w:pgMar w:header="884" w:footer="1007" w:top="1100" w:bottom="1200" w:left="1060" w:right="900"/>
          <w:pgNumType w:start="30"/>
        </w:sectPr>
      </w:pPr>
    </w:p>
    <w:p>
      <w:pPr>
        <w:spacing w:line="240" w:lineRule="auto" w:before="6"/>
        <w:rPr>
          <w:rFonts w:ascii="宋体" w:hAnsi="宋体" w:cs="宋体" w:eastAsia="宋体" w:hint="default"/>
          <w:sz w:val="21"/>
          <w:szCs w:val="21"/>
        </w:rPr>
      </w:pPr>
    </w:p>
    <w:tbl>
      <w:tblPr>
        <w:tblW w:w="0" w:type="auto"/>
        <w:jc w:val="left"/>
        <w:tblInd w:w="123" w:type="dxa"/>
        <w:tblLayout w:type="fixed"/>
        <w:tblCellMar>
          <w:top w:w="0" w:type="dxa"/>
          <w:left w:w="0" w:type="dxa"/>
          <w:bottom w:w="0" w:type="dxa"/>
          <w:right w:w="0" w:type="dxa"/>
        </w:tblCellMar>
        <w:tblLook w:val="01E0"/>
      </w:tblPr>
      <w:tblGrid>
        <w:gridCol w:w="2536"/>
        <w:gridCol w:w="2275"/>
        <w:gridCol w:w="2338"/>
        <w:gridCol w:w="2566"/>
      </w:tblGrid>
      <w:tr>
        <w:trPr>
          <w:trHeight w:val="324" w:hRule="exact"/>
        </w:trPr>
        <w:tc>
          <w:tcPr>
            <w:tcW w:w="2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3" w:lineRule="exact"/>
              <w:ind w:left="946" w:right="0"/>
              <w:jc w:val="left"/>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3"/>
              <w:jc w:val="right"/>
              <w:rPr>
                <w:rFonts w:ascii="Times New Roman" w:hAnsi="Times New Roman" w:cs="Times New Roman" w:eastAsia="Times New Roman" w:hint="default"/>
                <w:sz w:val="21"/>
                <w:szCs w:val="21"/>
              </w:rPr>
            </w:pPr>
            <w:r>
              <w:rPr>
                <w:rFonts w:ascii="Times New Roman"/>
                <w:spacing w:val="-1"/>
                <w:sz w:val="21"/>
              </w:rPr>
              <w:t>-437.40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z w:val="21"/>
              </w:rPr>
              <w:t>388.43</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-212.61%</w:t>
            </w:r>
          </w:p>
        </w:tc>
      </w:tr>
      <w:tr>
        <w:trPr>
          <w:trHeight w:val="326" w:hRule="exact"/>
        </w:trPr>
        <w:tc>
          <w:tcPr>
            <w:tcW w:w="2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5" w:lineRule="exact"/>
              <w:ind w:left="946" w:right="0"/>
              <w:jc w:val="left"/>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z w:val="21"/>
              </w:rPr>
              <w:t>285.60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z w:val="21"/>
              </w:rPr>
              <w:t>722.99</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-60.50%</w:t>
            </w:r>
          </w:p>
        </w:tc>
      </w:tr>
      <w:tr>
        <w:trPr>
          <w:trHeight w:val="324" w:hRule="exact"/>
        </w:trPr>
        <w:tc>
          <w:tcPr>
            <w:tcW w:w="25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left="946" w:right="0"/>
              <w:jc w:val="left"/>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1,055.64</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01"/>
              <w:jc w:val="right"/>
              <w:rPr>
                <w:rFonts w:ascii="Times New Roman" w:hAnsi="Times New Roman" w:cs="Times New Roman" w:eastAsia="Times New Roman" w:hint="default"/>
                <w:sz w:val="21"/>
                <w:szCs w:val="21"/>
              </w:rPr>
            </w:pPr>
            <w:r>
              <w:rPr>
                <w:rFonts w:ascii="Times New Roman"/>
                <w:spacing w:val="-1"/>
                <w:sz w:val="21"/>
              </w:rPr>
              <w:t>2,026.70</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1"/>
                <w:szCs w:val="21"/>
              </w:rPr>
            </w:pPr>
            <w:r>
              <w:rPr>
                <w:rFonts w:ascii="宋体"/>
                <w:spacing w:val="-1"/>
                <w:sz w:val="21"/>
              </w:rPr>
              <w:t>-47.91%</w:t>
            </w:r>
          </w:p>
        </w:tc>
      </w:tr>
    </w:tbl>
    <w:p>
      <w:pPr>
        <w:pStyle w:val="BodyText"/>
        <w:spacing w:line="348" w:lineRule="auto" w:before="39"/>
        <w:ind w:left="237" w:right="109" w:firstLine="480"/>
        <w:jc w:val="left"/>
      </w:pPr>
      <w:r>
        <w:rPr/>
        <w:t>超图信息在报告期内销售收入大幅下滑，且出现</w:t>
      </w:r>
      <w:r>
        <w:rPr>
          <w:rFonts w:ascii="Times New Roman" w:hAnsi="Times New Roman" w:cs="Times New Roman" w:eastAsia="Times New Roman" w:hint="default"/>
        </w:rPr>
        <w:t>437</w:t>
      </w:r>
      <w:r>
        <w:rPr/>
        <w:t>万元的亏损，对公司合并净利润造 成了较大影响。主要原因为，报告期间公司承担的部分安全项目，由于总集单位项目延期， 对公司的项目实施进度造成严重影响。此外，公司在该领域市场开拓有一定压力。</w:t>
      </w:r>
    </w:p>
    <w:p>
      <w:pPr>
        <w:pStyle w:val="BodyText"/>
        <w:tabs>
          <w:tab w:pos="1089" w:val="left" w:leader="none"/>
        </w:tabs>
        <w:spacing w:line="240" w:lineRule="auto" w:before="86"/>
        <w:ind w:left="659" w:right="109"/>
        <w:jc w:val="left"/>
      </w:pPr>
      <w:r>
        <w:rPr>
          <w:rFonts w:ascii="Wingdings" w:hAnsi="Wingdings" w:cs="Wingdings" w:eastAsia="Wingdings" w:hint="default"/>
        </w:rPr>
        <w:t></w:t>
      </w:r>
      <w:r>
        <w:rPr>
          <w:rFonts w:ascii="Times New Roman" w:hAnsi="Times New Roman" w:cs="Times New Roman" w:eastAsia="Times New Roman" w:hint="default"/>
        </w:rPr>
        <w:tab/>
      </w:r>
      <w:r>
        <w:rPr/>
        <w:t>超图国际</w:t>
      </w:r>
    </w:p>
    <w:p>
      <w:pPr>
        <w:pStyle w:val="BodyText"/>
        <w:spacing w:line="338" w:lineRule="auto" w:before="178"/>
        <w:ind w:left="237" w:right="109" w:firstLine="480"/>
        <w:jc w:val="left"/>
      </w:pPr>
      <w:r>
        <w:rPr>
          <w:rFonts w:ascii="Times New Roman" w:hAnsi="Times New Roman" w:cs="Times New Roman" w:eastAsia="Times New Roman" w:hint="default"/>
          <w:spacing w:val="-3"/>
        </w:rPr>
        <w:t>2006</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28</w:t>
      </w:r>
      <w:r>
        <w:rPr>
          <w:spacing w:val="-3"/>
        </w:rPr>
        <w:t>日，本公司在中国香港特别行政区注册成立超图国际，超图国际登记的总</w:t>
      </w:r>
      <w:r>
        <w:rPr/>
        <w:t> 股本为</w:t>
      </w:r>
      <w:r>
        <w:rPr>
          <w:rFonts w:ascii="Times New Roman" w:hAnsi="Times New Roman" w:cs="Times New Roman" w:eastAsia="Times New Roman" w:hint="default"/>
        </w:rPr>
        <w:t>4,000</w:t>
      </w:r>
      <w:r>
        <w:rPr/>
        <w:t>股，已发行</w:t>
      </w:r>
      <w:r>
        <w:rPr>
          <w:rFonts w:ascii="Times New Roman" w:hAnsi="Times New Roman" w:cs="Times New Roman" w:eastAsia="Times New Roman" w:hint="default"/>
        </w:rPr>
        <w:t>3,730</w:t>
      </w:r>
      <w:r>
        <w:rPr/>
        <w:t>股，为本公司全资控股子公司。</w:t>
      </w:r>
    </w:p>
    <w:p>
      <w:pPr>
        <w:pStyle w:val="BodyText"/>
        <w:spacing w:line="240" w:lineRule="auto" w:before="27"/>
        <w:ind w:left="717" w:right="109"/>
        <w:jc w:val="left"/>
      </w:pPr>
      <w:r>
        <w:rPr/>
        <w:t>超图国际</w:t>
      </w:r>
      <w:r>
        <w:rPr>
          <w:rFonts w:ascii="Times New Roman" w:hAnsi="Times New Roman" w:cs="Times New Roman" w:eastAsia="Times New Roman" w:hint="default"/>
        </w:rPr>
        <w:t>2012</w:t>
      </w:r>
      <w:r>
        <w:rPr/>
        <w:t>年度的经营情况如下：</w:t>
      </w:r>
    </w:p>
    <w:p>
      <w:pPr>
        <w:spacing w:line="240" w:lineRule="auto" w:before="5"/>
        <w:rPr>
          <w:rFonts w:ascii="宋体" w:hAnsi="宋体" w:cs="宋体" w:eastAsia="宋体" w:hint="default"/>
          <w:sz w:val="8"/>
          <w:szCs w:val="8"/>
        </w:rPr>
      </w:pPr>
    </w:p>
    <w:p>
      <w:pPr>
        <w:pStyle w:val="BodyText"/>
        <w:spacing w:line="240" w:lineRule="auto" w:before="26"/>
        <w:ind w:left="0" w:right="228"/>
        <w:jc w:val="right"/>
      </w:pPr>
      <w:r>
        <w:rPr/>
        <w:t>单位：万元</w:t>
      </w:r>
    </w:p>
    <w:p>
      <w:pPr>
        <w:spacing w:line="240" w:lineRule="auto" w:before="1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537"/>
        <w:gridCol w:w="2271"/>
        <w:gridCol w:w="2338"/>
        <w:gridCol w:w="2569"/>
      </w:tblGrid>
      <w:tr>
        <w:trPr>
          <w:trHeight w:val="331"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7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8" w:lineRule="exact"/>
              <w:ind w:right="4"/>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3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8"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56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2" w:lineRule="exact"/>
              <w:ind w:left="639" w:right="0"/>
              <w:jc w:val="left"/>
              <w:rPr>
                <w:rFonts w:ascii="宋体" w:hAnsi="宋体" w:cs="宋体" w:eastAsia="宋体" w:hint="default"/>
                <w:sz w:val="21"/>
                <w:szCs w:val="21"/>
              </w:rPr>
            </w:pPr>
            <w:r>
              <w:rPr>
                <w:rFonts w:ascii="宋体" w:hAnsi="宋体" w:cs="宋体" w:eastAsia="宋体" w:hint="default"/>
                <w:b/>
                <w:bCs/>
                <w:sz w:val="21"/>
                <w:szCs w:val="21"/>
              </w:rPr>
              <w:t>同比变动幅度</w:t>
            </w:r>
            <w:r>
              <w:rPr>
                <w:rFonts w:ascii="宋体" w:hAnsi="宋体" w:cs="宋体" w:eastAsia="宋体" w:hint="default"/>
                <w:sz w:val="21"/>
                <w:szCs w:val="21"/>
              </w:rPr>
            </w:r>
          </w:p>
        </w:tc>
      </w:tr>
      <w:tr>
        <w:trPr>
          <w:trHeight w:val="350"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68.97</w:t>
            </w:r>
          </w:p>
        </w:tc>
        <w:tc>
          <w:tcPr>
            <w:tcW w:w="23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67.72</w:t>
            </w:r>
          </w:p>
        </w:tc>
        <w:tc>
          <w:tcPr>
            <w:tcW w:w="2569" w:type="dxa"/>
            <w:tcBorders>
              <w:top w:val="single" w:sz="8" w:space="0" w:color="000000"/>
              <w:left w:val="single" w:sz="8"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sz w:val="21"/>
              </w:rPr>
              <w:t>1.85%</w:t>
            </w:r>
          </w:p>
        </w:tc>
      </w:tr>
      <w:tr>
        <w:trPr>
          <w:trHeight w:val="350"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营业利润</w:t>
            </w:r>
            <w:r>
              <w:rPr>
                <w:rFonts w:ascii="宋体" w:hAnsi="宋体" w:cs="宋体" w:eastAsia="宋体" w:hint="default"/>
                <w:sz w:val="21"/>
                <w:szCs w:val="21"/>
              </w:rPr>
            </w:r>
          </w:p>
        </w:tc>
        <w:tc>
          <w:tcPr>
            <w:tcW w:w="2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-8.14</w:t>
            </w:r>
          </w:p>
        </w:tc>
        <w:tc>
          <w:tcPr>
            <w:tcW w:w="23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5.59</w:t>
            </w:r>
          </w:p>
        </w:tc>
        <w:tc>
          <w:tcPr>
            <w:tcW w:w="256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-245.62%</w:t>
            </w:r>
          </w:p>
        </w:tc>
      </w:tr>
      <w:tr>
        <w:trPr>
          <w:trHeight w:val="350"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tc>
        <w:tc>
          <w:tcPr>
            <w:tcW w:w="2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-8.38</w:t>
            </w:r>
          </w:p>
        </w:tc>
        <w:tc>
          <w:tcPr>
            <w:tcW w:w="23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5.59</w:t>
            </w:r>
          </w:p>
        </w:tc>
        <w:tc>
          <w:tcPr>
            <w:tcW w:w="256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-249.91%</w:t>
            </w:r>
          </w:p>
        </w:tc>
      </w:tr>
      <w:tr>
        <w:trPr>
          <w:trHeight w:val="348"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2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515.32</w:t>
            </w:r>
          </w:p>
        </w:tc>
        <w:tc>
          <w:tcPr>
            <w:tcW w:w="23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523.87</w:t>
            </w:r>
          </w:p>
        </w:tc>
        <w:tc>
          <w:tcPr>
            <w:tcW w:w="256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-1.63%</w:t>
            </w:r>
          </w:p>
        </w:tc>
      </w:tr>
      <w:tr>
        <w:trPr>
          <w:trHeight w:val="353"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2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Times New Roman" w:hAnsi="Times New Roman" w:cs="Times New Roman" w:eastAsia="Times New Roman" w:hint="default"/>
                <w:sz w:val="21"/>
                <w:szCs w:val="21"/>
              </w:rPr>
            </w:pPr>
            <w:r>
              <w:rPr>
                <w:rFonts w:ascii="Times New Roman"/>
                <w:sz w:val="21"/>
              </w:rPr>
              <w:t>545.74</w:t>
            </w:r>
          </w:p>
        </w:tc>
        <w:tc>
          <w:tcPr>
            <w:tcW w:w="23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5"/>
              <w:jc w:val="right"/>
              <w:rPr>
                <w:rFonts w:ascii="Times New Roman" w:hAnsi="Times New Roman" w:cs="Times New Roman" w:eastAsia="Times New Roman" w:hint="default"/>
                <w:sz w:val="21"/>
                <w:szCs w:val="21"/>
              </w:rPr>
            </w:pPr>
            <w:r>
              <w:rPr>
                <w:rFonts w:ascii="Times New Roman"/>
                <w:sz w:val="21"/>
              </w:rPr>
              <w:t>554.76</w:t>
            </w:r>
          </w:p>
        </w:tc>
        <w:tc>
          <w:tcPr>
            <w:tcW w:w="256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-1.63%</w:t>
            </w:r>
          </w:p>
        </w:tc>
      </w:tr>
    </w:tbl>
    <w:p>
      <w:pPr>
        <w:pStyle w:val="BodyText"/>
        <w:spacing w:line="357" w:lineRule="auto" w:before="39"/>
        <w:ind w:left="237" w:right="109" w:firstLine="480"/>
        <w:jc w:val="left"/>
      </w:pPr>
      <w:r>
        <w:rPr>
          <w:spacing w:val="-3"/>
        </w:rPr>
        <w:t>报告期内，为了进一步整合技术和服务资源，公司下属广州分公司同时负责超图国际香</w:t>
      </w:r>
      <w:r>
        <w:rPr/>
        <w:t> 港、澳门市场拓展和服务，部分业务转至总公司承接。此外，受国际市场经济危机的影响， 报告期内超图国际业务发展遇到一定困难。</w:t>
      </w:r>
    </w:p>
    <w:p>
      <w:pPr>
        <w:pStyle w:val="BodyText"/>
        <w:tabs>
          <w:tab w:pos="1089" w:val="left" w:leader="none"/>
        </w:tabs>
        <w:spacing w:line="240" w:lineRule="auto" w:before="77"/>
        <w:ind w:left="659" w:right="109"/>
        <w:jc w:val="left"/>
      </w:pPr>
      <w:r>
        <w:rPr>
          <w:rFonts w:ascii="Wingdings" w:hAnsi="Wingdings" w:cs="Wingdings" w:eastAsia="Wingdings" w:hint="default"/>
        </w:rPr>
        <w:t></w:t>
      </w:r>
      <w:r>
        <w:rPr>
          <w:rFonts w:ascii="Times New Roman" w:hAnsi="Times New Roman" w:cs="Times New Roman" w:eastAsia="Times New Roman" w:hint="default"/>
        </w:rPr>
        <w:tab/>
      </w:r>
      <w:r>
        <w:rPr/>
        <w:t>日本超图</w:t>
      </w:r>
    </w:p>
    <w:p>
      <w:pPr>
        <w:pStyle w:val="BodyText"/>
        <w:spacing w:line="338" w:lineRule="auto" w:before="175"/>
        <w:ind w:left="237" w:right="109" w:firstLine="480"/>
        <w:jc w:val="left"/>
      </w:pPr>
      <w:r>
        <w:rPr>
          <w:spacing w:val="11"/>
        </w:rPr>
        <w:t>日本超图株式会社成立于</w:t>
      </w:r>
      <w:r>
        <w:rPr>
          <w:rFonts w:ascii="Times New Roman" w:hAnsi="Times New Roman" w:cs="Times New Roman" w:eastAsia="Times New Roman" w:hint="default"/>
          <w:spacing w:val="11"/>
        </w:rPr>
        <w:t>2000</w:t>
      </w:r>
      <w:r>
        <w:rPr>
          <w:spacing w:val="11"/>
        </w:rPr>
        <w:t>年</w:t>
      </w:r>
      <w:r>
        <w:rPr>
          <w:rFonts w:ascii="Times New Roman" w:hAnsi="Times New Roman" w:cs="Times New Roman" w:eastAsia="Times New Roman" w:hint="default"/>
          <w:spacing w:val="11"/>
        </w:rPr>
        <w:t>7</w:t>
      </w:r>
      <w:r>
        <w:rPr>
          <w:spacing w:val="11"/>
        </w:rPr>
        <w:t>月</w:t>
      </w:r>
      <w:r>
        <w:rPr>
          <w:rFonts w:ascii="Times New Roman" w:hAnsi="Times New Roman" w:cs="Times New Roman" w:eastAsia="Times New Roman" w:hint="default"/>
          <w:spacing w:val="11"/>
        </w:rPr>
        <w:t>25</w:t>
      </w:r>
      <w:r>
        <w:rPr>
          <w:spacing w:val="11"/>
        </w:rPr>
        <w:t>日，注册资本为</w:t>
      </w:r>
      <w:r>
        <w:rPr>
          <w:rFonts w:ascii="Times New Roman" w:hAnsi="Times New Roman" w:cs="Times New Roman" w:eastAsia="Times New Roman" w:hint="default"/>
          <w:spacing w:val="11"/>
        </w:rPr>
        <w:t>236,200,000</w:t>
      </w:r>
      <w:r>
        <w:rPr>
          <w:spacing w:val="11"/>
        </w:rPr>
        <w:t>日元，主要从事</w:t>
      </w:r>
      <w:r>
        <w:rPr>
          <w:spacing w:val="16"/>
        </w:rPr>
        <w:t> </w:t>
      </w:r>
      <w:r>
        <w:rPr>
          <w:rFonts w:ascii="Times New Roman" w:hAnsi="Times New Roman" w:cs="Times New Roman" w:eastAsia="Times New Roman" w:hint="default"/>
        </w:rPr>
        <w:t>SuperMap</w:t>
      </w:r>
      <w:r>
        <w:rPr>
          <w:rFonts w:ascii="Times New Roman" w:hAnsi="Times New Roman" w:cs="Times New Roman" w:eastAsia="Times New Roman" w:hint="default"/>
          <w:spacing w:val="-4"/>
        </w:rPr>
        <w:t> </w:t>
      </w:r>
      <w:r>
        <w:rPr>
          <w:rFonts w:ascii="Times New Roman" w:hAnsi="Times New Roman" w:cs="Times New Roman" w:eastAsia="Times New Roman" w:hint="default"/>
        </w:rPr>
        <w:t>GIS</w:t>
      </w:r>
      <w:r>
        <w:rPr/>
        <w:t>日文版的研发、销售和日本地区地理信息工程应用服务。</w:t>
      </w:r>
    </w:p>
    <w:p>
      <w:pPr>
        <w:pStyle w:val="BodyText"/>
        <w:spacing w:line="338" w:lineRule="auto" w:before="27"/>
        <w:ind w:left="237" w:right="228" w:firstLine="480"/>
        <w:jc w:val="both"/>
      </w:pPr>
      <w:r>
        <w:rPr/>
        <w:t>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11</w:t>
      </w:r>
      <w:r>
        <w:rPr/>
        <w:t>日以增资和股权收购的方式增持日本超图株式会社</w:t>
      </w:r>
      <w:r>
        <w:rPr>
          <w:rFonts w:ascii="Times New Roman" w:hAnsi="Times New Roman" w:cs="Times New Roman" w:eastAsia="Times New Roman" w:hint="default"/>
        </w:rPr>
        <w:t>19,400</w:t>
      </w:r>
      <w:r>
        <w:rPr/>
        <w:t>股，股权</w:t>
      </w:r>
      <w:r>
        <w:rPr>
          <w:spacing w:val="2"/>
        </w:rPr>
        <w:t> </w:t>
      </w:r>
      <w:r>
        <w:rPr/>
        <w:t>比例为</w:t>
      </w:r>
      <w:r>
        <w:rPr>
          <w:rFonts w:ascii="Times New Roman" w:hAnsi="Times New Roman" w:cs="Times New Roman" w:eastAsia="Times New Roman" w:hint="default"/>
        </w:rPr>
        <w:t>36.60%</w:t>
      </w:r>
      <w:r>
        <w:rPr/>
        <w:t>股权，此外，公司通过全资控股子公司超图国际持有</w:t>
      </w:r>
      <w:r>
        <w:rPr>
          <w:rFonts w:ascii="Times New Roman" w:hAnsi="Times New Roman" w:cs="Times New Roman" w:eastAsia="Times New Roman" w:hint="default"/>
        </w:rPr>
        <w:t>15.09%</w:t>
      </w:r>
      <w:r>
        <w:rPr/>
        <w:t>股权。因此，公</w:t>
      </w:r>
      <w:r>
        <w:rPr>
          <w:spacing w:val="-35"/>
        </w:rPr>
        <w:t> </w:t>
      </w:r>
      <w:r>
        <w:rPr>
          <w:spacing w:val="-35"/>
        </w:rPr>
      </w:r>
      <w:r>
        <w:rPr/>
        <w:t>司通过直接和间接的方式共持有日本超图</w:t>
      </w:r>
      <w:r>
        <w:rPr>
          <w:rFonts w:ascii="Times New Roman" w:hAnsi="Times New Roman" w:cs="Times New Roman" w:eastAsia="Times New Roman" w:hint="default"/>
        </w:rPr>
        <w:t>51.69%</w:t>
      </w:r>
      <w:r>
        <w:rPr/>
        <w:t>的股权。</w:t>
      </w:r>
    </w:p>
    <w:p>
      <w:pPr>
        <w:pStyle w:val="BodyText"/>
        <w:spacing w:line="240" w:lineRule="auto" w:before="27"/>
        <w:ind w:left="0" w:right="228"/>
        <w:jc w:val="right"/>
      </w:pPr>
      <w:r>
        <w:rPr/>
        <w:t>单位：万元</w:t>
      </w:r>
    </w:p>
    <w:p>
      <w:pPr>
        <w:spacing w:line="240" w:lineRule="auto" w:before="10"/>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537"/>
        <w:gridCol w:w="2273"/>
        <w:gridCol w:w="2338"/>
        <w:gridCol w:w="2566"/>
      </w:tblGrid>
      <w:tr>
        <w:trPr>
          <w:trHeight w:val="322"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7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8" w:lineRule="exact"/>
              <w:ind w:right="2"/>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3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8" w:lineRule="exact"/>
              <w:ind w:right="4"/>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56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2" w:lineRule="exact"/>
              <w:ind w:left="639" w:right="0"/>
              <w:jc w:val="left"/>
              <w:rPr>
                <w:rFonts w:ascii="宋体" w:hAnsi="宋体" w:cs="宋体" w:eastAsia="宋体" w:hint="default"/>
                <w:sz w:val="21"/>
                <w:szCs w:val="21"/>
              </w:rPr>
            </w:pPr>
            <w:r>
              <w:rPr>
                <w:rFonts w:ascii="宋体" w:hAnsi="宋体" w:cs="宋体" w:eastAsia="宋体" w:hint="default"/>
                <w:b/>
                <w:bCs/>
                <w:sz w:val="21"/>
                <w:szCs w:val="21"/>
              </w:rPr>
              <w:t>同比变动幅度</w:t>
            </w:r>
            <w:r>
              <w:rPr>
                <w:rFonts w:ascii="宋体" w:hAnsi="宋体" w:cs="宋体" w:eastAsia="宋体" w:hint="default"/>
                <w:sz w:val="21"/>
                <w:szCs w:val="21"/>
              </w:rPr>
            </w:r>
          </w:p>
        </w:tc>
      </w:tr>
      <w:tr>
        <w:trPr>
          <w:trHeight w:val="396"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33"/>
              <w:ind w:left="2"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273" w:type="dxa"/>
            <w:tcBorders>
              <w:top w:val="single" w:sz="14" w:space="0" w:color="D9D9D9"/>
              <w:left w:val="single" w:sz="8" w:space="0" w:color="000000"/>
              <w:bottom w:val="single" w:sz="8" w:space="0" w:color="000000"/>
              <w:right w:val="single" w:sz="8" w:space="0" w:color="000000"/>
            </w:tcBorders>
          </w:tcPr>
          <w:p>
            <w:pPr>
              <w:pStyle w:val="TableParagraph"/>
              <w:spacing w:line="240" w:lineRule="auto" w:before="71"/>
              <w:ind w:right="96"/>
              <w:jc w:val="right"/>
              <w:rPr>
                <w:rFonts w:ascii="Times New Roman" w:hAnsi="Times New Roman" w:cs="Times New Roman" w:eastAsia="Times New Roman" w:hint="default"/>
                <w:sz w:val="21"/>
                <w:szCs w:val="21"/>
              </w:rPr>
            </w:pPr>
            <w:r>
              <w:rPr>
                <w:rFonts w:ascii="Times New Roman"/>
                <w:spacing w:val="-1"/>
                <w:sz w:val="21"/>
              </w:rPr>
              <w:t>1,196.73</w:t>
            </w:r>
          </w:p>
        </w:tc>
        <w:tc>
          <w:tcPr>
            <w:tcW w:w="2338" w:type="dxa"/>
            <w:tcBorders>
              <w:top w:val="single" w:sz="14" w:space="0" w:color="D9D9D9"/>
              <w:left w:val="single" w:sz="8" w:space="0" w:color="000000"/>
              <w:bottom w:val="single" w:sz="8" w:space="0" w:color="000000"/>
              <w:right w:val="single" w:sz="8" w:space="0" w:color="000000"/>
            </w:tcBorders>
          </w:tcPr>
          <w:p>
            <w:pPr>
              <w:pStyle w:val="TableParagraph"/>
              <w:spacing w:line="240" w:lineRule="auto" w:before="71"/>
              <w:ind w:right="96"/>
              <w:jc w:val="right"/>
              <w:rPr>
                <w:rFonts w:ascii="Times New Roman" w:hAnsi="Times New Roman" w:cs="Times New Roman" w:eastAsia="Times New Roman" w:hint="default"/>
                <w:sz w:val="21"/>
                <w:szCs w:val="21"/>
              </w:rPr>
            </w:pPr>
            <w:r>
              <w:rPr>
                <w:rFonts w:ascii="Times New Roman"/>
                <w:spacing w:val="-1"/>
                <w:sz w:val="21"/>
              </w:rPr>
              <w:t>1,873.72</w:t>
            </w:r>
          </w:p>
        </w:tc>
        <w:tc>
          <w:tcPr>
            <w:tcW w:w="2566" w:type="dxa"/>
            <w:tcBorders>
              <w:top w:val="single" w:sz="14" w:space="0" w:color="D9D9D9"/>
              <w:left w:val="single" w:sz="8" w:space="0" w:color="000000"/>
              <w:bottom w:val="single" w:sz="4" w:space="0" w:color="000000"/>
              <w:right w:val="single" w:sz="8" w:space="0" w:color="000000"/>
            </w:tcBorders>
          </w:tcPr>
          <w:p>
            <w:pPr>
              <w:pStyle w:val="TableParagraph"/>
              <w:spacing w:line="240" w:lineRule="auto" w:before="34"/>
              <w:ind w:right="96"/>
              <w:jc w:val="right"/>
              <w:rPr>
                <w:rFonts w:ascii="宋体" w:hAnsi="宋体" w:cs="宋体" w:eastAsia="宋体" w:hint="default"/>
                <w:sz w:val="21"/>
                <w:szCs w:val="21"/>
              </w:rPr>
            </w:pPr>
            <w:r>
              <w:rPr>
                <w:rFonts w:ascii="宋体"/>
                <w:spacing w:val="-1"/>
                <w:sz w:val="21"/>
              </w:rPr>
              <w:t>-36.13%</w:t>
            </w:r>
          </w:p>
        </w:tc>
      </w:tr>
      <w:tr>
        <w:trPr>
          <w:trHeight w:val="348"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营业利润</w:t>
            </w:r>
            <w:r>
              <w:rPr>
                <w:rFonts w:ascii="宋体" w:hAnsi="宋体" w:cs="宋体" w:eastAsia="宋体" w:hint="default"/>
                <w:sz w:val="21"/>
                <w:szCs w:val="21"/>
              </w:rPr>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-51.42</w:t>
            </w:r>
          </w:p>
        </w:tc>
        <w:tc>
          <w:tcPr>
            <w:tcW w:w="23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z w:val="21"/>
              </w:rPr>
              <w:t>48.1</w:t>
            </w:r>
          </w:p>
        </w:tc>
        <w:tc>
          <w:tcPr>
            <w:tcW w:w="256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-206.90%</w:t>
            </w:r>
          </w:p>
        </w:tc>
      </w:tr>
      <w:tr>
        <w:trPr>
          <w:trHeight w:val="350"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-71.08</w:t>
            </w:r>
          </w:p>
        </w:tc>
        <w:tc>
          <w:tcPr>
            <w:tcW w:w="23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z w:val="21"/>
              </w:rPr>
              <w:t>106.05</w:t>
            </w:r>
          </w:p>
        </w:tc>
        <w:tc>
          <w:tcPr>
            <w:tcW w:w="256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pacing w:val="-1"/>
                <w:sz w:val="21"/>
              </w:rPr>
              <w:t>-167.02%</w:t>
            </w:r>
          </w:p>
        </w:tc>
      </w:tr>
      <w:tr>
        <w:trPr>
          <w:trHeight w:val="351"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Times New Roman" w:hAnsi="Times New Roman" w:cs="Times New Roman" w:eastAsia="Times New Roman" w:hint="default"/>
                <w:sz w:val="21"/>
                <w:szCs w:val="21"/>
              </w:rPr>
            </w:pPr>
            <w:r>
              <w:rPr>
                <w:rFonts w:ascii="Times New Roman"/>
                <w:spacing w:val="-1"/>
                <w:sz w:val="21"/>
              </w:rPr>
              <w:t>4,002.54</w:t>
            </w:r>
          </w:p>
        </w:tc>
        <w:tc>
          <w:tcPr>
            <w:tcW w:w="23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96"/>
              <w:jc w:val="right"/>
              <w:rPr>
                <w:rFonts w:ascii="Times New Roman" w:hAnsi="Times New Roman" w:cs="Times New Roman" w:eastAsia="Times New Roman" w:hint="default"/>
                <w:sz w:val="21"/>
                <w:szCs w:val="21"/>
              </w:rPr>
            </w:pPr>
            <w:r>
              <w:rPr>
                <w:rFonts w:ascii="Times New Roman"/>
                <w:spacing w:val="-1"/>
                <w:sz w:val="21"/>
              </w:rPr>
              <w:t>4,288.58</w:t>
            </w:r>
          </w:p>
        </w:tc>
        <w:tc>
          <w:tcPr>
            <w:tcW w:w="256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-6.67%</w:t>
            </w:r>
          </w:p>
        </w:tc>
      </w:tr>
      <w:tr>
        <w:trPr>
          <w:trHeight w:val="350"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5,989.50</w:t>
            </w:r>
            <w:r>
              <w:rPr>
                <w:rFonts w:ascii="Times New Roman"/>
                <w:sz w:val="21"/>
              </w:rPr>
            </w:r>
          </w:p>
        </w:tc>
        <w:tc>
          <w:tcPr>
            <w:tcW w:w="23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6,564.35</w:t>
            </w:r>
          </w:p>
        </w:tc>
        <w:tc>
          <w:tcPr>
            <w:tcW w:w="2566"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-8.76%</w:t>
            </w:r>
          </w:p>
        </w:tc>
      </w:tr>
    </w:tbl>
    <w:p>
      <w:pPr>
        <w:spacing w:after="0" w:line="240" w:lineRule="auto"/>
        <w:jc w:val="right"/>
        <w:rPr>
          <w:rFonts w:ascii="宋体" w:hAnsi="宋体" w:cs="宋体" w:eastAsia="宋体" w:hint="default"/>
          <w:sz w:val="21"/>
          <w:szCs w:val="21"/>
        </w:rPr>
        <w:sectPr>
          <w:pgSz w:w="11910" w:h="16840"/>
          <w:pgMar w:header="884" w:footer="1007" w:top="1140" w:bottom="1200" w:left="1040" w:right="900"/>
        </w:sectPr>
      </w:pPr>
    </w:p>
    <w:p>
      <w:pPr>
        <w:spacing w:line="240" w:lineRule="auto" w:before="6"/>
        <w:rPr>
          <w:rFonts w:ascii="宋体" w:hAnsi="宋体" w:cs="宋体" w:eastAsia="宋体" w:hint="default"/>
          <w:sz w:val="22"/>
          <w:szCs w:val="22"/>
        </w:rPr>
      </w:pPr>
    </w:p>
    <w:p>
      <w:pPr>
        <w:pStyle w:val="BodyText"/>
        <w:spacing w:line="357" w:lineRule="auto" w:before="26"/>
        <w:ind w:left="237" w:right="232" w:firstLine="480"/>
        <w:jc w:val="both"/>
      </w:pPr>
      <w:r>
        <w:rPr>
          <w:spacing w:val="-3"/>
        </w:rPr>
        <w:t>报告期内，日本经济持续低迷，市场需求下滑，日本企业和政府都加强了成本控制，日</w:t>
      </w:r>
      <w:r>
        <w:rPr/>
        <w:t> 本超图的业务开拓受阻。</w:t>
      </w:r>
    </w:p>
    <w:p>
      <w:pPr>
        <w:spacing w:line="240" w:lineRule="auto" w:before="11"/>
        <w:rPr>
          <w:rFonts w:ascii="宋体" w:hAnsi="宋体" w:cs="宋体" w:eastAsia="宋体" w:hint="default"/>
          <w:sz w:val="19"/>
          <w:szCs w:val="19"/>
        </w:rPr>
      </w:pPr>
    </w:p>
    <w:p>
      <w:pPr>
        <w:pStyle w:val="Heading4"/>
        <w:spacing w:line="240" w:lineRule="auto"/>
        <w:ind w:left="218" w:right="5010"/>
        <w:jc w:val="center"/>
        <w:rPr>
          <w:b w:val="0"/>
          <w:bCs w:val="0"/>
        </w:rPr>
      </w:pPr>
      <w:r>
        <w:rPr/>
        <w:t>（</w:t>
      </w:r>
      <w:r>
        <w:rPr>
          <w:rFonts w:ascii="Times New Roman" w:hAnsi="Times New Roman" w:cs="Times New Roman" w:eastAsia="Times New Roman" w:hint="default"/>
        </w:rPr>
        <w:t>2</w:t>
      </w:r>
      <w:r>
        <w:rPr/>
        <w:t>）报告期内，公司参股子公司的经营情况</w:t>
      </w:r>
      <w:r>
        <w:rPr>
          <w:b w:val="0"/>
          <w:bCs w:val="0"/>
        </w:rPr>
      </w:r>
    </w:p>
    <w:p>
      <w:pPr>
        <w:spacing w:line="240" w:lineRule="auto" w:before="6"/>
        <w:rPr>
          <w:rFonts w:ascii="宋体" w:hAnsi="宋体" w:cs="宋体" w:eastAsia="宋体" w:hint="default"/>
          <w:b/>
          <w:bCs/>
          <w:sz w:val="27"/>
          <w:szCs w:val="27"/>
        </w:rPr>
      </w:pPr>
    </w:p>
    <w:p>
      <w:pPr>
        <w:pStyle w:val="BodyText"/>
        <w:tabs>
          <w:tab w:pos="1089" w:val="left" w:leader="none"/>
        </w:tabs>
        <w:spacing w:line="240" w:lineRule="auto"/>
        <w:ind w:left="659" w:right="109"/>
        <w:jc w:val="left"/>
      </w:pPr>
      <w:r>
        <w:rPr>
          <w:rFonts w:ascii="Wingdings" w:hAnsi="Wingdings" w:cs="Wingdings" w:eastAsia="Wingdings" w:hint="default"/>
        </w:rPr>
        <w:t></w:t>
      </w:r>
      <w:r>
        <w:rPr>
          <w:rFonts w:ascii="Times New Roman" w:hAnsi="Times New Roman" w:cs="Times New Roman" w:eastAsia="Times New Roman" w:hint="default"/>
        </w:rPr>
        <w:tab/>
      </w:r>
      <w:r>
        <w:rPr/>
        <w:t>国遥</w:t>
      </w:r>
    </w:p>
    <w:p>
      <w:pPr>
        <w:pStyle w:val="BodyText"/>
        <w:spacing w:line="343" w:lineRule="auto" w:before="175"/>
        <w:ind w:left="237" w:right="224" w:firstLine="480"/>
        <w:jc w:val="both"/>
      </w:pPr>
      <w:r>
        <w:rPr>
          <w:spacing w:val="2"/>
        </w:rPr>
        <w:t>国遥成立于</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14</w:t>
      </w:r>
      <w:r>
        <w:rPr>
          <w:spacing w:val="2"/>
        </w:rPr>
        <w:t>日，成立时注册资本为</w:t>
      </w:r>
      <w:r>
        <w:rPr>
          <w:rFonts w:ascii="Times New Roman" w:hAnsi="Times New Roman" w:cs="Times New Roman" w:eastAsia="Times New Roman" w:hint="default"/>
          <w:spacing w:val="2"/>
        </w:rPr>
        <w:t>500</w:t>
      </w:r>
      <w:r>
        <w:rPr>
          <w:spacing w:val="2"/>
        </w:rPr>
        <w:t>万元，成立时，我公司持股比例为</w:t>
      </w:r>
      <w:r>
        <w:rPr/>
        <w:t> </w:t>
      </w:r>
      <w:r>
        <w:rPr>
          <w:rFonts w:ascii="Times New Roman" w:hAnsi="Times New Roman" w:cs="Times New Roman" w:eastAsia="Times New Roman" w:hint="default"/>
        </w:rPr>
        <w:t>40%</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日国遥召开股东会议，同意股东吴秋华对公司进行增资，总计投资</w:t>
      </w:r>
      <w:r>
        <w:rPr>
          <w:rFonts w:ascii="Times New Roman" w:hAnsi="Times New Roman" w:cs="Times New Roman" w:eastAsia="Times New Roman" w:hint="default"/>
        </w:rPr>
        <w:t>3500</w:t>
      </w:r>
      <w:r>
        <w:rPr>
          <w:rFonts w:ascii="Times New Roman" w:hAnsi="Times New Roman" w:cs="Times New Roman" w:eastAsia="Times New Roman" w:hint="default"/>
          <w:spacing w:val="-5"/>
        </w:rPr>
        <w:t> </w:t>
      </w:r>
      <w:r>
        <w:rPr>
          <w:spacing w:val="-8"/>
        </w:rPr>
        <w:t>万元（其中</w:t>
      </w:r>
      <w:r>
        <w:rPr>
          <w:rFonts w:ascii="Times New Roman" w:hAnsi="Times New Roman" w:cs="Times New Roman" w:eastAsia="Times New Roman" w:hint="default"/>
          <w:spacing w:val="-8"/>
        </w:rPr>
        <w:t>500</w:t>
      </w:r>
      <w:r>
        <w:rPr>
          <w:spacing w:val="-8"/>
        </w:rPr>
        <w:t>万元为实收资本，其余计入资本公积金），公司注册资本从</w:t>
      </w:r>
      <w:r>
        <w:rPr>
          <w:rFonts w:ascii="Times New Roman" w:hAnsi="Times New Roman" w:cs="Times New Roman" w:eastAsia="Times New Roman" w:hint="default"/>
          <w:spacing w:val="-8"/>
        </w:rPr>
        <w:t>500</w:t>
      </w:r>
      <w:r>
        <w:rPr>
          <w:spacing w:val="-8"/>
        </w:rPr>
        <w:t>万元增加至</w:t>
      </w:r>
      <w:r>
        <w:rPr>
          <w:rFonts w:ascii="Times New Roman" w:hAnsi="Times New Roman" w:cs="Times New Roman" w:eastAsia="Times New Roman" w:hint="default"/>
          <w:spacing w:val="-8"/>
        </w:rPr>
        <w:t>1000</w:t>
      </w:r>
      <w:r>
        <w:rPr>
          <w:rFonts w:ascii="Times New Roman" w:hAnsi="Times New Roman" w:cs="Times New Roman" w:eastAsia="Times New Roman" w:hint="default"/>
          <w:spacing w:val="-40"/>
        </w:rPr>
        <w:t> </w:t>
      </w:r>
      <w:r>
        <w:rPr>
          <w:spacing w:val="-2"/>
        </w:rPr>
        <w:t>万元，此次变更后，我公司的持股比例为</w:t>
      </w:r>
      <w:r>
        <w:rPr>
          <w:rFonts w:ascii="Times New Roman" w:hAnsi="Times New Roman" w:cs="Times New Roman" w:eastAsia="Times New Roman" w:hint="default"/>
          <w:spacing w:val="-2"/>
        </w:rPr>
        <w:t>20%</w:t>
      </w:r>
      <w:r>
        <w:rPr>
          <w:spacing w:val="-2"/>
        </w:rPr>
        <w:t>。国遥主要从事包括商业遥感卫星数据和航空</w:t>
      </w:r>
      <w:r>
        <w:rPr>
          <w:spacing w:val="-105"/>
        </w:rPr>
        <w:t> </w:t>
      </w:r>
      <w:r>
        <w:rPr>
          <w:spacing w:val="-105"/>
        </w:rPr>
      </w:r>
      <w:r>
        <w:rPr>
          <w:spacing w:val="-3"/>
        </w:rPr>
        <w:t>遥感数据在内的全系列遥感影像数据服务以及遥感应用软件的研发和销售，并开展地理信息</w:t>
      </w:r>
      <w:r>
        <w:rPr>
          <w:spacing w:val="-103"/>
        </w:rPr>
        <w:t> </w:t>
      </w:r>
      <w:r>
        <w:rPr>
          <w:spacing w:val="-103"/>
        </w:rPr>
      </w:r>
      <w:r>
        <w:rPr/>
        <w:t>工程应用服务。</w:t>
      </w:r>
    </w:p>
    <w:p>
      <w:pPr>
        <w:pStyle w:val="BodyText"/>
        <w:spacing w:line="240" w:lineRule="auto" w:before="50"/>
        <w:ind w:left="717" w:right="109"/>
        <w:jc w:val="left"/>
      </w:pPr>
      <w:r>
        <w:rPr/>
        <w:t>报告期内，国遥的经营情况如下：</w:t>
      </w:r>
    </w:p>
    <w:p>
      <w:pPr>
        <w:spacing w:line="240" w:lineRule="auto" w:before="10"/>
        <w:rPr>
          <w:rFonts w:ascii="宋体" w:hAnsi="宋体" w:cs="宋体" w:eastAsia="宋体" w:hint="default"/>
          <w:sz w:val="9"/>
          <w:szCs w:val="9"/>
        </w:rPr>
      </w:pPr>
    </w:p>
    <w:p>
      <w:pPr>
        <w:pStyle w:val="BodyText"/>
        <w:spacing w:line="240" w:lineRule="auto" w:before="26"/>
        <w:ind w:left="0" w:right="228"/>
        <w:jc w:val="right"/>
      </w:pPr>
      <w:r>
        <w:rPr/>
        <w:t>单位：万元</w:t>
      </w:r>
    </w:p>
    <w:p>
      <w:pPr>
        <w:spacing w:line="240" w:lineRule="auto" w:before="12"/>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2537"/>
        <w:gridCol w:w="2271"/>
        <w:gridCol w:w="2338"/>
        <w:gridCol w:w="2569"/>
      </w:tblGrid>
      <w:tr>
        <w:trPr>
          <w:trHeight w:val="383"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27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9" w:lineRule="exact"/>
              <w:ind w:right="4"/>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2012</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33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9" w:lineRule="exact"/>
              <w:ind w:right="1"/>
              <w:jc w:val="center"/>
              <w:rPr>
                <w:rFonts w:ascii="宋体" w:hAnsi="宋体" w:cs="宋体" w:eastAsia="宋体" w:hint="default"/>
                <w:sz w:val="21"/>
                <w:szCs w:val="21"/>
              </w:rPr>
            </w:pPr>
            <w:r>
              <w:rPr>
                <w:rFonts w:ascii="Times New Roman" w:hAnsi="Times New Roman" w:cs="Times New Roman" w:eastAsia="Times New Roman" w:hint="default"/>
                <w:b/>
                <w:bCs/>
                <w:sz w:val="21"/>
                <w:szCs w:val="21"/>
              </w:rPr>
              <w:t>2011</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56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4" w:lineRule="exact"/>
              <w:ind w:left="639" w:right="0"/>
              <w:jc w:val="left"/>
              <w:rPr>
                <w:rFonts w:ascii="宋体" w:hAnsi="宋体" w:cs="宋体" w:eastAsia="宋体" w:hint="default"/>
                <w:sz w:val="21"/>
                <w:szCs w:val="21"/>
              </w:rPr>
            </w:pPr>
            <w:r>
              <w:rPr>
                <w:rFonts w:ascii="宋体" w:hAnsi="宋体" w:cs="宋体" w:eastAsia="宋体" w:hint="default"/>
                <w:b/>
                <w:bCs/>
                <w:sz w:val="21"/>
                <w:szCs w:val="21"/>
              </w:rPr>
              <w:t>同比变动幅度</w:t>
            </w:r>
            <w:r>
              <w:rPr>
                <w:rFonts w:ascii="宋体" w:hAnsi="宋体" w:cs="宋体" w:eastAsia="宋体" w:hint="default"/>
                <w:sz w:val="21"/>
                <w:szCs w:val="21"/>
              </w:rPr>
            </w:r>
          </w:p>
        </w:tc>
      </w:tr>
      <w:tr>
        <w:trPr>
          <w:trHeight w:val="351"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2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1,1721.66</w:t>
            </w:r>
          </w:p>
        </w:tc>
        <w:tc>
          <w:tcPr>
            <w:tcW w:w="23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9,985.49</w:t>
            </w:r>
          </w:p>
        </w:tc>
        <w:tc>
          <w:tcPr>
            <w:tcW w:w="2569" w:type="dxa"/>
            <w:tcBorders>
              <w:top w:val="single" w:sz="8" w:space="0" w:color="000000"/>
              <w:left w:val="single" w:sz="8" w:space="0" w:color="000000"/>
              <w:bottom w:val="single" w:sz="4" w:space="0" w:color="000000"/>
              <w:right w:val="single" w:sz="4" w:space="0" w:color="000000"/>
            </w:tcBorders>
          </w:tcPr>
          <w:p>
            <w:pPr>
              <w:pStyle w:val="TableParagraph"/>
              <w:spacing w:line="272" w:lineRule="exact"/>
              <w:ind w:right="101"/>
              <w:jc w:val="right"/>
              <w:rPr>
                <w:rFonts w:ascii="宋体" w:hAnsi="宋体" w:cs="宋体" w:eastAsia="宋体" w:hint="default"/>
                <w:sz w:val="21"/>
                <w:szCs w:val="21"/>
              </w:rPr>
            </w:pPr>
            <w:r>
              <w:rPr>
                <w:rFonts w:ascii="宋体"/>
                <w:sz w:val="21"/>
              </w:rPr>
              <w:t>17.39%</w:t>
            </w:r>
          </w:p>
        </w:tc>
      </w:tr>
      <w:tr>
        <w:trPr>
          <w:trHeight w:val="348"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营业利润</w:t>
            </w:r>
            <w:r>
              <w:rPr>
                <w:rFonts w:ascii="宋体" w:hAnsi="宋体" w:cs="宋体" w:eastAsia="宋体" w:hint="default"/>
                <w:sz w:val="21"/>
                <w:szCs w:val="21"/>
              </w:rPr>
            </w:r>
          </w:p>
        </w:tc>
        <w:tc>
          <w:tcPr>
            <w:tcW w:w="2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8"/>
              <w:jc w:val="right"/>
              <w:rPr>
                <w:rFonts w:ascii="Times New Roman" w:hAnsi="Times New Roman" w:cs="Times New Roman" w:eastAsia="Times New Roman" w:hint="default"/>
                <w:sz w:val="21"/>
                <w:szCs w:val="21"/>
              </w:rPr>
            </w:pPr>
            <w:r>
              <w:rPr>
                <w:rFonts w:ascii="Times New Roman"/>
                <w:spacing w:val="-1"/>
                <w:sz w:val="21"/>
              </w:rPr>
              <w:t>1,957.77</w:t>
            </w:r>
            <w:r>
              <w:rPr>
                <w:rFonts w:ascii="Times New Roman"/>
                <w:sz w:val="21"/>
              </w:rPr>
            </w:r>
          </w:p>
        </w:tc>
        <w:tc>
          <w:tcPr>
            <w:tcW w:w="23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5"/>
              <w:jc w:val="right"/>
              <w:rPr>
                <w:rFonts w:ascii="Times New Roman" w:hAnsi="Times New Roman" w:cs="Times New Roman" w:eastAsia="Times New Roman" w:hint="default"/>
                <w:sz w:val="21"/>
                <w:szCs w:val="21"/>
              </w:rPr>
            </w:pPr>
            <w:r>
              <w:rPr>
                <w:rFonts w:ascii="Times New Roman"/>
                <w:sz w:val="21"/>
              </w:rPr>
              <w:t>841.19</w:t>
            </w:r>
          </w:p>
        </w:tc>
        <w:tc>
          <w:tcPr>
            <w:tcW w:w="256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132.74%</w:t>
            </w:r>
          </w:p>
        </w:tc>
      </w:tr>
      <w:tr>
        <w:trPr>
          <w:trHeight w:val="350"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b/>
                <w:bCs/>
                <w:sz w:val="21"/>
                <w:szCs w:val="21"/>
              </w:rPr>
              <w:t>净利润</w:t>
            </w:r>
            <w:r>
              <w:rPr>
                <w:rFonts w:ascii="宋体" w:hAnsi="宋体" w:cs="宋体" w:eastAsia="宋体" w:hint="default"/>
                <w:sz w:val="21"/>
                <w:szCs w:val="21"/>
              </w:rPr>
            </w:r>
          </w:p>
        </w:tc>
        <w:tc>
          <w:tcPr>
            <w:tcW w:w="2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8"/>
              <w:jc w:val="right"/>
              <w:rPr>
                <w:rFonts w:ascii="Times New Roman" w:hAnsi="Times New Roman" w:cs="Times New Roman" w:eastAsia="Times New Roman" w:hint="default"/>
                <w:sz w:val="21"/>
                <w:szCs w:val="21"/>
              </w:rPr>
            </w:pPr>
            <w:r>
              <w:rPr>
                <w:rFonts w:ascii="Times New Roman"/>
                <w:spacing w:val="-1"/>
                <w:sz w:val="21"/>
              </w:rPr>
              <w:t>1,566.59</w:t>
            </w:r>
            <w:r>
              <w:rPr>
                <w:rFonts w:ascii="Times New Roman"/>
                <w:sz w:val="21"/>
              </w:rPr>
            </w:r>
          </w:p>
        </w:tc>
        <w:tc>
          <w:tcPr>
            <w:tcW w:w="23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Times New Roman" w:hAnsi="Times New Roman" w:cs="Times New Roman" w:eastAsia="Times New Roman" w:hint="default"/>
                <w:sz w:val="21"/>
                <w:szCs w:val="21"/>
              </w:rPr>
            </w:pPr>
            <w:r>
              <w:rPr>
                <w:rFonts w:ascii="Times New Roman"/>
                <w:sz w:val="21"/>
              </w:rPr>
              <w:t>802.35</w:t>
            </w:r>
          </w:p>
        </w:tc>
        <w:tc>
          <w:tcPr>
            <w:tcW w:w="256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95.25%</w:t>
            </w:r>
          </w:p>
        </w:tc>
      </w:tr>
      <w:tr>
        <w:trPr>
          <w:trHeight w:val="350"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b/>
                <w:bCs/>
                <w:sz w:val="21"/>
                <w:szCs w:val="21"/>
              </w:rPr>
              <w:t>净资产</w:t>
            </w:r>
            <w:r>
              <w:rPr>
                <w:rFonts w:ascii="宋体" w:hAnsi="宋体" w:cs="宋体" w:eastAsia="宋体" w:hint="default"/>
                <w:sz w:val="21"/>
                <w:szCs w:val="21"/>
              </w:rPr>
            </w:r>
          </w:p>
        </w:tc>
        <w:tc>
          <w:tcPr>
            <w:tcW w:w="2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Times New Roman" w:hAnsi="Times New Roman" w:cs="Times New Roman" w:eastAsia="Times New Roman" w:hint="default"/>
                <w:sz w:val="21"/>
                <w:szCs w:val="21"/>
              </w:rPr>
            </w:pPr>
            <w:r>
              <w:rPr>
                <w:rFonts w:ascii="Times New Roman"/>
                <w:spacing w:val="-1"/>
                <w:sz w:val="21"/>
              </w:rPr>
              <w:t>8,654.20</w:t>
            </w:r>
          </w:p>
        </w:tc>
        <w:tc>
          <w:tcPr>
            <w:tcW w:w="23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3"/>
              <w:jc w:val="right"/>
              <w:rPr>
                <w:rFonts w:ascii="Times New Roman" w:hAnsi="Times New Roman" w:cs="Times New Roman" w:eastAsia="Times New Roman" w:hint="default"/>
                <w:sz w:val="21"/>
                <w:szCs w:val="21"/>
              </w:rPr>
            </w:pPr>
            <w:r>
              <w:rPr>
                <w:rFonts w:ascii="Times New Roman"/>
                <w:spacing w:val="-1"/>
                <w:sz w:val="21"/>
              </w:rPr>
              <w:t>3,571.02</w:t>
            </w:r>
          </w:p>
        </w:tc>
        <w:tc>
          <w:tcPr>
            <w:tcW w:w="256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pacing w:val="-1"/>
                <w:sz w:val="21"/>
              </w:rPr>
              <w:t>142.35%</w:t>
            </w:r>
          </w:p>
        </w:tc>
      </w:tr>
      <w:tr>
        <w:trPr>
          <w:trHeight w:val="350" w:hRule="exact"/>
        </w:trPr>
        <w:tc>
          <w:tcPr>
            <w:tcW w:w="25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总资产</w:t>
            </w:r>
            <w:r>
              <w:rPr>
                <w:rFonts w:ascii="宋体" w:hAnsi="宋体" w:cs="宋体" w:eastAsia="宋体" w:hint="default"/>
                <w:sz w:val="21"/>
                <w:szCs w:val="21"/>
              </w:rPr>
            </w:r>
          </w:p>
        </w:tc>
        <w:tc>
          <w:tcPr>
            <w:tcW w:w="22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6"/>
              <w:jc w:val="right"/>
              <w:rPr>
                <w:rFonts w:ascii="Times New Roman" w:hAnsi="Times New Roman" w:cs="Times New Roman" w:eastAsia="Times New Roman" w:hint="default"/>
                <w:sz w:val="21"/>
                <w:szCs w:val="21"/>
              </w:rPr>
            </w:pPr>
            <w:r>
              <w:rPr>
                <w:rFonts w:ascii="Times New Roman"/>
                <w:spacing w:val="-1"/>
                <w:sz w:val="21"/>
              </w:rPr>
              <w:t>12,497.45</w:t>
            </w:r>
          </w:p>
        </w:tc>
        <w:tc>
          <w:tcPr>
            <w:tcW w:w="23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4"/>
              <w:ind w:right="93"/>
              <w:jc w:val="right"/>
              <w:rPr>
                <w:rFonts w:ascii="Times New Roman" w:hAnsi="Times New Roman" w:cs="Times New Roman" w:eastAsia="Times New Roman" w:hint="default"/>
                <w:sz w:val="21"/>
                <w:szCs w:val="21"/>
              </w:rPr>
            </w:pPr>
            <w:r>
              <w:rPr>
                <w:rFonts w:ascii="Times New Roman"/>
                <w:spacing w:val="-1"/>
                <w:sz w:val="21"/>
              </w:rPr>
              <w:t>7,113.53</w:t>
            </w:r>
          </w:p>
        </w:tc>
        <w:tc>
          <w:tcPr>
            <w:tcW w:w="256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21"/>
                <w:szCs w:val="21"/>
              </w:rPr>
            </w:pPr>
            <w:r>
              <w:rPr>
                <w:rFonts w:ascii="宋体"/>
                <w:sz w:val="21"/>
              </w:rPr>
              <w:t>75.69%</w:t>
            </w:r>
          </w:p>
        </w:tc>
      </w:tr>
    </w:tbl>
    <w:p>
      <w:pPr>
        <w:pStyle w:val="BodyText"/>
        <w:spacing w:line="357" w:lineRule="auto" w:before="39"/>
        <w:ind w:left="237" w:right="223" w:firstLine="480"/>
        <w:jc w:val="left"/>
      </w:pPr>
      <w:r>
        <w:rPr>
          <w:spacing w:val="-3"/>
        </w:rPr>
        <w:t>报告期内国遥开展自主航空遥感数据采集业务市场空间得到扩大，营业收入实现一定增</w:t>
      </w:r>
      <w:r>
        <w:rPr/>
        <w:t> 长；此外，新业务毛利率较高，公司净利润增长幅度较大。</w:t>
      </w:r>
    </w:p>
    <w:p>
      <w:pPr>
        <w:pStyle w:val="BodyText"/>
        <w:tabs>
          <w:tab w:pos="1089" w:val="left" w:leader="none"/>
        </w:tabs>
        <w:spacing w:line="369" w:lineRule="auto" w:before="77"/>
        <w:ind w:left="717" w:right="108" w:hanging="58"/>
        <w:jc w:val="left"/>
      </w:pPr>
      <w:r>
        <w:rPr>
          <w:rFonts w:ascii="Wingdings" w:hAnsi="Wingdings" w:cs="Wingdings" w:eastAsia="Wingdings" w:hint="default"/>
        </w:rPr>
        <w:t></w:t>
      </w:r>
      <w:r>
        <w:rPr>
          <w:rFonts w:ascii="Times New Roman" w:hAnsi="Times New Roman" w:cs="Times New Roman" w:eastAsia="Times New Roman" w:hint="default"/>
        </w:rPr>
        <w:tab/>
      </w:r>
      <w:r>
        <w:rPr/>
        <w:t>浙江中科 </w:t>
      </w:r>
      <w:r>
        <w:rPr>
          <w:spacing w:val="-4"/>
        </w:rPr>
        <w:t>浙江中科成立于</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24</w:t>
      </w:r>
      <w:r>
        <w:rPr>
          <w:spacing w:val="-4"/>
        </w:rPr>
        <w:t>日，注册资本为</w:t>
      </w:r>
      <w:r>
        <w:rPr>
          <w:rFonts w:ascii="Times New Roman" w:hAnsi="Times New Roman" w:cs="Times New Roman" w:eastAsia="Times New Roman" w:hint="default"/>
          <w:spacing w:val="-4"/>
        </w:rPr>
        <w:t>1,000</w:t>
      </w:r>
      <w:r>
        <w:rPr>
          <w:spacing w:val="-4"/>
        </w:rPr>
        <w:t>万元，其中我公司持股比例为</w:t>
      </w:r>
      <w:r>
        <w:rPr>
          <w:rFonts w:ascii="Times New Roman" w:hAnsi="Times New Roman" w:cs="Times New Roman" w:eastAsia="Times New Roman" w:hint="default"/>
          <w:spacing w:val="-4"/>
        </w:rPr>
        <w:t>23.36%</w:t>
      </w:r>
      <w:r>
        <w:rPr>
          <w:spacing w:val="-4"/>
        </w:rPr>
        <w:t>，</w:t>
      </w:r>
    </w:p>
    <w:p>
      <w:pPr>
        <w:pStyle w:val="BodyText"/>
        <w:spacing w:line="348" w:lineRule="auto"/>
        <w:ind w:left="237" w:right="229"/>
        <w:jc w:val="both"/>
      </w:pPr>
      <w:r>
        <w:rPr>
          <w:spacing w:val="2"/>
        </w:rPr>
        <w:t>浙江中科主要负责浙江本地县级基础地理信息系统建设和中小城镇数字城市综合应用系统</w:t>
      </w:r>
      <w:r>
        <w:rPr>
          <w:spacing w:val="-87"/>
        </w:rPr>
        <w:t> </w:t>
      </w:r>
      <w:r>
        <w:rPr>
          <w:spacing w:val="-87"/>
        </w:rPr>
      </w:r>
      <w:r>
        <w:rPr/>
        <w:t>等</w:t>
      </w:r>
      <w:r>
        <w:rPr>
          <w:rFonts w:ascii="Times New Roman" w:hAnsi="Times New Roman" w:cs="Times New Roman" w:eastAsia="Times New Roman" w:hint="default"/>
        </w:rPr>
        <w:t>GIS</w:t>
      </w:r>
      <w:r>
        <w:rPr/>
        <w:t>技术开发服务以及一些面向银行、商业服务等领域的</w:t>
      </w:r>
      <w:r>
        <w:rPr>
          <w:rFonts w:ascii="Times New Roman" w:hAnsi="Times New Roman" w:cs="Times New Roman" w:eastAsia="Times New Roman" w:hint="default"/>
        </w:rPr>
        <w:t>GIS</w:t>
      </w:r>
      <w:r>
        <w:rPr/>
        <w:t>技术开发服务。报告期内，</w:t>
      </w:r>
      <w:r>
        <w:rPr>
          <w:spacing w:val="-47"/>
        </w:rPr>
        <w:t> </w:t>
      </w:r>
      <w:r>
        <w:rPr>
          <w:spacing w:val="-47"/>
        </w:rPr>
      </w:r>
      <w:r>
        <w:rPr/>
        <w:t>浙江中科净利润为</w:t>
      </w:r>
      <w:r>
        <w:rPr>
          <w:rFonts w:ascii="Times New Roman" w:hAnsi="Times New Roman" w:cs="Times New Roman" w:eastAsia="Times New Roman" w:hint="default"/>
        </w:rPr>
        <w:t>-49.22</w:t>
      </w:r>
      <w:r>
        <w:rPr/>
        <w:t>万元。</w:t>
      </w:r>
    </w:p>
    <w:p>
      <w:pPr>
        <w:spacing w:line="240" w:lineRule="auto" w:before="4"/>
        <w:rPr>
          <w:rFonts w:ascii="宋体" w:hAnsi="宋体" w:cs="宋体" w:eastAsia="宋体" w:hint="default"/>
          <w:sz w:val="18"/>
          <w:szCs w:val="18"/>
        </w:rPr>
      </w:pPr>
    </w:p>
    <w:p>
      <w:pPr>
        <w:pStyle w:val="Heading4"/>
        <w:spacing w:line="240" w:lineRule="auto"/>
        <w:ind w:left="237" w:right="0"/>
        <w:jc w:val="both"/>
        <w:rPr>
          <w:b w:val="0"/>
          <w:bCs w:val="0"/>
        </w:rPr>
      </w:pPr>
      <w:bookmarkStart w:name="_bookmark20" w:id="21"/>
      <w:bookmarkEnd w:id="21"/>
      <w:r>
        <w:rPr>
          <w:b w:val="0"/>
          <w:bCs w:val="0"/>
        </w:rPr>
      </w:r>
      <w:r>
        <w:rPr>
          <w:rFonts w:ascii="Times New Roman" w:hAnsi="Times New Roman" w:cs="Times New Roman" w:eastAsia="Times New Roman" w:hint="default"/>
        </w:rPr>
        <w:t>7</w:t>
      </w:r>
      <w:r>
        <w:rPr/>
        <w:t>、公司控制的特殊目的主体情况</w:t>
      </w:r>
      <w:r>
        <w:rPr>
          <w:b w:val="0"/>
          <w:bCs w:val="0"/>
        </w:rPr>
      </w:r>
    </w:p>
    <w:p>
      <w:pPr>
        <w:spacing w:line="240" w:lineRule="auto" w:before="3"/>
        <w:rPr>
          <w:rFonts w:ascii="宋体" w:hAnsi="宋体" w:cs="宋体" w:eastAsia="宋体" w:hint="default"/>
          <w:b/>
          <w:bCs/>
          <w:sz w:val="27"/>
          <w:szCs w:val="27"/>
        </w:rPr>
      </w:pPr>
    </w:p>
    <w:p>
      <w:pPr>
        <w:pStyle w:val="BodyText"/>
        <w:spacing w:line="338" w:lineRule="auto"/>
        <w:ind w:left="237" w:right="109" w:firstLine="480"/>
        <w:jc w:val="left"/>
      </w:pPr>
      <w:r>
        <w:rPr/>
        <w:t>报告期内，公司不存在《企业会计准则第</w:t>
      </w:r>
      <w:r>
        <w:rPr>
          <w:rFonts w:ascii="Times New Roman" w:hAnsi="Times New Roman" w:cs="Times New Roman" w:eastAsia="Times New Roman" w:hint="default"/>
        </w:rPr>
        <w:t>33</w:t>
      </w:r>
      <w:r>
        <w:rPr>
          <w:rFonts w:ascii="Times New Roman" w:hAnsi="Times New Roman" w:cs="Times New Roman" w:eastAsia="Times New Roman" w:hint="default"/>
          <w:spacing w:val="11"/>
        </w:rPr>
        <w:t> </w:t>
      </w:r>
      <w:r>
        <w:rPr/>
        <w:t>号——合并财务报表》应用指南中所规定 的特殊目的主体。</w:t>
      </w:r>
    </w:p>
    <w:p>
      <w:pPr>
        <w:spacing w:after="0" w:line="338" w:lineRule="auto"/>
        <w:jc w:val="left"/>
        <w:sectPr>
          <w:pgSz w:w="11910" w:h="16840"/>
          <w:pgMar w:header="884" w:footer="1007" w:top="1140" w:bottom="1200" w:left="1040" w:right="900"/>
        </w:sectPr>
      </w:pPr>
    </w:p>
    <w:p>
      <w:pPr>
        <w:spacing w:line="240" w:lineRule="auto" w:before="8"/>
        <w:rPr>
          <w:rFonts w:ascii="宋体" w:hAnsi="宋体" w:cs="宋体" w:eastAsia="宋体" w:hint="default"/>
          <w:sz w:val="16"/>
          <w:szCs w:val="16"/>
        </w:rPr>
      </w:pPr>
    </w:p>
    <w:p>
      <w:pPr>
        <w:pStyle w:val="Heading4"/>
        <w:spacing w:line="240" w:lineRule="auto" w:before="26"/>
        <w:ind w:left="217" w:right="0"/>
        <w:jc w:val="left"/>
        <w:rPr>
          <w:b w:val="0"/>
          <w:bCs w:val="0"/>
        </w:rPr>
      </w:pPr>
      <w:bookmarkStart w:name="_bookmark21" w:id="22"/>
      <w:bookmarkEnd w:id="22"/>
      <w:r>
        <w:rPr>
          <w:b w:val="0"/>
          <w:bCs w:val="0"/>
        </w:rPr>
      </w:r>
      <w:r>
        <w:rPr>
          <w:rFonts w:ascii="Times New Roman" w:hAnsi="Times New Roman" w:cs="Times New Roman" w:eastAsia="Times New Roman" w:hint="default"/>
        </w:rPr>
        <w:t>8</w:t>
      </w:r>
      <w:r>
        <w:rPr/>
        <w:t>、公司主要无形资产情况</w:t>
      </w:r>
      <w:r>
        <w:rPr>
          <w:b w:val="0"/>
          <w:bCs w:val="0"/>
        </w:rPr>
      </w:r>
    </w:p>
    <w:p>
      <w:pPr>
        <w:spacing w:line="240" w:lineRule="auto" w:before="6"/>
        <w:rPr>
          <w:rFonts w:ascii="宋体" w:hAnsi="宋体" w:cs="宋体" w:eastAsia="宋体" w:hint="default"/>
          <w:b/>
          <w:bCs/>
          <w:sz w:val="27"/>
          <w:szCs w:val="27"/>
        </w:rPr>
      </w:pPr>
    </w:p>
    <w:p>
      <w:pPr>
        <w:pStyle w:val="BodyText"/>
        <w:spacing w:line="338" w:lineRule="auto"/>
        <w:ind w:left="217" w:right="229" w:firstLine="48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日，公司拥有软件著作权</w:t>
      </w:r>
      <w:r>
        <w:rPr>
          <w:rFonts w:ascii="Times New Roman" w:hAnsi="Times New Roman" w:cs="Times New Roman" w:eastAsia="Times New Roman" w:hint="default"/>
        </w:rPr>
        <w:t>171</w:t>
      </w:r>
      <w:r>
        <w:rPr/>
        <w:t>个，商标</w:t>
      </w:r>
      <w:r>
        <w:rPr>
          <w:rFonts w:ascii="Times New Roman" w:hAnsi="Times New Roman" w:cs="Times New Roman" w:eastAsia="Times New Roman" w:hint="default"/>
        </w:rPr>
        <w:t>9</w:t>
      </w:r>
      <w:r>
        <w:rPr/>
        <w:t>个，专利</w:t>
      </w:r>
      <w:r>
        <w:rPr>
          <w:rFonts w:ascii="Times New Roman" w:hAnsi="Times New Roman" w:cs="Times New Roman" w:eastAsia="Times New Roman" w:hint="default"/>
        </w:rPr>
        <w:t>5</w:t>
      </w:r>
      <w:r>
        <w:rPr/>
        <w:t>个，其中</w:t>
      </w:r>
      <w:r>
        <w:rPr>
          <w:rFonts w:ascii="Times New Roman" w:hAnsi="Times New Roman" w:cs="Times New Roman" w:eastAsia="Times New Roman" w:hint="default"/>
        </w:rPr>
        <w:t>2012</w:t>
      </w:r>
      <w:r>
        <w:rPr/>
        <w:t>年新 增无形资产情况为：</w:t>
      </w:r>
    </w:p>
    <w:p>
      <w:pPr>
        <w:spacing w:line="240" w:lineRule="auto" w:before="4"/>
        <w:rPr>
          <w:rFonts w:ascii="宋体" w:hAnsi="宋体" w:cs="宋体" w:eastAsia="宋体" w:hint="default"/>
          <w:sz w:val="21"/>
          <w:szCs w:val="21"/>
        </w:rPr>
      </w:pPr>
    </w:p>
    <w:p>
      <w:pPr>
        <w:pStyle w:val="Heading4"/>
        <w:spacing w:line="240" w:lineRule="auto"/>
        <w:ind w:left="217" w:right="0"/>
        <w:jc w:val="left"/>
        <w:rPr>
          <w:b w:val="0"/>
          <w:bCs w:val="0"/>
        </w:rPr>
      </w:pPr>
      <w:r>
        <w:rPr/>
        <w:t>（</w:t>
      </w:r>
      <w:r>
        <w:rPr>
          <w:rFonts w:ascii="Times New Roman" w:hAnsi="Times New Roman" w:cs="Times New Roman" w:eastAsia="Times New Roman" w:hint="default"/>
        </w:rPr>
        <w:t>1</w:t>
      </w:r>
      <w:r>
        <w:rPr/>
        <w:t>）报告期，新增软件著作权</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spacing w:before="36"/>
        <w:ind w:left="3523" w:right="4511" w:firstLine="0"/>
        <w:jc w:val="center"/>
        <w:rPr>
          <w:rFonts w:ascii="宋体" w:hAnsi="宋体" w:cs="宋体" w:eastAsia="宋体" w:hint="default"/>
          <w:sz w:val="21"/>
          <w:szCs w:val="21"/>
        </w:rPr>
      </w:pPr>
      <w:r>
        <w:rPr/>
        <w:pict>
          <v:shape style="position:absolute;margin-left:62.400002pt;margin-top:-207.146317pt;width:478.55pt;height:449.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5"/>
                    <w:gridCol w:w="3591"/>
                    <w:gridCol w:w="79"/>
                    <w:gridCol w:w="1416"/>
                    <w:gridCol w:w="2393"/>
                    <w:gridCol w:w="1322"/>
                  </w:tblGrid>
                  <w:tr>
                    <w:trPr>
                      <w:trHeight w:val="336" w:hRule="exact"/>
                    </w:trPr>
                    <w:tc>
                      <w:tcPr>
                        <w:tcW w:w="725" w:type="dxa"/>
                        <w:tcBorders>
                          <w:top w:val="single" w:sz="12" w:space="0" w:color="000000"/>
                          <w:left w:val="single" w:sz="12" w:space="0" w:color="000000"/>
                          <w:bottom w:val="single" w:sz="6" w:space="0" w:color="000000"/>
                          <w:right w:val="single" w:sz="6" w:space="0" w:color="000000"/>
                        </w:tcBorders>
                        <w:shd w:val="clear" w:color="auto" w:fill="D9D9D9"/>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591"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b/>
                            <w:bCs/>
                            <w:sz w:val="21"/>
                            <w:szCs w:val="21"/>
                          </w:rPr>
                          <w:t>名称</w:t>
                        </w:r>
                        <w:r>
                          <w:rPr>
                            <w:rFonts w:ascii="宋体" w:hAnsi="宋体" w:cs="宋体" w:eastAsia="宋体" w:hint="default"/>
                            <w:sz w:val="21"/>
                            <w:szCs w:val="21"/>
                          </w:rPr>
                        </w:r>
                      </w:p>
                    </w:tc>
                    <w:tc>
                      <w:tcPr>
                        <w:tcW w:w="1496"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登记号</w:t>
                        </w:r>
                        <w:r>
                          <w:rPr>
                            <w:rFonts w:ascii="宋体" w:hAnsi="宋体" w:cs="宋体" w:eastAsia="宋体" w:hint="default"/>
                            <w:sz w:val="21"/>
                            <w:szCs w:val="21"/>
                          </w:rPr>
                        </w:r>
                      </w:p>
                    </w:tc>
                    <w:tc>
                      <w:tcPr>
                        <w:tcW w:w="2393" w:type="dxa"/>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767" w:right="0"/>
                          <w:jc w:val="left"/>
                          <w:rPr>
                            <w:rFonts w:ascii="宋体" w:hAnsi="宋体" w:cs="宋体" w:eastAsia="宋体" w:hint="default"/>
                            <w:sz w:val="21"/>
                            <w:szCs w:val="21"/>
                          </w:rPr>
                        </w:pPr>
                        <w:r>
                          <w:rPr>
                            <w:rFonts w:ascii="宋体" w:hAnsi="宋体" w:cs="宋体" w:eastAsia="宋体" w:hint="default"/>
                            <w:b/>
                            <w:bCs/>
                            <w:sz w:val="21"/>
                            <w:szCs w:val="21"/>
                          </w:rPr>
                          <w:t>著作权人</w:t>
                        </w:r>
                        <w:r>
                          <w:rPr>
                            <w:rFonts w:ascii="宋体" w:hAnsi="宋体" w:cs="宋体" w:eastAsia="宋体" w:hint="default"/>
                            <w:sz w:val="21"/>
                            <w:szCs w:val="21"/>
                          </w:rPr>
                        </w:r>
                      </w:p>
                    </w:tc>
                    <w:tc>
                      <w:tcPr>
                        <w:tcW w:w="1322" w:type="dxa"/>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65"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登记日期</w:t>
                        </w:r>
                        <w:r>
                          <w:rPr>
                            <w:rFonts w:ascii="宋体" w:hAnsi="宋体" w:cs="宋体" w:eastAsia="宋体" w:hint="default"/>
                            <w:sz w:val="21"/>
                            <w:szCs w:val="21"/>
                          </w:rPr>
                        </w:r>
                      </w:p>
                    </w:tc>
                  </w:tr>
                  <w:tr>
                    <w:trPr>
                      <w:trHeight w:val="638" w:hRule="exact"/>
                    </w:trPr>
                    <w:tc>
                      <w:tcPr>
                        <w:tcW w:w="7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1</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超图数字长输管道系统</w:t>
                        </w:r>
                        <w:r>
                          <w:rPr>
                            <w:rFonts w:ascii="Times New Roman" w:hAnsi="Times New Roman" w:cs="Times New Roman" w:eastAsia="Times New Roman" w:hint="default"/>
                            <w:sz w:val="21"/>
                            <w:szCs w:val="21"/>
                          </w:rPr>
                          <w:t>V1.0</w:t>
                        </w:r>
                      </w:p>
                    </w:tc>
                    <w:tc>
                      <w:tcPr>
                        <w:tcW w:w="14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2012SR012737</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3"/>
                            <w:sz w:val="21"/>
                            <w:szCs w:val="21"/>
                          </w:rPr>
                          <w:t>北京超图软件股份有限公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w:t>
                        </w:r>
                      </w:p>
                    </w:tc>
                    <w:tc>
                      <w:tcPr>
                        <w:tcW w:w="1322"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9" w:hRule="exact"/>
                    </w:trPr>
                    <w:tc>
                      <w:tcPr>
                        <w:tcW w:w="7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2</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超图油田地面工程综合管理软件</w:t>
                        </w:r>
                        <w:r>
                          <w:rPr>
                            <w:rFonts w:ascii="Times New Roman" w:hAnsi="Times New Roman" w:cs="Times New Roman" w:eastAsia="Times New Roman" w:hint="default"/>
                            <w:sz w:val="21"/>
                            <w:szCs w:val="21"/>
                          </w:rPr>
                          <w:t>V1.0</w:t>
                        </w:r>
                      </w:p>
                    </w:tc>
                    <w:tc>
                      <w:tcPr>
                        <w:tcW w:w="14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2012SR012745</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3"/>
                            <w:sz w:val="21"/>
                            <w:szCs w:val="21"/>
                          </w:rPr>
                          <w:t>北京超图软件股份有限公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w:t>
                        </w:r>
                      </w:p>
                    </w:tc>
                    <w:tc>
                      <w:tcPr>
                        <w:tcW w:w="1322" w:type="dxa"/>
                        <w:tcBorders>
                          <w:top w:val="single" w:sz="6" w:space="0" w:color="000000"/>
                          <w:left w:val="single" w:sz="6" w:space="0" w:color="000000"/>
                          <w:bottom w:val="single" w:sz="6" w:space="0" w:color="000000"/>
                          <w:right w:val="single" w:sz="12" w:space="0" w:color="000000"/>
                        </w:tcBorders>
                      </w:tcPr>
                      <w:p>
                        <w:pPr>
                          <w:pStyle w:val="TableParagraph"/>
                          <w:spacing w:line="279"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8" w:hRule="exact"/>
                    </w:trPr>
                    <w:tc>
                      <w:tcPr>
                        <w:tcW w:w="7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3</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超图石油石化数据服务平台软件</w:t>
                        </w:r>
                        <w:r>
                          <w:rPr>
                            <w:rFonts w:ascii="Times New Roman" w:hAnsi="Times New Roman" w:cs="Times New Roman" w:eastAsia="Times New Roman" w:hint="default"/>
                            <w:sz w:val="21"/>
                            <w:szCs w:val="21"/>
                          </w:rPr>
                          <w:t>V1.0</w:t>
                        </w:r>
                      </w:p>
                    </w:tc>
                    <w:tc>
                      <w:tcPr>
                        <w:tcW w:w="14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2012SR013199</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3"/>
                            <w:sz w:val="21"/>
                            <w:szCs w:val="21"/>
                          </w:rPr>
                          <w:t>北京超图软件股份有限公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w:t>
                        </w:r>
                      </w:p>
                    </w:tc>
                    <w:tc>
                      <w:tcPr>
                        <w:tcW w:w="1322"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41" w:hRule="exact"/>
                    </w:trPr>
                    <w:tc>
                      <w:tcPr>
                        <w:tcW w:w="7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4</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超图油气设施资产管理软件</w:t>
                        </w:r>
                        <w:r>
                          <w:rPr>
                            <w:rFonts w:ascii="Times New Roman" w:hAnsi="Times New Roman" w:cs="Times New Roman" w:eastAsia="Times New Roman" w:hint="default"/>
                            <w:sz w:val="21"/>
                            <w:szCs w:val="21"/>
                          </w:rPr>
                          <w:t>V1.0</w:t>
                        </w:r>
                      </w:p>
                    </w:tc>
                    <w:tc>
                      <w:tcPr>
                        <w:tcW w:w="14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2012SR012700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3"/>
                            <w:sz w:val="21"/>
                            <w:szCs w:val="21"/>
                          </w:rPr>
                          <w:t>北京超图软件股份有限公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w:t>
                        </w:r>
                      </w:p>
                    </w:tc>
                    <w:tc>
                      <w:tcPr>
                        <w:tcW w:w="1322" w:type="dxa"/>
                        <w:tcBorders>
                          <w:top w:val="single" w:sz="6" w:space="0" w:color="000000"/>
                          <w:left w:val="single" w:sz="6" w:space="0" w:color="000000"/>
                          <w:bottom w:val="single" w:sz="6" w:space="0" w:color="000000"/>
                          <w:right w:val="single" w:sz="12" w:space="0" w:color="000000"/>
                        </w:tcBorders>
                      </w:tcPr>
                      <w:p>
                        <w:pPr>
                          <w:pStyle w:val="TableParagraph"/>
                          <w:spacing w:line="281"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8" w:hRule="exact"/>
                    </w:trPr>
                    <w:tc>
                      <w:tcPr>
                        <w:tcW w:w="7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5</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 w:right="0"/>
                          <w:jc w:val="left"/>
                          <w:rPr>
                            <w:rFonts w:ascii="宋体" w:hAnsi="宋体" w:cs="宋体" w:eastAsia="宋体" w:hint="default"/>
                            <w:sz w:val="21"/>
                            <w:szCs w:val="21"/>
                          </w:rPr>
                        </w:pPr>
                        <w:r>
                          <w:rPr>
                            <w:rFonts w:ascii="宋体" w:hAnsi="宋体" w:cs="宋体" w:eastAsia="宋体" w:hint="default"/>
                            <w:sz w:val="21"/>
                            <w:szCs w:val="21"/>
                          </w:rPr>
                          <w:t>超图电力调度地理信息服务平台软件</w:t>
                        </w:r>
                      </w:p>
                      <w:p>
                        <w:pPr>
                          <w:pStyle w:val="TableParagraph"/>
                          <w:spacing w:line="240" w:lineRule="auto" w:before="37"/>
                          <w:ind w:left="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SuperMap</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ESS]V1.0</w:t>
                        </w:r>
                      </w:p>
                    </w:tc>
                    <w:tc>
                      <w:tcPr>
                        <w:tcW w:w="14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2012SR012823</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3"/>
                            <w:sz w:val="21"/>
                            <w:szCs w:val="21"/>
                          </w:rPr>
                          <w:t>北京超图软件股份有限公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w:t>
                        </w:r>
                      </w:p>
                    </w:tc>
                    <w:tc>
                      <w:tcPr>
                        <w:tcW w:w="1322"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8" w:hRule="exact"/>
                    </w:trPr>
                    <w:tc>
                      <w:tcPr>
                        <w:tcW w:w="7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6</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06"/>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超图面向服务的地理信息共享交换平</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台软件</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SuperMap</w:t>
                        </w:r>
                        <w:r>
                          <w:rPr>
                            <w:rFonts w:ascii="Times New Roman" w:hAnsi="Times New Roman" w:cs="Times New Roman" w:eastAsia="Times New Roman" w:hint="default"/>
                            <w:spacing w:val="-6"/>
                            <w:sz w:val="21"/>
                            <w:szCs w:val="21"/>
                          </w:rPr>
                          <w:t> </w:t>
                        </w:r>
                        <w:r>
                          <w:rPr>
                            <w:rFonts w:ascii="Times New Roman" w:hAnsi="Times New Roman" w:cs="Times New Roman" w:eastAsia="Times New Roman" w:hint="default"/>
                            <w:sz w:val="21"/>
                            <w:szCs w:val="21"/>
                          </w:rPr>
                          <w:t>SGS]V6.2</w:t>
                        </w:r>
                      </w:p>
                    </w:tc>
                    <w:tc>
                      <w:tcPr>
                        <w:tcW w:w="14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91" w:right="0"/>
                          <w:jc w:val="left"/>
                          <w:rPr>
                            <w:rFonts w:ascii="Times New Roman" w:hAnsi="Times New Roman" w:cs="Times New Roman" w:eastAsia="Times New Roman" w:hint="default"/>
                            <w:sz w:val="21"/>
                            <w:szCs w:val="21"/>
                          </w:rPr>
                        </w:pPr>
                        <w:r>
                          <w:rPr>
                            <w:rFonts w:ascii="Times New Roman"/>
                            <w:sz w:val="21"/>
                          </w:rPr>
                          <w:t>2012SR051190</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3"/>
                            <w:sz w:val="21"/>
                            <w:szCs w:val="21"/>
                          </w:rPr>
                          <w:t>北京超图软件股份有限公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w:t>
                        </w:r>
                      </w:p>
                    </w:tc>
                    <w:tc>
                      <w:tcPr>
                        <w:tcW w:w="1322"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9" w:hRule="exact"/>
                    </w:trPr>
                    <w:tc>
                      <w:tcPr>
                        <w:tcW w:w="7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7</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79" w:lineRule="exact"/>
                          <w:ind w:left="2" w:right="0"/>
                          <w:jc w:val="left"/>
                          <w:rPr>
                            <w:rFonts w:ascii="宋体" w:hAnsi="宋体" w:cs="宋体" w:eastAsia="宋体" w:hint="default"/>
                            <w:sz w:val="21"/>
                            <w:szCs w:val="21"/>
                          </w:rPr>
                        </w:pPr>
                        <w:r>
                          <w:rPr>
                            <w:rFonts w:ascii="宋体" w:hAnsi="宋体" w:cs="宋体" w:eastAsia="宋体" w:hint="default"/>
                            <w:sz w:val="21"/>
                            <w:szCs w:val="21"/>
                          </w:rPr>
                          <w:t>超图电力空间数据处理桌面软件</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p>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SuperMap</w:t>
                        </w:r>
                        <w:r>
                          <w:rPr>
                            <w:rFonts w:ascii="Times New Roman"/>
                            <w:spacing w:val="-2"/>
                            <w:sz w:val="21"/>
                          </w:rPr>
                          <w:t> </w:t>
                        </w:r>
                        <w:r>
                          <w:rPr>
                            <w:rFonts w:ascii="Times New Roman"/>
                            <w:sz w:val="21"/>
                          </w:rPr>
                          <w:t>EUD]V1.0</w:t>
                        </w:r>
                      </w:p>
                    </w:tc>
                    <w:tc>
                      <w:tcPr>
                        <w:tcW w:w="79" w:type="dxa"/>
                        <w:tcBorders>
                          <w:top w:val="single" w:sz="6" w:space="0" w:color="000000"/>
                          <w:left w:val="single" w:sz="6" w:space="0" w:color="000000"/>
                          <w:bottom w:val="single" w:sz="6" w:space="0" w:color="000000"/>
                          <w:right w:val="nil" w:sz="6" w:space="0" w:color="auto"/>
                        </w:tcBorders>
                      </w:tcPr>
                      <w:p>
                        <w:pPr/>
                      </w:p>
                    </w:tc>
                    <w:tc>
                      <w:tcPr>
                        <w:tcW w:w="14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9" w:right="0"/>
                          <w:jc w:val="left"/>
                          <w:rPr>
                            <w:rFonts w:ascii="Times New Roman" w:hAnsi="Times New Roman" w:cs="Times New Roman" w:eastAsia="Times New Roman" w:hint="default"/>
                            <w:sz w:val="21"/>
                            <w:szCs w:val="21"/>
                          </w:rPr>
                        </w:pPr>
                        <w:r>
                          <w:rPr>
                            <w:rFonts w:ascii="Times New Roman"/>
                            <w:sz w:val="21"/>
                          </w:rPr>
                          <w:t>2012SR051149</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3"/>
                            <w:sz w:val="21"/>
                            <w:szCs w:val="21"/>
                          </w:rPr>
                          <w:t>北京超图软件股份有限公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w:t>
                        </w:r>
                      </w:p>
                    </w:tc>
                    <w:tc>
                      <w:tcPr>
                        <w:tcW w:w="1322" w:type="dxa"/>
                        <w:tcBorders>
                          <w:top w:val="single" w:sz="6" w:space="0" w:color="000000"/>
                          <w:left w:val="single" w:sz="6" w:space="0" w:color="000000"/>
                          <w:bottom w:val="single" w:sz="6" w:space="0" w:color="000000"/>
                          <w:right w:val="single" w:sz="12" w:space="0" w:color="000000"/>
                        </w:tcBorders>
                      </w:tcPr>
                      <w:p>
                        <w:pPr>
                          <w:pStyle w:val="TableParagraph"/>
                          <w:spacing w:line="279"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41" w:hRule="exact"/>
                    </w:trPr>
                    <w:tc>
                      <w:tcPr>
                        <w:tcW w:w="7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8</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2" w:right="0"/>
                          <w:jc w:val="left"/>
                          <w:rPr>
                            <w:rFonts w:ascii="宋体" w:hAnsi="宋体" w:cs="宋体" w:eastAsia="宋体" w:hint="default"/>
                            <w:sz w:val="21"/>
                            <w:szCs w:val="21"/>
                          </w:rPr>
                        </w:pPr>
                        <w:r>
                          <w:rPr>
                            <w:rFonts w:ascii="宋体" w:hAnsi="宋体" w:cs="宋体" w:eastAsia="宋体" w:hint="default"/>
                            <w:sz w:val="21"/>
                            <w:szCs w:val="21"/>
                          </w:rPr>
                          <w:t>超图专用数据转换系统</w:t>
                        </w:r>
                      </w:p>
                    </w:tc>
                    <w:tc>
                      <w:tcPr>
                        <w:tcW w:w="14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33" w:right="0"/>
                          <w:jc w:val="left"/>
                          <w:rPr>
                            <w:rFonts w:ascii="Times New Roman" w:hAnsi="Times New Roman" w:cs="Times New Roman" w:eastAsia="Times New Roman" w:hint="default"/>
                            <w:sz w:val="21"/>
                            <w:szCs w:val="21"/>
                          </w:rPr>
                        </w:pPr>
                        <w:r>
                          <w:rPr>
                            <w:rFonts w:ascii="Times New Roman"/>
                            <w:sz w:val="21"/>
                          </w:rPr>
                          <w:t>2012SR0560039</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3"/>
                            <w:sz w:val="21"/>
                            <w:szCs w:val="21"/>
                          </w:rPr>
                          <w:t>北京超图软件股份有限公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司</w:t>
                        </w:r>
                      </w:p>
                    </w:tc>
                    <w:tc>
                      <w:tcPr>
                        <w:tcW w:w="1322" w:type="dxa"/>
                        <w:tcBorders>
                          <w:top w:val="single" w:sz="6" w:space="0" w:color="000000"/>
                          <w:left w:val="single" w:sz="6" w:space="0" w:color="000000"/>
                          <w:bottom w:val="single" w:sz="6" w:space="0" w:color="000000"/>
                          <w:right w:val="single" w:sz="12" w:space="0" w:color="000000"/>
                        </w:tcBorders>
                      </w:tcPr>
                      <w:p>
                        <w:pPr>
                          <w:pStyle w:val="TableParagraph"/>
                          <w:spacing w:line="281"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8" w:hRule="exact"/>
                    </w:trPr>
                    <w:tc>
                      <w:tcPr>
                        <w:tcW w:w="7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9</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557"/>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超图房产管理系统</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简称：超图房</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产</w:t>
                        </w:r>
                        <w:r>
                          <w:rPr>
                            <w:rFonts w:ascii="Times New Roman" w:hAnsi="Times New Roman" w:cs="Times New Roman" w:eastAsia="Times New Roman" w:hint="default"/>
                            <w:sz w:val="21"/>
                            <w:szCs w:val="21"/>
                          </w:rPr>
                          <w:t>]V3.1</w:t>
                        </w:r>
                      </w:p>
                    </w:tc>
                    <w:tc>
                      <w:tcPr>
                        <w:tcW w:w="14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2012SR077982</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3"/>
                            <w:sz w:val="21"/>
                            <w:szCs w:val="21"/>
                          </w:rPr>
                          <w:t>北京超图软件股份有限公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w:t>
                        </w:r>
                      </w:p>
                    </w:tc>
                    <w:tc>
                      <w:tcPr>
                        <w:tcW w:w="1322"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8" w:hRule="exact"/>
                    </w:trPr>
                    <w:tc>
                      <w:tcPr>
                        <w:tcW w:w="7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78" w:lineRule="exact"/>
                          <w:ind w:left="2" w:right="0"/>
                          <w:jc w:val="left"/>
                          <w:rPr>
                            <w:rFonts w:ascii="宋体" w:hAnsi="宋体" w:cs="宋体" w:eastAsia="宋体" w:hint="default"/>
                            <w:sz w:val="21"/>
                            <w:szCs w:val="21"/>
                          </w:rPr>
                        </w:pPr>
                        <w:r>
                          <w:rPr>
                            <w:rFonts w:ascii="宋体" w:hAnsi="宋体" w:cs="宋体" w:eastAsia="宋体" w:hint="default"/>
                            <w:sz w:val="21"/>
                            <w:szCs w:val="21"/>
                          </w:rPr>
                          <w:t>超图数字城管综合应用平台软件</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p>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SuperaMap</w:t>
                        </w:r>
                        <w:r>
                          <w:rPr>
                            <w:rFonts w:ascii="Times New Roman"/>
                            <w:spacing w:val="-2"/>
                            <w:sz w:val="21"/>
                          </w:rPr>
                          <w:t> </w:t>
                        </w:r>
                        <w:r>
                          <w:rPr>
                            <w:rFonts w:ascii="Times New Roman"/>
                            <w:sz w:val="21"/>
                          </w:rPr>
                          <w:t>DCS]V6.2</w:t>
                        </w:r>
                      </w:p>
                    </w:tc>
                    <w:tc>
                      <w:tcPr>
                        <w:tcW w:w="79" w:type="dxa"/>
                        <w:tcBorders>
                          <w:top w:val="single" w:sz="6" w:space="0" w:color="000000"/>
                          <w:left w:val="single" w:sz="6" w:space="0" w:color="000000"/>
                          <w:bottom w:val="single" w:sz="6" w:space="0" w:color="000000"/>
                          <w:right w:val="nil" w:sz="6" w:space="0" w:color="auto"/>
                        </w:tcBorders>
                      </w:tcPr>
                      <w:p>
                        <w:pPr/>
                      </w:p>
                    </w:tc>
                    <w:tc>
                      <w:tcPr>
                        <w:tcW w:w="1416"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14" w:right="0"/>
                          <w:jc w:val="left"/>
                          <w:rPr>
                            <w:rFonts w:ascii="Times New Roman" w:hAnsi="Times New Roman" w:cs="Times New Roman" w:eastAsia="Times New Roman" w:hint="default"/>
                            <w:sz w:val="21"/>
                            <w:szCs w:val="21"/>
                          </w:rPr>
                        </w:pPr>
                        <w:r>
                          <w:rPr>
                            <w:rFonts w:ascii="Times New Roman"/>
                            <w:sz w:val="21"/>
                          </w:rPr>
                          <w:t>2012SR078001</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3"/>
                            <w:sz w:val="21"/>
                            <w:szCs w:val="21"/>
                          </w:rPr>
                          <w:t>北京超图软件股份有限公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w:t>
                        </w:r>
                      </w:p>
                    </w:tc>
                    <w:tc>
                      <w:tcPr>
                        <w:tcW w:w="1322"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38" w:hRule="exact"/>
                    </w:trPr>
                    <w:tc>
                      <w:tcPr>
                        <w:tcW w:w="7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spacing w:val="-8"/>
                            <w:sz w:val="21"/>
                          </w:rPr>
                          <w:t>11</w:t>
                        </w:r>
                        <w:r>
                          <w:rPr>
                            <w:rFonts w:ascii="Times New Roman"/>
                            <w:sz w:val="21"/>
                          </w:rPr>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95" w:lineRule="auto"/>
                          <w:ind w:left="2" w:right="523"/>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超图房测师软件</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简称：</w:t>
                        </w:r>
                        <w:r>
                          <w:rPr>
                            <w:rFonts w:ascii="Times New Roman" w:hAnsi="Times New Roman" w:cs="Times New Roman" w:eastAsia="Times New Roman" w:hint="default"/>
                            <w:spacing w:val="-1"/>
                            <w:sz w:val="21"/>
                            <w:szCs w:val="21"/>
                          </w:rPr>
                          <w:t>SuperMap</w:t>
                        </w:r>
                        <w:r>
                          <w:rPr>
                            <w:rFonts w:ascii="Times New Roman" w:hAnsi="Times New Roman" w:cs="Times New Roman" w:eastAsia="Times New Roman" w:hint="default"/>
                            <w:spacing w:val="-36"/>
                            <w:sz w:val="21"/>
                            <w:szCs w:val="21"/>
                          </w:rPr>
                          <w:t> </w:t>
                        </w:r>
                        <w:r>
                          <w:rPr>
                            <w:rFonts w:ascii="Times New Roman" w:hAnsi="Times New Roman" w:cs="Times New Roman" w:eastAsia="Times New Roman" w:hint="default"/>
                            <w:spacing w:val="-36"/>
                            <w:sz w:val="21"/>
                            <w:szCs w:val="21"/>
                          </w:rPr>
                        </w:r>
                        <w:r>
                          <w:rPr>
                            <w:rFonts w:ascii="Times New Roman" w:hAnsi="Times New Roman" w:cs="Times New Roman" w:eastAsia="Times New Roman" w:hint="default"/>
                            <w:sz w:val="21"/>
                            <w:szCs w:val="21"/>
                          </w:rPr>
                          <w:t>Floor]V6.0</w:t>
                        </w:r>
                      </w:p>
                    </w:tc>
                    <w:tc>
                      <w:tcPr>
                        <w:tcW w:w="14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2012SR078715</w:t>
                        </w:r>
                      </w:p>
                    </w:tc>
                    <w:tc>
                      <w:tcPr>
                        <w:tcW w:w="2393"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12" w:space="0" w:color="000000"/>
                        </w:tcBorders>
                      </w:tcPr>
                      <w:p>
                        <w:pPr>
                          <w:pStyle w:val="TableParagraph"/>
                          <w:spacing w:line="278"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641" w:hRule="exact"/>
                    </w:trPr>
                    <w:tc>
                      <w:tcPr>
                        <w:tcW w:w="72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w:t>
                        </w:r>
                      </w:p>
                    </w:tc>
                    <w:tc>
                      <w:tcPr>
                        <w:tcW w:w="3591"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2" w:right="0"/>
                          <w:jc w:val="left"/>
                          <w:rPr>
                            <w:rFonts w:ascii="宋体" w:hAnsi="宋体" w:cs="宋体" w:eastAsia="宋体" w:hint="default"/>
                            <w:sz w:val="21"/>
                            <w:szCs w:val="21"/>
                          </w:rPr>
                        </w:pPr>
                        <w:r>
                          <w:rPr>
                            <w:rFonts w:ascii="宋体" w:hAnsi="宋体" w:cs="宋体" w:eastAsia="宋体" w:hint="default"/>
                            <w:sz w:val="21"/>
                            <w:szCs w:val="21"/>
                          </w:rPr>
                          <w:t>超图云</w:t>
                        </w:r>
                        <w:r>
                          <w:rPr>
                            <w:rFonts w:ascii="Times New Roman" w:hAnsi="Times New Roman" w:cs="Times New Roman" w:eastAsia="Times New Roman" w:hint="default"/>
                            <w:sz w:val="21"/>
                            <w:szCs w:val="21"/>
                          </w:rPr>
                          <w:t>GIS</w:t>
                        </w:r>
                        <w:r>
                          <w:rPr>
                            <w:rFonts w:ascii="宋体" w:hAnsi="宋体" w:cs="宋体" w:eastAsia="宋体" w:hint="default"/>
                            <w:sz w:val="21"/>
                            <w:szCs w:val="21"/>
                          </w:rPr>
                          <w:t>数据离线服务软件</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p>
                      <w:p>
                        <w:pPr>
                          <w:pStyle w:val="TableParagraph"/>
                          <w:spacing w:line="240" w:lineRule="auto" w:before="68"/>
                          <w:ind w:left="2" w:right="0"/>
                          <w:jc w:val="left"/>
                          <w:rPr>
                            <w:rFonts w:ascii="Times New Roman" w:hAnsi="Times New Roman" w:cs="Times New Roman" w:eastAsia="Times New Roman" w:hint="default"/>
                            <w:sz w:val="21"/>
                            <w:szCs w:val="21"/>
                          </w:rPr>
                        </w:pPr>
                        <w:r>
                          <w:rPr>
                            <w:rFonts w:ascii="Times New Roman"/>
                            <w:sz w:val="21"/>
                          </w:rPr>
                          <w:t>SuperMapCloud</w:t>
                        </w:r>
                        <w:r>
                          <w:rPr>
                            <w:rFonts w:ascii="Times New Roman"/>
                            <w:spacing w:val="-6"/>
                            <w:sz w:val="21"/>
                          </w:rPr>
                          <w:t> </w:t>
                        </w:r>
                        <w:r>
                          <w:rPr>
                            <w:rFonts w:ascii="Times New Roman"/>
                            <w:sz w:val="21"/>
                          </w:rPr>
                          <w:t>Data-Package]V1.0</w:t>
                        </w:r>
                      </w:p>
                    </w:tc>
                    <w:tc>
                      <w:tcPr>
                        <w:tcW w:w="14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86" w:right="0"/>
                          <w:jc w:val="left"/>
                          <w:rPr>
                            <w:rFonts w:ascii="Times New Roman" w:hAnsi="Times New Roman" w:cs="Times New Roman" w:eastAsia="Times New Roman" w:hint="default"/>
                            <w:sz w:val="21"/>
                            <w:szCs w:val="21"/>
                          </w:rPr>
                        </w:pPr>
                        <w:r>
                          <w:rPr>
                            <w:rFonts w:ascii="Times New Roman"/>
                            <w:sz w:val="21"/>
                          </w:rPr>
                          <w:t>2012SR090547</w:t>
                        </w:r>
                      </w:p>
                    </w:tc>
                    <w:tc>
                      <w:tcPr>
                        <w:tcW w:w="239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3"/>
                            <w:sz w:val="21"/>
                            <w:szCs w:val="21"/>
                          </w:rPr>
                          <w:t>北京超图软件股份有限公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w:t>
                        </w:r>
                      </w:p>
                    </w:tc>
                    <w:tc>
                      <w:tcPr>
                        <w:tcW w:w="1322" w:type="dxa"/>
                        <w:tcBorders>
                          <w:top w:val="single" w:sz="6" w:space="0" w:color="000000"/>
                          <w:left w:val="single" w:sz="6" w:space="0" w:color="000000"/>
                          <w:bottom w:val="single" w:sz="6" w:space="0" w:color="000000"/>
                          <w:right w:val="single" w:sz="12" w:space="0" w:color="000000"/>
                        </w:tcBorders>
                      </w:tcPr>
                      <w:p>
                        <w:pPr>
                          <w:pStyle w:val="TableParagraph"/>
                          <w:spacing w:line="281" w:lineRule="exact"/>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22</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r>
                    <w:trPr>
                      <w:trHeight w:val="955" w:hRule="exact"/>
                    </w:trPr>
                    <w:tc>
                      <w:tcPr>
                        <w:tcW w:w="72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w:t>
                        </w:r>
                      </w:p>
                    </w:tc>
                    <w:tc>
                      <w:tcPr>
                        <w:tcW w:w="3591" w:type="dxa"/>
                        <w:tcBorders>
                          <w:top w:val="single" w:sz="6" w:space="0" w:color="000000"/>
                          <w:left w:val="single" w:sz="6" w:space="0" w:color="000000"/>
                          <w:bottom w:val="single" w:sz="12" w:space="0" w:color="000000"/>
                          <w:right w:val="single" w:sz="6" w:space="0" w:color="000000"/>
                        </w:tcBorders>
                      </w:tcPr>
                      <w:p>
                        <w:pPr>
                          <w:pStyle w:val="TableParagraph"/>
                          <w:spacing w:line="283" w:lineRule="auto"/>
                          <w:ind w:left="2" w:right="-1"/>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超图组件式地理信息开发平台软件（安</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卓版）</w:t>
                        </w:r>
                        <w:r>
                          <w:rPr>
                            <w:rFonts w:ascii="Times New Roman" w:hAnsi="Times New Roman" w:cs="Times New Roman" w:eastAsia="Times New Roman" w:hint="default"/>
                            <w:sz w:val="21"/>
                            <w:szCs w:val="21"/>
                          </w:rPr>
                          <w:t>[</w:t>
                        </w:r>
                        <w:r>
                          <w:rPr>
                            <w:rFonts w:ascii="宋体" w:hAnsi="宋体" w:cs="宋体" w:eastAsia="宋体" w:hint="default"/>
                            <w:sz w:val="21"/>
                            <w:szCs w:val="21"/>
                          </w:rPr>
                          <w:t>简称：</w:t>
                        </w:r>
                        <w:r>
                          <w:rPr>
                            <w:rFonts w:ascii="Times New Roman" w:hAnsi="Times New Roman" w:cs="Times New Roman" w:eastAsia="Times New Roman" w:hint="default"/>
                            <w:sz w:val="21"/>
                            <w:szCs w:val="21"/>
                          </w:rPr>
                          <w:t>SuperMap Objects</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z w:val="21"/>
                            <w:szCs w:val="21"/>
                          </w:rPr>
                          <w:t>for</w:t>
                        </w:r>
                        <w:r>
                          <w:rPr>
                            <w:rFonts w:ascii="Times New Roman" w:hAnsi="Times New Roman" w:cs="Times New Roman" w:eastAsia="Times New Roman" w:hint="default"/>
                            <w:w w:val="100"/>
                            <w:sz w:val="21"/>
                            <w:szCs w:val="21"/>
                          </w:rPr>
                          <w:t> </w:t>
                        </w:r>
                        <w:r>
                          <w:rPr>
                            <w:rFonts w:ascii="Times New Roman" w:hAnsi="Times New Roman" w:cs="Times New Roman" w:eastAsia="Times New Roman" w:hint="default"/>
                            <w:sz w:val="21"/>
                            <w:szCs w:val="21"/>
                          </w:rPr>
                          <w:t>Android]V6.0</w:t>
                        </w:r>
                      </w:p>
                    </w:tc>
                    <w:tc>
                      <w:tcPr>
                        <w:tcW w:w="149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91" w:right="0"/>
                          <w:jc w:val="left"/>
                          <w:rPr>
                            <w:rFonts w:ascii="Times New Roman" w:hAnsi="Times New Roman" w:cs="Times New Roman" w:eastAsia="Times New Roman" w:hint="default"/>
                            <w:sz w:val="21"/>
                            <w:szCs w:val="21"/>
                          </w:rPr>
                        </w:pPr>
                        <w:r>
                          <w:rPr>
                            <w:rFonts w:ascii="Times New Roman"/>
                            <w:sz w:val="21"/>
                          </w:rPr>
                          <w:t>2012SR112881</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3"/>
                            <w:sz w:val="21"/>
                            <w:szCs w:val="21"/>
                          </w:rPr>
                          <w:t>北京超图软件股份有限公</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司</w:t>
                        </w:r>
                      </w:p>
                    </w:tc>
                    <w:tc>
                      <w:tcPr>
                        <w:tcW w:w="132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43"/>
                          <w:ind w:left="7"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23</w:t>
                        </w:r>
                      </w:p>
                      <w:p>
                        <w:pPr>
                          <w:pStyle w:val="TableParagraph"/>
                          <w:spacing w:line="240" w:lineRule="auto" w:before="21"/>
                          <w:ind w:left="4" w:right="0"/>
                          <w:jc w:val="center"/>
                          <w:rPr>
                            <w:rFonts w:ascii="宋体" w:hAnsi="宋体" w:cs="宋体" w:eastAsia="宋体" w:hint="default"/>
                            <w:sz w:val="21"/>
                            <w:szCs w:val="21"/>
                          </w:rPr>
                        </w:pPr>
                        <w:r>
                          <w:rPr>
                            <w:rFonts w:ascii="宋体" w:hAnsi="宋体" w:cs="宋体" w:eastAsia="宋体" w:hint="default"/>
                            <w:w w:val="100"/>
                            <w:sz w:val="21"/>
                            <w:szCs w:val="21"/>
                          </w:rPr>
                          <w:t>日</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before="36"/>
        <w:ind w:left="3523" w:right="4511" w:firstLine="0"/>
        <w:jc w:val="center"/>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4"/>
        <w:spacing w:line="240" w:lineRule="auto" w:before="26"/>
        <w:ind w:left="217" w:right="0"/>
        <w:jc w:val="left"/>
        <w:rPr>
          <w:b w:val="0"/>
          <w:bCs w:val="0"/>
        </w:rPr>
      </w:pPr>
      <w:r>
        <w:rPr/>
        <w:t>（</w:t>
      </w:r>
      <w:r>
        <w:rPr>
          <w:rFonts w:ascii="Times New Roman" w:hAnsi="Times New Roman" w:cs="Times New Roman" w:eastAsia="Times New Roman" w:hint="default"/>
        </w:rPr>
        <w:t>2</w:t>
      </w:r>
      <w:r>
        <w:rPr/>
        <w:t>）报告期，新增专利</w:t>
      </w:r>
      <w:r>
        <w:rPr>
          <w:b w:val="0"/>
          <w:bCs w:val="0"/>
        </w:rPr>
      </w:r>
    </w:p>
    <w:p>
      <w:pPr>
        <w:spacing w:line="240" w:lineRule="auto" w:before="6"/>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670"/>
        <w:gridCol w:w="3200"/>
        <w:gridCol w:w="1968"/>
        <w:gridCol w:w="1935"/>
        <w:gridCol w:w="1942"/>
      </w:tblGrid>
      <w:tr>
        <w:trPr>
          <w:trHeight w:val="322" w:hRule="exact"/>
        </w:trPr>
        <w:tc>
          <w:tcPr>
            <w:tcW w:w="6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32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专利号</w:t>
            </w:r>
            <w:r>
              <w:rPr>
                <w:rFonts w:ascii="宋体" w:hAnsi="宋体" w:cs="宋体" w:eastAsia="宋体" w:hint="default"/>
                <w:sz w:val="21"/>
                <w:szCs w:val="21"/>
              </w:rPr>
            </w:r>
          </w:p>
        </w:tc>
        <w:tc>
          <w:tcPr>
            <w:tcW w:w="193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专利权人</w:t>
            </w:r>
            <w:r>
              <w:rPr>
                <w:rFonts w:ascii="宋体" w:hAnsi="宋体" w:cs="宋体" w:eastAsia="宋体" w:hint="default"/>
                <w:sz w:val="21"/>
                <w:szCs w:val="21"/>
              </w:rPr>
            </w:r>
          </w:p>
        </w:tc>
        <w:tc>
          <w:tcPr>
            <w:tcW w:w="1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授予日期</w:t>
            </w:r>
            <w:r>
              <w:rPr>
                <w:rFonts w:ascii="宋体" w:hAnsi="宋体" w:cs="宋体" w:eastAsia="宋体" w:hint="default"/>
                <w:sz w:val="21"/>
                <w:szCs w:val="21"/>
              </w:rPr>
            </w:r>
          </w:p>
        </w:tc>
      </w:tr>
      <w:tr>
        <w:trPr>
          <w:trHeight w:val="63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1</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42"/>
              <w:jc w:val="left"/>
              <w:rPr>
                <w:rFonts w:ascii="宋体" w:hAnsi="宋体" w:cs="宋体" w:eastAsia="宋体" w:hint="default"/>
                <w:sz w:val="21"/>
                <w:szCs w:val="21"/>
              </w:rPr>
            </w:pPr>
            <w:r>
              <w:rPr>
                <w:rFonts w:ascii="宋体" w:hAnsi="宋体" w:cs="宋体" w:eastAsia="宋体" w:hint="default"/>
                <w:spacing w:val="-2"/>
                <w:sz w:val="21"/>
                <w:szCs w:val="21"/>
              </w:rPr>
              <w:t>地理信息服务的分布式层次集群</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方法和系统</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13"/>
              <w:jc w:val="center"/>
              <w:rPr>
                <w:rFonts w:ascii="Times New Roman" w:hAnsi="Times New Roman" w:cs="Times New Roman" w:eastAsia="Times New Roman" w:hint="default"/>
                <w:sz w:val="21"/>
                <w:szCs w:val="21"/>
              </w:rPr>
            </w:pPr>
            <w:r>
              <w:rPr>
                <w:rFonts w:ascii="Times New Roman"/>
                <w:sz w:val="21"/>
              </w:rPr>
              <w:t>ZL2009I0237230.9</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北京超图软件股份</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有限公司</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9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22"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2</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41"/>
              <w:jc w:val="center"/>
              <w:rPr>
                <w:rFonts w:ascii="宋体" w:hAnsi="宋体" w:cs="宋体" w:eastAsia="宋体" w:hint="default"/>
                <w:sz w:val="21"/>
                <w:szCs w:val="21"/>
              </w:rPr>
            </w:pPr>
            <w:r>
              <w:rPr>
                <w:rFonts w:ascii="宋体" w:hAnsi="宋体" w:cs="宋体" w:eastAsia="宋体" w:hint="default"/>
                <w:sz w:val="21"/>
                <w:szCs w:val="21"/>
              </w:rPr>
              <w:t>地理信息应用分析模型的动态图</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77"/>
              <w:jc w:val="center"/>
              <w:rPr>
                <w:rFonts w:ascii="Times New Roman" w:hAnsi="Times New Roman" w:cs="Times New Roman" w:eastAsia="Times New Roman" w:hint="default"/>
                <w:sz w:val="21"/>
                <w:szCs w:val="21"/>
              </w:rPr>
            </w:pPr>
            <w:r>
              <w:rPr>
                <w:rFonts w:ascii="Times New Roman"/>
                <w:sz w:val="21"/>
              </w:rPr>
              <w:t>ZL200910238157.7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pacing w:val="2"/>
                <w:sz w:val="21"/>
                <w:szCs w:val="21"/>
              </w:rPr>
              <w:t>北京超图软件股份</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95"/>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78" w:lineRule="exact"/>
        <w:jc w:val="center"/>
        <w:rPr>
          <w:rFonts w:ascii="宋体" w:hAnsi="宋体" w:cs="宋体" w:eastAsia="宋体" w:hint="default"/>
          <w:sz w:val="21"/>
          <w:szCs w:val="21"/>
        </w:rPr>
        <w:sectPr>
          <w:pgSz w:w="11910" w:h="16840"/>
          <w:pgMar w:header="884" w:footer="1007" w:top="1140" w:bottom="1200" w:left="1060" w:right="900"/>
        </w:sectPr>
      </w:pPr>
    </w:p>
    <w:p>
      <w:pPr>
        <w:spacing w:line="240" w:lineRule="auto" w:before="6"/>
        <w:rPr>
          <w:rFonts w:ascii="宋体" w:hAnsi="宋体" w:cs="宋体" w:eastAsia="宋体" w:hint="default"/>
          <w:b/>
          <w:bCs/>
          <w:sz w:val="21"/>
          <w:szCs w:val="21"/>
        </w:rPr>
      </w:pPr>
    </w:p>
    <w:tbl>
      <w:tblPr>
        <w:tblW w:w="0" w:type="auto"/>
        <w:jc w:val="left"/>
        <w:tblInd w:w="103" w:type="dxa"/>
        <w:tblLayout w:type="fixed"/>
        <w:tblCellMar>
          <w:top w:w="0" w:type="dxa"/>
          <w:left w:w="0" w:type="dxa"/>
          <w:bottom w:w="0" w:type="dxa"/>
          <w:right w:w="0" w:type="dxa"/>
        </w:tblCellMar>
        <w:tblLook w:val="01E0"/>
      </w:tblPr>
      <w:tblGrid>
        <w:gridCol w:w="670"/>
        <w:gridCol w:w="3200"/>
        <w:gridCol w:w="1968"/>
        <w:gridCol w:w="1935"/>
        <w:gridCol w:w="1942"/>
      </w:tblGrid>
      <w:tr>
        <w:trPr>
          <w:trHeight w:val="322" w:hRule="exact"/>
        </w:trPr>
        <w:tc>
          <w:tcPr>
            <w:tcW w:w="670" w:type="dxa"/>
            <w:tcBorders>
              <w:top w:val="single" w:sz="4" w:space="0" w:color="000000"/>
              <w:left w:val="single" w:sz="4" w:space="0" w:color="000000"/>
              <w:bottom w:val="single" w:sz="4" w:space="0" w:color="000000"/>
              <w:right w:val="single" w:sz="4" w:space="0" w:color="000000"/>
            </w:tcBorders>
          </w:tcPr>
          <w:p>
            <w:pP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0" w:right="0"/>
              <w:jc w:val="left"/>
              <w:rPr>
                <w:rFonts w:ascii="宋体" w:hAnsi="宋体" w:cs="宋体" w:eastAsia="宋体" w:hint="default"/>
                <w:sz w:val="21"/>
                <w:szCs w:val="21"/>
              </w:rPr>
            </w:pPr>
            <w:r>
              <w:rPr>
                <w:rFonts w:ascii="宋体" w:hAnsi="宋体" w:cs="宋体" w:eastAsia="宋体" w:hint="default"/>
                <w:sz w:val="21"/>
                <w:szCs w:val="21"/>
              </w:rPr>
              <w:t>形化方法和装置</w:t>
            </w:r>
          </w:p>
        </w:tc>
        <w:tc>
          <w:tcPr>
            <w:tcW w:w="1968"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94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3</w:t>
            </w:r>
          </w:p>
        </w:tc>
        <w:tc>
          <w:tcPr>
            <w:tcW w:w="320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0" w:right="142"/>
              <w:jc w:val="left"/>
              <w:rPr>
                <w:rFonts w:ascii="宋体" w:hAnsi="宋体" w:cs="宋体" w:eastAsia="宋体" w:hint="default"/>
                <w:sz w:val="21"/>
                <w:szCs w:val="21"/>
              </w:rPr>
            </w:pPr>
            <w:r>
              <w:rPr>
                <w:rFonts w:ascii="宋体" w:hAnsi="宋体" w:cs="宋体" w:eastAsia="宋体" w:hint="default"/>
                <w:spacing w:val="-2"/>
                <w:sz w:val="21"/>
                <w:szCs w:val="21"/>
              </w:rPr>
              <w:t>基于分层路网的路径搜索方法和</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装置</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0" w:right="0"/>
              <w:jc w:val="left"/>
              <w:rPr>
                <w:rFonts w:ascii="Times New Roman" w:hAnsi="Times New Roman" w:cs="Times New Roman" w:eastAsia="Times New Roman" w:hint="default"/>
                <w:sz w:val="21"/>
                <w:szCs w:val="21"/>
              </w:rPr>
            </w:pPr>
            <w:r>
              <w:rPr>
                <w:rFonts w:ascii="Times New Roman"/>
                <w:sz w:val="21"/>
              </w:rPr>
              <w:t>ZL201110006188.7</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03" w:right="100"/>
              <w:jc w:val="left"/>
              <w:rPr>
                <w:rFonts w:ascii="宋体" w:hAnsi="宋体" w:cs="宋体" w:eastAsia="宋体" w:hint="default"/>
                <w:sz w:val="21"/>
                <w:szCs w:val="21"/>
              </w:rPr>
            </w:pPr>
            <w:r>
              <w:rPr>
                <w:rFonts w:ascii="宋体" w:hAnsi="宋体" w:cs="宋体" w:eastAsia="宋体" w:hint="default"/>
                <w:spacing w:val="2"/>
                <w:sz w:val="21"/>
                <w:szCs w:val="21"/>
              </w:rPr>
              <w:t>北京超图软件股份</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有限公司</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pStyle w:val="Heading4"/>
        <w:spacing w:line="240" w:lineRule="auto" w:before="26"/>
        <w:ind w:left="217" w:right="0"/>
        <w:jc w:val="left"/>
        <w:rPr>
          <w:b w:val="0"/>
          <w:bCs w:val="0"/>
        </w:rPr>
      </w:pPr>
      <w:bookmarkStart w:name="_bookmark22" w:id="23"/>
      <w:bookmarkEnd w:id="23"/>
      <w:r>
        <w:rPr>
          <w:b w:val="0"/>
          <w:bCs w:val="0"/>
        </w:rPr>
      </w:r>
      <w:r>
        <w:rPr/>
        <w:t>三、公司未来发展的展望</w:t>
      </w:r>
      <w:r>
        <w:rPr>
          <w:b w:val="0"/>
          <w:bCs w:val="0"/>
        </w:rPr>
      </w:r>
    </w:p>
    <w:p>
      <w:pPr>
        <w:spacing w:line="692" w:lineRule="exact" w:before="27"/>
        <w:ind w:left="697" w:right="226" w:hanging="480"/>
        <w:jc w:val="left"/>
        <w:rPr>
          <w:rFonts w:ascii="宋体" w:hAnsi="宋体" w:cs="宋体" w:eastAsia="宋体" w:hint="default"/>
          <w:sz w:val="24"/>
          <w:szCs w:val="24"/>
        </w:rPr>
      </w:pPr>
      <w:bookmarkStart w:name="_bookmark23" w:id="24"/>
      <w:bookmarkEnd w:id="24"/>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、地理信息产业发展趋势和预测</w:t>
      </w:r>
      <w:r>
        <w:rPr>
          <w:rFonts w:ascii="宋体" w:hAnsi="宋体" w:cs="宋体" w:eastAsia="宋体" w:hint="default"/>
          <w:b/>
          <w:bCs/>
          <w:w w:val="99"/>
          <w:sz w:val="24"/>
          <w:szCs w:val="24"/>
        </w:rPr>
        <w:t> </w:t>
      </w:r>
      <w:r>
        <w:rPr>
          <w:rFonts w:ascii="宋体" w:hAnsi="宋体" w:cs="宋体" w:eastAsia="宋体" w:hint="default"/>
          <w:spacing w:val="-3"/>
          <w:sz w:val="24"/>
          <w:szCs w:val="24"/>
        </w:rPr>
        <w:t>我国地理信息产业在过去的</w:t>
      </w:r>
      <w:r>
        <w:rPr>
          <w:rFonts w:ascii="Times New Roman" w:hAnsi="Times New Roman" w:cs="Times New Roman" w:eastAsia="Times New Roman" w:hint="default"/>
          <w:spacing w:val="-3"/>
          <w:sz w:val="24"/>
          <w:szCs w:val="24"/>
        </w:rPr>
        <w:t>20</w:t>
      </w:r>
      <w:r>
        <w:rPr>
          <w:rFonts w:ascii="宋体" w:hAnsi="宋体" w:cs="宋体" w:eastAsia="宋体" w:hint="default"/>
          <w:spacing w:val="-3"/>
          <w:sz w:val="24"/>
          <w:szCs w:val="24"/>
        </w:rPr>
        <w:t>多年从无到有，产业基础设施不断完善，产业规模迅速扩</w:t>
      </w:r>
    </w:p>
    <w:p>
      <w:pPr>
        <w:pStyle w:val="BodyText"/>
        <w:spacing w:line="350" w:lineRule="auto" w:before="50"/>
        <w:ind w:left="217" w:right="109"/>
        <w:jc w:val="left"/>
      </w:pPr>
      <w:r>
        <w:rPr>
          <w:spacing w:val="-3"/>
        </w:rPr>
        <w:t>张，核心竞争力不断提升。</w:t>
      </w:r>
      <w:r>
        <w:rPr>
          <w:rFonts w:ascii="Times New Roman" w:hAnsi="Times New Roman" w:cs="Times New Roman" w:eastAsia="Times New Roman" w:hint="default"/>
          <w:spacing w:val="-3"/>
        </w:rPr>
        <w:t>2012</w:t>
      </w:r>
      <w:r>
        <w:rPr>
          <w:spacing w:val="-3"/>
        </w:rPr>
        <w:t>年至今，国家到地方陆续出台了多个有关促进测绘与信息服</w:t>
      </w:r>
      <w:r>
        <w:rPr>
          <w:spacing w:val="-99"/>
        </w:rPr>
        <w:t> </w:t>
      </w:r>
      <w:r>
        <w:rPr>
          <w:spacing w:val="-99"/>
        </w:rPr>
      </w:r>
      <w:r>
        <w:rPr/>
        <w:t>务业、导航与位置服务业、智慧城市建设等与地理信息产业相关的科技规划、产业规划等， </w:t>
      </w:r>
      <w:r>
        <w:rPr>
          <w:spacing w:val="-3"/>
        </w:rPr>
        <w:t>明确将地理信息产业纳入国家战略性新兴产业。未来，地理信息产业将进入转型升级的新阶</w:t>
      </w:r>
      <w:r>
        <w:rPr>
          <w:spacing w:val="-104"/>
        </w:rPr>
        <w:t> </w:t>
      </w:r>
      <w:r>
        <w:rPr>
          <w:spacing w:val="-104"/>
        </w:rPr>
      </w:r>
      <w:r>
        <w:rPr/>
        <w:t>段，具体将呈现以下趋势：</w:t>
      </w:r>
    </w:p>
    <w:p>
      <w:pPr>
        <w:spacing w:line="240" w:lineRule="auto" w:before="5"/>
        <w:rPr>
          <w:rFonts w:ascii="宋体" w:hAnsi="宋体" w:cs="宋体" w:eastAsia="宋体" w:hint="default"/>
          <w:sz w:val="20"/>
          <w:szCs w:val="20"/>
        </w:rPr>
      </w:pPr>
    </w:p>
    <w:p>
      <w:pPr>
        <w:pStyle w:val="Heading4"/>
        <w:spacing w:line="240" w:lineRule="auto"/>
        <w:ind w:left="217" w:right="0"/>
        <w:jc w:val="left"/>
        <w:rPr>
          <w:b w:val="0"/>
          <w:bCs w:val="0"/>
        </w:rPr>
      </w:pPr>
      <w:r>
        <w:rPr/>
        <w:t>（</w:t>
      </w:r>
      <w:r>
        <w:rPr>
          <w:rFonts w:ascii="Times New Roman" w:hAnsi="Times New Roman" w:cs="Times New Roman" w:eastAsia="Times New Roman" w:hint="default"/>
        </w:rPr>
        <w:t>1</w:t>
      </w:r>
      <w:r>
        <w:rPr/>
        <w:t>）地理信息资源开发利用的社会认知度不断提高</w:t>
      </w:r>
      <w:r>
        <w:rPr>
          <w:b w:val="0"/>
          <w:bCs w:val="0"/>
        </w:rPr>
      </w:r>
    </w:p>
    <w:p>
      <w:pPr>
        <w:spacing w:line="240" w:lineRule="auto" w:before="3"/>
        <w:rPr>
          <w:rFonts w:ascii="宋体" w:hAnsi="宋体" w:cs="宋体" w:eastAsia="宋体" w:hint="default"/>
          <w:b/>
          <w:bCs/>
          <w:sz w:val="27"/>
          <w:szCs w:val="27"/>
        </w:rPr>
      </w:pPr>
    </w:p>
    <w:p>
      <w:pPr>
        <w:pStyle w:val="BodyText"/>
        <w:spacing w:line="352" w:lineRule="auto"/>
        <w:ind w:left="217" w:right="0" w:firstLine="480"/>
        <w:jc w:val="left"/>
      </w:pPr>
      <w:r>
        <w:rPr>
          <w:spacing w:val="-3"/>
        </w:rPr>
        <w:t>过去</w:t>
      </w:r>
      <w:r>
        <w:rPr>
          <w:rFonts w:ascii="Times New Roman" w:hAnsi="Times New Roman" w:cs="Times New Roman" w:eastAsia="Times New Roman" w:hint="default"/>
          <w:spacing w:val="-3"/>
        </w:rPr>
        <w:t>30</w:t>
      </w:r>
      <w:r>
        <w:rPr>
          <w:spacing w:val="-3"/>
        </w:rPr>
        <w:t>年，</w:t>
      </w:r>
      <w:r>
        <w:rPr>
          <w:rFonts w:ascii="Times New Roman" w:hAnsi="Times New Roman" w:cs="Times New Roman" w:eastAsia="Times New Roman" w:hint="default"/>
          <w:spacing w:val="-3"/>
        </w:rPr>
        <w:t>IT</w:t>
      </w:r>
      <w:r>
        <w:rPr>
          <w:spacing w:val="-3"/>
        </w:rPr>
        <w:t>的发展促进了社会的快速发展，促进了包括地理信息技术在内的各类相关</w:t>
      </w:r>
      <w:r>
        <w:rPr/>
        <w:t> </w:t>
      </w:r>
      <w:r>
        <w:rPr>
          <w:spacing w:val="-3"/>
        </w:rPr>
        <w:t>技术的飞速发展。地理信息的用户群体不断扩大，正在从以政府为主转向以政府、企业和大</w:t>
      </w:r>
      <w:r>
        <w:rPr>
          <w:spacing w:val="-102"/>
        </w:rPr>
        <w:t> </w:t>
      </w:r>
      <w:r>
        <w:rPr>
          <w:spacing w:val="-102"/>
        </w:rPr>
      </w:r>
      <w:r>
        <w:rPr>
          <w:spacing w:val="-3"/>
        </w:rPr>
        <w:t>众并重。随着我国北斗卫星导航系统、自主航空遥感对地观测体系的建设，地理信息资源将</w:t>
      </w:r>
      <w:r>
        <w:rPr>
          <w:spacing w:val="-102"/>
        </w:rPr>
        <w:t> </w:t>
      </w:r>
      <w:r>
        <w:rPr>
          <w:spacing w:val="-102"/>
        </w:rPr>
      </w:r>
      <w:r>
        <w:rPr>
          <w:spacing w:val="-6"/>
        </w:rPr>
        <w:t>不断丰富，支持地理信息共享和服务的设施和基础数据资源日臻完善。尤其随着我国天地图、</w:t>
      </w:r>
      <w:r>
        <w:rPr>
          <w:spacing w:val="-99"/>
        </w:rPr>
        <w:t> </w:t>
      </w:r>
      <w:r>
        <w:rPr>
          <w:spacing w:val="-99"/>
        </w:rPr>
      </w:r>
      <w:r>
        <w:rPr/>
        <w:t>数字城市、智慧城市等建设，全社会对地理信息资源开发和应用的认知度将得到提升。</w:t>
      </w:r>
    </w:p>
    <w:p>
      <w:pPr>
        <w:spacing w:line="240" w:lineRule="auto" w:before="3"/>
        <w:rPr>
          <w:rFonts w:ascii="宋体" w:hAnsi="宋体" w:cs="宋体" w:eastAsia="宋体" w:hint="default"/>
          <w:sz w:val="20"/>
          <w:szCs w:val="20"/>
        </w:rPr>
      </w:pPr>
    </w:p>
    <w:p>
      <w:pPr>
        <w:pStyle w:val="Heading4"/>
        <w:spacing w:line="240" w:lineRule="auto"/>
        <w:ind w:left="217" w:right="0"/>
        <w:jc w:val="left"/>
        <w:rPr>
          <w:b w:val="0"/>
          <w:bCs w:val="0"/>
        </w:rPr>
      </w:pPr>
      <w:r>
        <w:rPr/>
        <w:t>（</w:t>
      </w:r>
      <w:r>
        <w:rPr>
          <w:rFonts w:ascii="Times New Roman" w:hAnsi="Times New Roman" w:cs="Times New Roman" w:eastAsia="Times New Roman" w:hint="default"/>
        </w:rPr>
        <w:t>2</w:t>
      </w:r>
      <w:r>
        <w:rPr/>
        <w:t>）产业规模将迅速扩张</w:t>
      </w:r>
      <w:r>
        <w:rPr>
          <w:b w:val="0"/>
          <w:bCs w:val="0"/>
        </w:rPr>
      </w:r>
    </w:p>
    <w:p>
      <w:pPr>
        <w:spacing w:line="240" w:lineRule="auto" w:before="6"/>
        <w:rPr>
          <w:rFonts w:ascii="宋体" w:hAnsi="宋体" w:cs="宋体" w:eastAsia="宋体" w:hint="default"/>
          <w:b/>
          <w:bCs/>
          <w:sz w:val="27"/>
          <w:szCs w:val="27"/>
        </w:rPr>
      </w:pPr>
    </w:p>
    <w:p>
      <w:pPr>
        <w:pStyle w:val="BodyText"/>
        <w:spacing w:line="345" w:lineRule="auto"/>
        <w:ind w:left="217" w:right="0" w:firstLine="480"/>
        <w:jc w:val="left"/>
      </w:pPr>
      <w:r>
        <w:rPr/>
        <w:t>截止</w:t>
      </w:r>
      <w:r>
        <w:rPr>
          <w:rFonts w:ascii="Times New Roman" w:hAnsi="Times New Roman" w:cs="Times New Roman" w:eastAsia="Times New Roman" w:hint="default"/>
        </w:rPr>
        <w:t>2012</w:t>
      </w:r>
      <w:r>
        <w:rPr/>
        <w:t>年，我国从事地理信息产业的企业约有</w:t>
      </w:r>
      <w:r>
        <w:rPr>
          <w:rFonts w:ascii="Times New Roman" w:hAnsi="Times New Roman" w:cs="Times New Roman" w:eastAsia="Times New Roman" w:hint="default"/>
        </w:rPr>
        <w:t>2.3</w:t>
      </w:r>
      <w:r>
        <w:rPr/>
        <w:t>万家，从业人员超过</w:t>
      </w:r>
      <w:r>
        <w:rPr>
          <w:rFonts w:ascii="Times New Roman" w:hAnsi="Times New Roman" w:cs="Times New Roman" w:eastAsia="Times New Roman" w:hint="default"/>
        </w:rPr>
        <w:t>40</w:t>
      </w:r>
      <w:r>
        <w:rPr/>
        <w:t>万人，年产 </w:t>
      </w:r>
      <w:r>
        <w:rPr>
          <w:spacing w:val="-6"/>
        </w:rPr>
        <w:t>值近</w:t>
      </w:r>
      <w:r>
        <w:rPr>
          <w:rFonts w:ascii="Times New Roman" w:hAnsi="Times New Roman" w:cs="Times New Roman" w:eastAsia="Times New Roman" w:hint="default"/>
          <w:spacing w:val="-6"/>
        </w:rPr>
        <w:t>2000</w:t>
      </w:r>
      <w:r>
        <w:rPr>
          <w:spacing w:val="-6"/>
        </w:rPr>
        <w:t>亿元，新应用与新服务不断产生，互联网企业、电商企业、物流企业、通讯运营商、</w:t>
      </w:r>
      <w:r>
        <w:rPr>
          <w:spacing w:val="-91"/>
        </w:rPr>
        <w:t> </w:t>
      </w:r>
      <w:r>
        <w:rPr>
          <w:spacing w:val="-91"/>
        </w:rPr>
      </w:r>
      <w:r>
        <w:rPr>
          <w:spacing w:val="-3"/>
        </w:rPr>
        <w:t>汽车厂商都开始尝试探索地理信息应用和服务模式，此外，随着产业的快速发展，全国约有</w:t>
      </w:r>
      <w:r>
        <w:rPr>
          <w:spacing w:val="-104"/>
        </w:rPr>
        <w:t> </w:t>
      </w:r>
      <w:r>
        <w:rPr>
          <w:spacing w:val="-104"/>
        </w:rPr>
      </w:r>
      <w:r>
        <w:rPr>
          <w:rFonts w:ascii="Times New Roman" w:hAnsi="Times New Roman" w:cs="Times New Roman" w:eastAsia="Times New Roman" w:hint="default"/>
        </w:rPr>
        <w:t>500</w:t>
      </w:r>
      <w:r>
        <w:rPr/>
        <w:t>多所大专院校设立了地理信息相关专业，为产业的规模发展奠定了人才基础。</w:t>
      </w:r>
    </w:p>
    <w:p>
      <w:pPr>
        <w:spacing w:line="240" w:lineRule="auto" w:before="6"/>
        <w:rPr>
          <w:rFonts w:ascii="宋体" w:hAnsi="宋体" w:cs="宋体" w:eastAsia="宋体" w:hint="default"/>
          <w:sz w:val="18"/>
          <w:szCs w:val="18"/>
        </w:rPr>
      </w:pPr>
    </w:p>
    <w:p>
      <w:pPr>
        <w:pStyle w:val="Heading4"/>
        <w:spacing w:line="240" w:lineRule="auto"/>
        <w:ind w:left="217" w:right="0"/>
        <w:jc w:val="left"/>
        <w:rPr>
          <w:b w:val="0"/>
          <w:bCs w:val="0"/>
        </w:rPr>
      </w:pPr>
      <w:r>
        <w:rPr/>
        <w:t>（</w:t>
      </w:r>
      <w:r>
        <w:rPr>
          <w:rFonts w:ascii="Times New Roman" w:hAnsi="Times New Roman" w:cs="Times New Roman" w:eastAsia="Times New Roman" w:hint="default"/>
        </w:rPr>
        <w:t>3</w:t>
      </w:r>
      <w:r>
        <w:rPr/>
        <w:t>）自主核心地理信息技术水平将大幅提升</w:t>
      </w:r>
      <w:r>
        <w:rPr>
          <w:b w:val="0"/>
          <w:bCs w:val="0"/>
        </w:rPr>
      </w:r>
    </w:p>
    <w:p>
      <w:pPr>
        <w:spacing w:line="240" w:lineRule="auto" w:before="3"/>
        <w:rPr>
          <w:rFonts w:ascii="宋体" w:hAnsi="宋体" w:cs="宋体" w:eastAsia="宋体" w:hint="default"/>
          <w:b/>
          <w:bCs/>
          <w:sz w:val="27"/>
          <w:szCs w:val="27"/>
        </w:rPr>
      </w:pPr>
    </w:p>
    <w:p>
      <w:pPr>
        <w:pStyle w:val="BodyText"/>
        <w:spacing w:line="357" w:lineRule="auto"/>
        <w:ind w:left="217" w:right="109" w:firstLine="480"/>
        <w:jc w:val="left"/>
      </w:pPr>
      <w:r>
        <w:rPr/>
        <w:t>我国地理信息产业的发展必须要加快自主核心关键技术的提升，着力培育遥感数据服 </w:t>
      </w:r>
      <w:r>
        <w:rPr>
          <w:spacing w:val="-3"/>
        </w:rPr>
        <w:t>务、测绘地理信息装备制造、地理信息软件、地理信息应用服务、导航定位及位置服务和地</w:t>
      </w:r>
      <w:r>
        <w:rPr>
          <w:spacing w:val="-108"/>
        </w:rPr>
        <w:t> </w:t>
      </w:r>
      <w:r>
        <w:rPr>
          <w:spacing w:val="-108"/>
        </w:rPr>
      </w:r>
      <w:r>
        <w:rPr/>
        <w:t>图出版等六大产业分支相关关键技术的研发，掌握一批具有自主知识产权的核心关键技术，</w:t>
      </w:r>
    </w:p>
    <w:p>
      <w:pPr>
        <w:spacing w:after="0" w:line="357" w:lineRule="auto"/>
        <w:jc w:val="left"/>
        <w:sectPr>
          <w:pgSz w:w="11910" w:h="16840"/>
          <w:pgMar w:header="884" w:footer="1007" w:top="1140" w:bottom="1200" w:left="1060" w:right="900"/>
        </w:sectPr>
      </w:pPr>
    </w:p>
    <w:p>
      <w:pPr>
        <w:spacing w:line="240" w:lineRule="auto" w:before="6"/>
        <w:rPr>
          <w:rFonts w:ascii="宋体" w:hAnsi="宋体" w:cs="宋体" w:eastAsia="宋体" w:hint="default"/>
          <w:sz w:val="22"/>
          <w:szCs w:val="22"/>
        </w:rPr>
      </w:pPr>
    </w:p>
    <w:p>
      <w:pPr>
        <w:pStyle w:val="BodyText"/>
        <w:spacing w:line="357" w:lineRule="auto" w:before="26"/>
        <w:ind w:left="137" w:right="109"/>
        <w:jc w:val="left"/>
      </w:pPr>
      <w:r>
        <w:rPr>
          <w:spacing w:val="-3"/>
        </w:rPr>
        <w:t>并推动产业链上下游技术的整合与集成，才能真正实现整个产业的核心竞争力和国际竞争力</w:t>
      </w:r>
      <w:r>
        <w:rPr>
          <w:spacing w:val="-104"/>
        </w:rPr>
        <w:t> </w:t>
      </w:r>
      <w:r>
        <w:rPr>
          <w:spacing w:val="-104"/>
        </w:rPr>
      </w:r>
      <w:r>
        <w:rPr/>
        <w:t>的提升。因此，国家从各个层面上对该产业领域的技术提升提供了充分的保障条件。</w:t>
      </w:r>
    </w:p>
    <w:p>
      <w:pPr>
        <w:spacing w:line="240" w:lineRule="auto" w:before="11"/>
        <w:rPr>
          <w:rFonts w:ascii="宋体" w:hAnsi="宋体" w:cs="宋体" w:eastAsia="宋体" w:hint="default"/>
          <w:sz w:val="19"/>
          <w:szCs w:val="19"/>
        </w:rPr>
      </w:pPr>
    </w:p>
    <w:p>
      <w:pPr>
        <w:pStyle w:val="Heading4"/>
        <w:spacing w:line="240" w:lineRule="auto"/>
        <w:ind w:right="109"/>
        <w:jc w:val="left"/>
        <w:rPr>
          <w:b w:val="0"/>
          <w:bCs w:val="0"/>
        </w:rPr>
      </w:pPr>
      <w:r>
        <w:rPr/>
        <w:t>（</w:t>
      </w:r>
      <w:r>
        <w:rPr>
          <w:rFonts w:ascii="Times New Roman" w:hAnsi="Times New Roman" w:cs="Times New Roman" w:eastAsia="Times New Roman" w:hint="default"/>
        </w:rPr>
        <w:t>4</w:t>
      </w:r>
      <w:r>
        <w:rPr/>
        <w:t>）地理信息服务业态将呈现多元化、普及化</w:t>
      </w:r>
      <w:r>
        <w:rPr>
          <w:b w:val="0"/>
          <w:bCs w:val="0"/>
        </w:rPr>
      </w:r>
    </w:p>
    <w:p>
      <w:pPr>
        <w:spacing w:line="240" w:lineRule="auto" w:before="6"/>
        <w:rPr>
          <w:rFonts w:ascii="宋体" w:hAnsi="宋体" w:cs="宋体" w:eastAsia="宋体" w:hint="default"/>
          <w:b/>
          <w:bCs/>
          <w:sz w:val="27"/>
          <w:szCs w:val="27"/>
        </w:rPr>
      </w:pPr>
    </w:p>
    <w:p>
      <w:pPr>
        <w:pStyle w:val="BodyText"/>
        <w:spacing w:line="357" w:lineRule="auto"/>
        <w:ind w:left="137" w:right="227" w:firstLine="480"/>
        <w:jc w:val="both"/>
      </w:pPr>
      <w:r>
        <w:rPr>
          <w:spacing w:val="-3"/>
        </w:rPr>
        <w:t>随着互联网、移动技术的发展，地理信息服务业态将呈现多元化形态。未来几年，国土</w:t>
      </w:r>
      <w:r>
        <w:rPr/>
        <w:t> </w:t>
      </w:r>
      <w:r>
        <w:rPr>
          <w:spacing w:val="-3"/>
        </w:rPr>
        <w:t>资源、农业、林业、环境和测绘等传统行业会进一步深化地理信息应用，企业级应用、社会</w:t>
      </w:r>
      <w:r>
        <w:rPr>
          <w:spacing w:val="-108"/>
        </w:rPr>
        <w:t> </w:t>
      </w:r>
      <w:r>
        <w:rPr>
          <w:spacing w:val="-108"/>
        </w:rPr>
      </w:r>
      <w:r>
        <w:rPr>
          <w:spacing w:val="-3"/>
        </w:rPr>
        <w:t>服务型应用会快速发展。地理信息产业将与车联网、物联网等应用深入融合，全面应用在社</w:t>
      </w:r>
      <w:r>
        <w:rPr>
          <w:spacing w:val="-102"/>
        </w:rPr>
        <w:t> </w:t>
      </w:r>
      <w:r>
        <w:rPr>
          <w:spacing w:val="-102"/>
        </w:rPr>
      </w:r>
      <w:r>
        <w:rPr>
          <w:spacing w:val="-3"/>
        </w:rPr>
        <w:t>会管理、城市管理、休闲娱乐、电子商务、智能出行等各个领域。地理信息技术将通过各种</w:t>
      </w:r>
      <w:r>
        <w:rPr>
          <w:spacing w:val="-105"/>
        </w:rPr>
        <w:t> </w:t>
      </w:r>
      <w:r>
        <w:rPr>
          <w:spacing w:val="-105"/>
        </w:rPr>
      </w:r>
      <w:r>
        <w:rPr/>
        <w:t>方式逐步融入到普通人的生活、日常政务行政管理中，实现普及应用。</w:t>
      </w:r>
    </w:p>
    <w:p>
      <w:pPr>
        <w:spacing w:line="240" w:lineRule="auto" w:before="11"/>
        <w:rPr>
          <w:rFonts w:ascii="宋体" w:hAnsi="宋体" w:cs="宋体" w:eastAsia="宋体" w:hint="default"/>
          <w:sz w:val="19"/>
          <w:szCs w:val="19"/>
        </w:rPr>
      </w:pPr>
    </w:p>
    <w:p>
      <w:pPr>
        <w:pStyle w:val="Heading4"/>
        <w:spacing w:line="240" w:lineRule="auto"/>
        <w:ind w:right="109"/>
        <w:jc w:val="left"/>
        <w:rPr>
          <w:b w:val="0"/>
          <w:bCs w:val="0"/>
        </w:rPr>
      </w:pPr>
      <w:r>
        <w:rPr/>
        <w:t>（</w:t>
      </w:r>
      <w:r>
        <w:rPr>
          <w:rFonts w:ascii="Times New Roman" w:hAnsi="Times New Roman" w:cs="Times New Roman" w:eastAsia="Times New Roman" w:hint="default"/>
        </w:rPr>
        <w:t>5</w:t>
      </w:r>
      <w:r>
        <w:rPr/>
        <w:t>）国家政策将全面支持该产业发展</w:t>
      </w:r>
      <w:r>
        <w:rPr>
          <w:b w:val="0"/>
          <w:bCs w:val="0"/>
        </w:rPr>
      </w:r>
    </w:p>
    <w:p>
      <w:pPr>
        <w:spacing w:line="240" w:lineRule="auto" w:before="3"/>
        <w:rPr>
          <w:rFonts w:ascii="宋体" w:hAnsi="宋体" w:cs="宋体" w:eastAsia="宋体" w:hint="default"/>
          <w:b/>
          <w:bCs/>
          <w:sz w:val="27"/>
          <w:szCs w:val="27"/>
        </w:rPr>
      </w:pPr>
    </w:p>
    <w:p>
      <w:pPr>
        <w:pStyle w:val="BodyText"/>
        <w:spacing w:line="357" w:lineRule="auto"/>
        <w:ind w:left="137" w:right="103" w:firstLine="480"/>
        <w:jc w:val="left"/>
      </w:pPr>
      <w:r>
        <w:rPr>
          <w:spacing w:val="-6"/>
        </w:rPr>
        <w:t>为了推进地理信息产业的发展，国家有关部门已经陆续出台相关的产业支持政策，后期，</w:t>
      </w:r>
      <w:r>
        <w:rPr/>
        <w:t> </w:t>
      </w:r>
      <w:r>
        <w:rPr>
          <w:spacing w:val="-3"/>
        </w:rPr>
        <w:t>国家将加快修订《测绘法》，进一步完善地理信息使用许可政策，根据产业发展要求，适时</w:t>
      </w:r>
      <w:r>
        <w:rPr>
          <w:spacing w:val="-108"/>
        </w:rPr>
        <w:t> </w:t>
      </w:r>
      <w:r>
        <w:rPr>
          <w:spacing w:val="-108"/>
        </w:rPr>
      </w:r>
      <w:r>
        <w:rPr>
          <w:spacing w:val="-3"/>
        </w:rPr>
        <w:t>调整地理信息市场准入政策和退出机制，在财税、融资、市场开拓、技术创新等方面出台更</w:t>
      </w:r>
      <w:r>
        <w:rPr>
          <w:spacing w:val="-105"/>
        </w:rPr>
        <w:t> </w:t>
      </w:r>
      <w:r>
        <w:rPr>
          <w:spacing w:val="-105"/>
        </w:rPr>
      </w:r>
      <w:r>
        <w:rPr/>
        <w:t>多的支持政策，推进产业的市场化进程、提升我国地理信息产业的国际竞争力。</w:t>
      </w:r>
    </w:p>
    <w:p>
      <w:pPr>
        <w:spacing w:line="240" w:lineRule="auto" w:before="11"/>
        <w:rPr>
          <w:rFonts w:ascii="宋体" w:hAnsi="宋体" w:cs="宋体" w:eastAsia="宋体" w:hint="default"/>
          <w:sz w:val="19"/>
          <w:szCs w:val="19"/>
        </w:rPr>
      </w:pPr>
    </w:p>
    <w:p>
      <w:pPr>
        <w:pStyle w:val="Heading4"/>
        <w:spacing w:line="240" w:lineRule="auto"/>
        <w:ind w:right="109"/>
        <w:jc w:val="left"/>
        <w:rPr>
          <w:b w:val="0"/>
          <w:bCs w:val="0"/>
        </w:rPr>
      </w:pPr>
      <w:bookmarkStart w:name="_bookmark24" w:id="25"/>
      <w:bookmarkEnd w:id="25"/>
      <w:r>
        <w:rPr>
          <w:b w:val="0"/>
          <w:bCs w:val="0"/>
        </w:rPr>
      </w:r>
      <w:r>
        <w:rPr>
          <w:rFonts w:ascii="Times New Roman" w:hAnsi="Times New Roman" w:cs="Times New Roman" w:eastAsia="Times New Roman" w:hint="default"/>
        </w:rPr>
        <w:t>2</w:t>
      </w:r>
      <w:r>
        <w:rPr/>
        <w:t>、公司面临的机遇和挑战</w:t>
      </w:r>
      <w:r>
        <w:rPr>
          <w:b w:val="0"/>
          <w:bCs w:val="0"/>
        </w:rPr>
      </w:r>
    </w:p>
    <w:p>
      <w:pPr>
        <w:spacing w:line="240" w:lineRule="auto" w:before="6"/>
        <w:rPr>
          <w:rFonts w:ascii="宋体" w:hAnsi="宋体" w:cs="宋体" w:eastAsia="宋体" w:hint="default"/>
          <w:b/>
          <w:bCs/>
          <w:sz w:val="27"/>
          <w:szCs w:val="27"/>
        </w:rPr>
      </w:pPr>
    </w:p>
    <w:p>
      <w:pPr>
        <w:pStyle w:val="BodyText"/>
        <w:spacing w:line="357" w:lineRule="auto"/>
        <w:ind w:left="137" w:right="109" w:firstLine="480"/>
        <w:jc w:val="left"/>
      </w:pPr>
      <w:r>
        <w:rPr/>
        <w:t>我国“十一五”、“十二五”两个规划纲要对发展地理信息产业发展做出了明确部署， 智慧城市建设、城镇化建设、生态文明建设和现代农业等战略部署，要求能够提供更灵活、 </w:t>
      </w:r>
      <w:r>
        <w:rPr>
          <w:spacing w:val="-6"/>
        </w:rPr>
        <w:t>更全面、更及时、更有效的地理信息服务。未来，地理信息在公众日常工作学习、交通出行、</w:t>
      </w:r>
      <w:r>
        <w:rPr>
          <w:spacing w:val="-102"/>
        </w:rPr>
        <w:t> </w:t>
      </w:r>
      <w:r>
        <w:rPr>
          <w:spacing w:val="-102"/>
        </w:rPr>
      </w:r>
      <w:r>
        <w:rPr>
          <w:spacing w:val="-3"/>
        </w:rPr>
        <w:t>休闲娱乐等领域的应用需求将不断增长。新一代互联网、移动互联网、云计算等新技术的发</w:t>
      </w:r>
      <w:r>
        <w:rPr>
          <w:spacing w:val="-102"/>
        </w:rPr>
        <w:t> </w:t>
      </w:r>
      <w:r>
        <w:rPr>
          <w:spacing w:val="-102"/>
        </w:rPr>
      </w:r>
      <w:r>
        <w:rPr>
          <w:spacing w:val="-3"/>
        </w:rPr>
        <w:t>展，及其与地理信息技术的不断融合，推动互联网地理信息服务、手机地图服务、车载导航</w:t>
      </w:r>
      <w:r>
        <w:rPr>
          <w:spacing w:val="-107"/>
        </w:rPr>
        <w:t> </w:t>
      </w:r>
      <w:r>
        <w:rPr>
          <w:spacing w:val="-107"/>
        </w:rPr>
      </w:r>
      <w:r>
        <w:rPr/>
        <w:t>以及基于位置服务快速发展，为地理信息产业发展开辟了巨大的市场空间。</w:t>
      </w:r>
    </w:p>
    <w:p>
      <w:pPr>
        <w:pStyle w:val="BodyText"/>
        <w:spacing w:line="350" w:lineRule="auto" w:before="36"/>
        <w:ind w:left="137" w:right="109" w:firstLine="480"/>
        <w:jc w:val="left"/>
      </w:pPr>
      <w:r>
        <w:rPr>
          <w:spacing w:val="-3"/>
        </w:rPr>
        <w:t>与此同时，我国地理信息产业发展也面临一些挑战。目前，我国导航定位及位置服务绝</w:t>
      </w:r>
      <w:r>
        <w:rPr/>
        <w:t> 大部分依赖美国定位系统，</w:t>
      </w:r>
      <w:r>
        <w:rPr>
          <w:rFonts w:ascii="Times New Roman" w:hAnsi="Times New Roman" w:cs="Times New Roman" w:eastAsia="Times New Roman" w:hint="default"/>
        </w:rPr>
        <w:t>90%</w:t>
      </w:r>
      <w:r>
        <w:rPr/>
        <w:t>以上的高分辨率卫星遥感数据来自国外，</w:t>
      </w:r>
      <w:r>
        <w:rPr>
          <w:rFonts w:ascii="Times New Roman" w:hAnsi="Times New Roman" w:cs="Times New Roman" w:eastAsia="Times New Roman" w:hint="default"/>
        </w:rPr>
        <w:t>95%</w:t>
      </w:r>
      <w:r>
        <w:rPr/>
        <w:t>以上的地理信 息高端技术装备市场被发达国家占领，</w:t>
      </w:r>
      <w:r>
        <w:rPr>
          <w:rFonts w:ascii="Times New Roman" w:hAnsi="Times New Roman" w:cs="Times New Roman" w:eastAsia="Times New Roman" w:hint="default"/>
        </w:rPr>
        <w:t>50%</w:t>
      </w:r>
      <w:r>
        <w:rPr/>
        <w:t>以上的地理信息高端软件为国外软件。此外，最 </w:t>
      </w:r>
      <w:r>
        <w:rPr>
          <w:spacing w:val="-6"/>
        </w:rPr>
        <w:t>近几年来国际经济环境的持续低迷，越来越多的国际企业将中国市场作为重点市场，从资金、</w:t>
      </w:r>
      <w:r>
        <w:rPr>
          <w:spacing w:val="-100"/>
        </w:rPr>
        <w:t> </w:t>
      </w:r>
      <w:r>
        <w:rPr>
          <w:spacing w:val="-100"/>
        </w:rPr>
      </w:r>
      <w:r>
        <w:rPr>
          <w:spacing w:val="-3"/>
        </w:rPr>
        <w:t>人才、技术等方面全面支持其在中国市场的拓展，加速抢占中国市场，加剧了地理信息产业</w:t>
      </w:r>
      <w:r>
        <w:rPr>
          <w:spacing w:val="-102"/>
        </w:rPr>
        <w:t> </w:t>
      </w:r>
      <w:r>
        <w:rPr>
          <w:spacing w:val="-102"/>
        </w:rPr>
      </w:r>
      <w:r>
        <w:rPr/>
        <w:t>的市场竞争。</w:t>
      </w:r>
    </w:p>
    <w:p>
      <w:pPr>
        <w:spacing w:after="0" w:line="350" w:lineRule="auto"/>
        <w:jc w:val="left"/>
        <w:sectPr>
          <w:pgSz w:w="11910" w:h="16840"/>
          <w:pgMar w:header="884" w:footer="1007" w:top="1140" w:bottom="1200" w:left="1140" w:right="900"/>
        </w:sectPr>
      </w:pPr>
    </w:p>
    <w:p>
      <w:pPr>
        <w:spacing w:line="240" w:lineRule="auto" w:before="8"/>
        <w:rPr>
          <w:rFonts w:ascii="宋体" w:hAnsi="宋体" w:cs="宋体" w:eastAsia="宋体" w:hint="default"/>
          <w:sz w:val="16"/>
          <w:szCs w:val="16"/>
        </w:rPr>
      </w:pPr>
    </w:p>
    <w:p>
      <w:pPr>
        <w:pStyle w:val="Heading4"/>
        <w:spacing w:line="240" w:lineRule="auto" w:before="26"/>
        <w:ind w:right="109"/>
        <w:jc w:val="left"/>
        <w:rPr>
          <w:b w:val="0"/>
          <w:bCs w:val="0"/>
        </w:rPr>
      </w:pPr>
      <w:bookmarkStart w:name="_bookmark25" w:id="26"/>
      <w:bookmarkEnd w:id="26"/>
      <w:r>
        <w:rPr>
          <w:b w:val="0"/>
          <w:bCs w:val="0"/>
        </w:rPr>
      </w:r>
      <w:r>
        <w:rPr>
          <w:rFonts w:ascii="Times New Roman" w:hAnsi="Times New Roman" w:cs="Times New Roman" w:eastAsia="Times New Roman" w:hint="default"/>
        </w:rPr>
        <w:t>3</w:t>
      </w:r>
      <w:r>
        <w:rPr/>
        <w:t>、公司未来发展战略规划及</w:t>
      </w:r>
      <w:r>
        <w:rPr>
          <w:spacing w:val="-6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年经营计划</w:t>
      </w:r>
      <w:r>
        <w:rPr>
          <w:b w:val="0"/>
          <w:bCs w:val="0"/>
        </w:rPr>
      </w:r>
    </w:p>
    <w:p>
      <w:pPr>
        <w:spacing w:line="240" w:lineRule="auto" w:before="7"/>
        <w:rPr>
          <w:rFonts w:ascii="宋体" w:hAnsi="宋体" w:cs="宋体" w:eastAsia="宋体" w:hint="default"/>
          <w:b/>
          <w:bCs/>
          <w:sz w:val="21"/>
          <w:szCs w:val="21"/>
        </w:rPr>
      </w:pPr>
    </w:p>
    <w:p>
      <w:pPr>
        <w:spacing w:before="0"/>
        <w:ind w:left="137" w:right="10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）战略规划</w:t>
      </w:r>
      <w:r>
        <w:rPr>
          <w:rFonts w:ascii="宋体" w:hAnsi="宋体" w:cs="宋体" w:eastAsia="宋体" w:hint="default"/>
          <w:sz w:val="24"/>
          <w:szCs w:val="24"/>
        </w:rPr>
      </w:r>
    </w:p>
    <w:p>
      <w:pPr>
        <w:spacing w:line="240" w:lineRule="auto" w:before="3"/>
        <w:rPr>
          <w:rFonts w:ascii="宋体" w:hAnsi="宋体" w:cs="宋体" w:eastAsia="宋体" w:hint="default"/>
          <w:b/>
          <w:bCs/>
          <w:sz w:val="27"/>
          <w:szCs w:val="27"/>
        </w:rPr>
      </w:pPr>
    </w:p>
    <w:p>
      <w:pPr>
        <w:pStyle w:val="BodyText"/>
        <w:spacing w:line="240" w:lineRule="auto"/>
        <w:ind w:left="617" w:right="0"/>
        <w:jc w:val="left"/>
      </w:pPr>
      <w:r>
        <w:rPr>
          <w:spacing w:val="-6"/>
        </w:rPr>
        <w:t>公司中长期战略目标为：锤炼完美软件，创新云端服务；领先中国市场，铸造国际品牌。</w:t>
      </w:r>
    </w:p>
    <w:p>
      <w:pPr>
        <w:spacing w:line="240" w:lineRule="auto" w:before="11"/>
        <w:rPr>
          <w:rFonts w:ascii="宋体" w:hAnsi="宋体" w:cs="宋体" w:eastAsia="宋体" w:hint="default"/>
          <w:sz w:val="28"/>
          <w:szCs w:val="28"/>
        </w:rPr>
      </w:pPr>
    </w:p>
    <w:p>
      <w:pPr>
        <w:pStyle w:val="Heading4"/>
        <w:spacing w:line="240" w:lineRule="auto"/>
        <w:ind w:right="109"/>
        <w:jc w:val="left"/>
        <w:rPr>
          <w:b w:val="0"/>
          <w:bCs w:val="0"/>
        </w:rPr>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2013</w:t>
      </w:r>
      <w:r>
        <w:rPr>
          <w:rFonts w:ascii="Times New Roman" w:hAnsi="Times New Roman" w:cs="Times New Roman" w:eastAsia="Times New Roman" w:hint="default"/>
          <w:spacing w:val="-5"/>
        </w:rPr>
        <w:t> </w:t>
      </w:r>
      <w:r>
        <w:rPr/>
        <w:t>年及未来三年的具体业务计划</w:t>
      </w:r>
      <w:r>
        <w:rPr>
          <w:b w:val="0"/>
          <w:bCs w:val="0"/>
        </w:rPr>
      </w:r>
    </w:p>
    <w:p>
      <w:pPr>
        <w:spacing w:line="240" w:lineRule="auto" w:before="6"/>
        <w:rPr>
          <w:rFonts w:ascii="宋体" w:hAnsi="宋体" w:cs="宋体" w:eastAsia="宋体" w:hint="default"/>
          <w:b/>
          <w:bCs/>
          <w:sz w:val="27"/>
          <w:szCs w:val="27"/>
        </w:rPr>
      </w:pPr>
    </w:p>
    <w:p>
      <w:pPr>
        <w:pStyle w:val="BodyText"/>
        <w:spacing w:line="338" w:lineRule="auto"/>
        <w:ind w:left="137" w:right="219" w:firstLine="480"/>
        <w:jc w:val="both"/>
      </w:pPr>
      <w:r>
        <w:rPr>
          <w:rFonts w:ascii="Times New Roman" w:hAnsi="Times New Roman" w:cs="Times New Roman" w:eastAsia="Times New Roman" w:hint="default"/>
          <w:spacing w:val="-4"/>
        </w:rPr>
        <w:t>2013</w:t>
      </w:r>
      <w:r>
        <w:rPr>
          <w:spacing w:val="-4"/>
        </w:rPr>
        <w:t>年，公司将以经济效益为中心，不断提升</w:t>
      </w:r>
      <w:r>
        <w:rPr>
          <w:rFonts w:ascii="Times New Roman" w:hAnsi="Times New Roman" w:cs="Times New Roman" w:eastAsia="Times New Roman" w:hint="default"/>
          <w:spacing w:val="-4"/>
        </w:rPr>
        <w:t>SuperMap</w:t>
      </w:r>
      <w:r>
        <w:rPr>
          <w:rFonts w:ascii="Times New Roman" w:hAnsi="Times New Roman" w:cs="Times New Roman" w:eastAsia="Times New Roman" w:hint="default"/>
          <w:spacing w:val="3"/>
        </w:rPr>
        <w:t> </w:t>
      </w:r>
      <w:r>
        <w:rPr>
          <w:rFonts w:ascii="Times New Roman" w:hAnsi="Times New Roman" w:cs="Times New Roman" w:eastAsia="Times New Roman" w:hint="default"/>
        </w:rPr>
        <w:t>GIS</w:t>
      </w:r>
      <w:r>
        <w:rPr/>
        <w:t>基础平台软件的技术竞争力 和市场占有率，大力推进探索新的业务模式，并基于</w:t>
      </w:r>
      <w:r>
        <w:rPr>
          <w:rFonts w:ascii="Times New Roman" w:hAnsi="Times New Roman" w:cs="Times New Roman" w:eastAsia="Times New Roman" w:hint="default"/>
        </w:rPr>
        <w:t>GIS</w:t>
      </w:r>
      <w:r>
        <w:rPr/>
        <w:t>核心技术深化行业应用平台研制， 开拓新的市场空间，提升公司品牌影响力和国际竞争力。公司的主要业务发展计划如下。</w:t>
      </w:r>
    </w:p>
    <w:p>
      <w:pPr>
        <w:pStyle w:val="Heading4"/>
        <w:tabs>
          <w:tab w:pos="977" w:val="left" w:leader="none"/>
        </w:tabs>
        <w:spacing w:line="240" w:lineRule="auto" w:before="55"/>
        <w:ind w:left="559" w:right="109"/>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产品研发与创新计划</w:t>
      </w:r>
      <w:r>
        <w:rPr>
          <w:b w:val="0"/>
          <w:bCs w:val="0"/>
        </w:rPr>
      </w:r>
    </w:p>
    <w:p>
      <w:pPr>
        <w:pStyle w:val="BodyText"/>
        <w:spacing w:line="240" w:lineRule="auto" w:before="137"/>
        <w:ind w:left="617" w:right="109"/>
        <w:jc w:val="left"/>
      </w:pPr>
      <w:r>
        <w:rPr>
          <w:rFonts w:ascii="Times New Roman" w:hAnsi="Times New Roman" w:cs="Times New Roman" w:eastAsia="Times New Roman" w:hint="default"/>
        </w:rPr>
        <w:t>2013</w:t>
      </w:r>
      <w:r>
        <w:rPr/>
        <w:t>年，公司将重点开展以下产品研发项目：</w:t>
      </w:r>
    </w:p>
    <w:p>
      <w:pPr>
        <w:pStyle w:val="ListParagraph"/>
        <w:numPr>
          <w:ilvl w:val="0"/>
          <w:numId w:val="1"/>
        </w:numPr>
        <w:tabs>
          <w:tab w:pos="1398" w:val="left" w:leader="none"/>
          <w:tab w:pos="3562" w:val="left" w:leader="none"/>
        </w:tabs>
        <w:spacing w:line="338" w:lineRule="auto" w:before="135" w:after="0"/>
        <w:ind w:left="617" w:right="228" w:firstLine="372"/>
        <w:jc w:val="left"/>
        <w:rPr>
          <w:rFonts w:ascii="宋体" w:hAnsi="宋体" w:cs="宋体" w:eastAsia="宋体" w:hint="default"/>
          <w:sz w:val="24"/>
          <w:szCs w:val="24"/>
        </w:rPr>
      </w:pPr>
      <w:r>
        <w:rPr>
          <w:rFonts w:ascii="宋体" w:hAnsi="宋体" w:cs="宋体" w:eastAsia="宋体" w:hint="default"/>
          <w:sz w:val="24"/>
          <w:szCs w:val="24"/>
        </w:rPr>
        <w:t>发布</w:t>
      </w:r>
      <w:r>
        <w:rPr>
          <w:rFonts w:ascii="Times New Roman" w:hAnsi="Times New Roman" w:cs="Times New Roman" w:eastAsia="Times New Roman" w:hint="default"/>
          <w:sz w:val="24"/>
          <w:szCs w:val="24"/>
        </w:rPr>
        <w:t>SuperMap</w:t>
      </w:r>
      <w:r>
        <w:rPr>
          <w:rFonts w:ascii="Times New Roman" w:hAnsi="Times New Roman" w:cs="Times New Roman" w:eastAsia="Times New Roman" w:hint="default"/>
          <w:spacing w:val="-7"/>
          <w:sz w:val="24"/>
          <w:szCs w:val="24"/>
        </w:rPr>
        <w:t> </w:t>
      </w:r>
      <w:r>
        <w:rPr>
          <w:rFonts w:ascii="Times New Roman" w:hAnsi="Times New Roman" w:cs="Times New Roman" w:eastAsia="Times New Roman" w:hint="default"/>
          <w:sz w:val="24"/>
          <w:szCs w:val="24"/>
        </w:rPr>
        <w:t>GIS</w:t>
        <w:tab/>
        <w:t>7C</w:t>
      </w:r>
      <w:r>
        <w:rPr>
          <w:rFonts w:ascii="宋体" w:hAnsi="宋体" w:cs="宋体" w:eastAsia="宋体" w:hint="default"/>
          <w:sz w:val="24"/>
          <w:szCs w:val="24"/>
        </w:rPr>
        <w:t>系列产品 </w:t>
      </w:r>
      <w:r>
        <w:rPr>
          <w:rFonts w:ascii="宋体" w:hAnsi="宋体" w:cs="宋体" w:eastAsia="宋体" w:hint="default"/>
          <w:spacing w:val="-1"/>
          <w:sz w:val="24"/>
          <w:szCs w:val="24"/>
        </w:rPr>
        <w:t>公司预计在</w:t>
      </w:r>
      <w:r>
        <w:rPr>
          <w:rFonts w:ascii="Times New Roman" w:hAnsi="Times New Roman" w:cs="Times New Roman" w:eastAsia="Times New Roman" w:hint="default"/>
          <w:spacing w:val="-1"/>
          <w:sz w:val="24"/>
          <w:szCs w:val="24"/>
        </w:rPr>
        <w:t>2013</w:t>
      </w:r>
      <w:r>
        <w:rPr>
          <w:rFonts w:ascii="宋体" w:hAnsi="宋体" w:cs="宋体" w:eastAsia="宋体" w:hint="default"/>
          <w:spacing w:val="-1"/>
          <w:sz w:val="24"/>
          <w:szCs w:val="24"/>
        </w:rPr>
        <w:t>年</w:t>
      </w:r>
      <w:r>
        <w:rPr>
          <w:rFonts w:ascii="Times New Roman" w:hAnsi="Times New Roman" w:cs="Times New Roman" w:eastAsia="Times New Roman" w:hint="default"/>
          <w:spacing w:val="-1"/>
          <w:sz w:val="24"/>
          <w:szCs w:val="24"/>
        </w:rPr>
        <w:t>9</w:t>
      </w:r>
      <w:r>
        <w:rPr>
          <w:rFonts w:ascii="宋体" w:hAnsi="宋体" w:cs="宋体" w:eastAsia="宋体" w:hint="default"/>
          <w:spacing w:val="-1"/>
          <w:sz w:val="24"/>
          <w:szCs w:val="24"/>
        </w:rPr>
        <w:t>月对外发布</w:t>
      </w:r>
      <w:r>
        <w:rPr>
          <w:rFonts w:ascii="Times New Roman" w:hAnsi="Times New Roman" w:cs="Times New Roman" w:eastAsia="Times New Roman" w:hint="default"/>
          <w:spacing w:val="-1"/>
          <w:sz w:val="24"/>
          <w:szCs w:val="24"/>
        </w:rPr>
        <w:t>7C</w:t>
      </w:r>
      <w:r>
        <w:rPr>
          <w:rFonts w:ascii="宋体" w:hAnsi="宋体" w:cs="宋体" w:eastAsia="宋体" w:hint="default"/>
          <w:spacing w:val="-1"/>
          <w:sz w:val="24"/>
          <w:szCs w:val="24"/>
        </w:rPr>
        <w:t>系列产品——强云富端产品。该系列产品将为用户搭</w:t>
      </w:r>
    </w:p>
    <w:p>
      <w:pPr>
        <w:pStyle w:val="BodyText"/>
        <w:spacing w:line="338" w:lineRule="auto" w:before="27"/>
        <w:ind w:left="137" w:right="309"/>
        <w:jc w:val="left"/>
      </w:pPr>
      <w:r>
        <w:rPr/>
        <w:t>建各类公有云、私有云和地理信息移动互联网应用提供基础开发平台产品。此外，结合</w:t>
      </w:r>
      <w:r>
        <w:rPr>
          <w:rFonts w:ascii="Times New Roman" w:hAnsi="Times New Roman" w:cs="Times New Roman" w:eastAsia="Times New Roman" w:hint="default"/>
        </w:rPr>
        <w:t>7C </w:t>
      </w:r>
      <w:r>
        <w:rPr/>
        <w:t>系列产品，公司将研究各类云</w:t>
      </w:r>
      <w:r>
        <w:rPr>
          <w:rFonts w:ascii="Times New Roman" w:hAnsi="Times New Roman" w:cs="Times New Roman" w:eastAsia="Times New Roman" w:hint="default"/>
        </w:rPr>
        <w:t>GIS</w:t>
      </w:r>
      <w:r>
        <w:rPr/>
        <w:t>整体解决方案，提高云</w:t>
      </w:r>
      <w:r>
        <w:rPr>
          <w:rFonts w:ascii="Times New Roman" w:hAnsi="Times New Roman" w:cs="Times New Roman" w:eastAsia="Times New Roman" w:hint="default"/>
        </w:rPr>
        <w:t>GIS</w:t>
      </w:r>
      <w:r>
        <w:rPr/>
        <w:t>技术的普及和应用。</w:t>
      </w:r>
    </w:p>
    <w:p>
      <w:pPr>
        <w:pStyle w:val="BodyText"/>
        <w:tabs>
          <w:tab w:pos="1397" w:val="left" w:leader="none"/>
        </w:tabs>
        <w:spacing w:line="338" w:lineRule="auto" w:before="27"/>
        <w:ind w:left="617" w:right="230" w:firstLine="371"/>
        <w:jc w:val="left"/>
      </w:pPr>
      <w:r>
        <w:rPr>
          <w:rFonts w:ascii="Wingdings" w:hAnsi="Wingdings" w:cs="Wingdings" w:eastAsia="Wingdings" w:hint="default"/>
        </w:rPr>
        <w:t></w:t>
      </w:r>
      <w:r>
        <w:rPr>
          <w:rFonts w:ascii="Times New Roman" w:hAnsi="Times New Roman" w:cs="Times New Roman" w:eastAsia="Times New Roman" w:hint="default"/>
        </w:rPr>
        <w:tab/>
      </w:r>
      <w:r>
        <w:rPr/>
        <w:t>加强二三维</w:t>
      </w:r>
      <w:r>
        <w:rPr>
          <w:rFonts w:ascii="Times New Roman" w:hAnsi="Times New Roman" w:cs="Times New Roman" w:eastAsia="Times New Roman" w:hint="default"/>
        </w:rPr>
        <w:t>GIS</w:t>
      </w:r>
      <w:r>
        <w:rPr/>
        <w:t>行业应用研发 </w:t>
      </w:r>
      <w:r>
        <w:rPr>
          <w:spacing w:val="-1"/>
        </w:rPr>
        <w:t>二三维</w:t>
      </w:r>
      <w:r>
        <w:rPr>
          <w:rFonts w:ascii="Times New Roman" w:hAnsi="Times New Roman" w:cs="Times New Roman" w:eastAsia="Times New Roman" w:hint="default"/>
          <w:spacing w:val="-1"/>
        </w:rPr>
        <w:t>GIS</w:t>
      </w:r>
      <w:r>
        <w:rPr>
          <w:spacing w:val="-1"/>
        </w:rPr>
        <w:t>技术是地理信息技术领域的创新技术，其应用和普及将全面变革现有传统二</w:t>
      </w:r>
    </w:p>
    <w:p>
      <w:pPr>
        <w:pStyle w:val="BodyText"/>
        <w:spacing w:line="338" w:lineRule="auto" w:before="27"/>
        <w:ind w:left="137" w:right="109"/>
        <w:jc w:val="left"/>
      </w:pPr>
      <w:r>
        <w:rPr>
          <w:spacing w:val="-2"/>
        </w:rPr>
        <w:t>维</w:t>
      </w:r>
      <w:r>
        <w:rPr>
          <w:rFonts w:ascii="Times New Roman" w:hAnsi="Times New Roman" w:cs="Times New Roman" w:eastAsia="Times New Roman" w:hint="default"/>
          <w:spacing w:val="-2"/>
        </w:rPr>
        <w:t>GIS</w:t>
      </w:r>
      <w:r>
        <w:rPr>
          <w:spacing w:val="-2"/>
        </w:rPr>
        <w:t>应用系统，创造新的市场机遇和应用空间。公司将结合在二三维</w:t>
      </w:r>
      <w:r>
        <w:rPr>
          <w:rFonts w:ascii="Times New Roman" w:hAnsi="Times New Roman" w:cs="Times New Roman" w:eastAsia="Times New Roman" w:hint="default"/>
          <w:spacing w:val="-2"/>
        </w:rPr>
        <w:t>GIS</w:t>
      </w:r>
      <w:r>
        <w:rPr>
          <w:spacing w:val="-2"/>
        </w:rPr>
        <w:t>方面取得的成果，</w:t>
      </w:r>
      <w:r>
        <w:rPr>
          <w:spacing w:val="-80"/>
        </w:rPr>
        <w:t> </w:t>
      </w:r>
      <w:r>
        <w:rPr/>
        <w:t>加快行业应用研究，深化二三维</w:t>
      </w:r>
      <w:r>
        <w:rPr>
          <w:rFonts w:ascii="Times New Roman" w:hAnsi="Times New Roman" w:cs="Times New Roman" w:eastAsia="Times New Roman" w:hint="default"/>
        </w:rPr>
        <w:t>GIS</w:t>
      </w:r>
      <w:r>
        <w:rPr/>
        <w:t>在城市管理、设施管理、房产规划、资源管理等方面的 应用。</w:t>
      </w:r>
    </w:p>
    <w:p>
      <w:pPr>
        <w:pStyle w:val="BodyText"/>
        <w:tabs>
          <w:tab w:pos="1397" w:val="left" w:leader="none"/>
        </w:tabs>
        <w:spacing w:line="338" w:lineRule="auto" w:before="55"/>
        <w:ind w:left="617" w:right="230" w:firstLine="371"/>
        <w:jc w:val="left"/>
      </w:pPr>
      <w:r>
        <w:rPr>
          <w:rFonts w:ascii="Wingdings" w:hAnsi="Wingdings" w:cs="Wingdings" w:eastAsia="Wingdings" w:hint="default"/>
        </w:rPr>
        <w:t></w:t>
      </w:r>
      <w:r>
        <w:rPr>
          <w:rFonts w:ascii="Times New Roman" w:hAnsi="Times New Roman" w:cs="Times New Roman" w:eastAsia="Times New Roman" w:hint="default"/>
        </w:rPr>
        <w:tab/>
      </w:r>
      <w:r>
        <w:rPr/>
        <w:t>加大基于云</w:t>
      </w:r>
      <w:r>
        <w:rPr>
          <w:rFonts w:ascii="Times New Roman" w:hAnsi="Times New Roman" w:cs="Times New Roman" w:eastAsia="Times New Roman" w:hint="default"/>
        </w:rPr>
        <w:t>GIS</w:t>
      </w:r>
      <w:r>
        <w:rPr/>
        <w:t>公共平台的互联网地理信息服务产品研制，推进移动</w:t>
      </w:r>
      <w:r>
        <w:rPr>
          <w:rFonts w:ascii="Times New Roman" w:hAnsi="Times New Roman" w:cs="Times New Roman" w:eastAsia="Times New Roman" w:hint="default"/>
        </w:rPr>
        <w:t>GIS</w:t>
      </w:r>
      <w:r>
        <w:rPr/>
        <w:t>应用 </w:t>
      </w:r>
      <w:r>
        <w:rPr>
          <w:spacing w:val="-3"/>
        </w:rPr>
        <w:t>公司将继续完善基于超图云服务的“企业位置服务平台”，并探索将更多商业地理信息</w:t>
      </w:r>
    </w:p>
    <w:p>
      <w:pPr>
        <w:pStyle w:val="BodyText"/>
        <w:spacing w:line="350" w:lineRule="auto" w:before="56"/>
        <w:ind w:left="137" w:right="109"/>
        <w:jc w:val="left"/>
      </w:pPr>
      <w:r>
        <w:rPr>
          <w:spacing w:val="-3"/>
        </w:rPr>
        <w:t>应用模式从线下搬到线上，全面启动面向中小企业客户的地理信息服务产品的推广。在完善</w:t>
      </w:r>
      <w:r>
        <w:rPr>
          <w:spacing w:val="-106"/>
        </w:rPr>
        <w:t> </w:t>
      </w:r>
      <w:r>
        <w:rPr>
          <w:spacing w:val="-106"/>
        </w:rPr>
      </w:r>
      <w:r>
        <w:rPr>
          <w:spacing w:val="-6"/>
        </w:rPr>
        <w:t>“地图汇”现有已经实现交互式制图基础上，进一步开发地理商业智能空间分析方面的功能，</w:t>
      </w:r>
      <w:r>
        <w:rPr>
          <w:spacing w:val="-101"/>
        </w:rPr>
        <w:t> </w:t>
      </w:r>
      <w:r>
        <w:rPr>
          <w:spacing w:val="-101"/>
        </w:rPr>
      </w:r>
      <w:r>
        <w:rPr/>
        <w:t>进一步探索商业模式，积极进行市场推广。在全面推进移动</w:t>
      </w:r>
      <w:r>
        <w:rPr>
          <w:rFonts w:ascii="Times New Roman" w:hAnsi="Times New Roman" w:cs="Times New Roman" w:eastAsia="Times New Roman" w:hint="default"/>
        </w:rPr>
        <w:t>GIS</w:t>
      </w:r>
      <w:r>
        <w:rPr/>
        <w:t>在各个行业的应用基础上， 完善相关应用产品，并基于超图云服务开拓“云</w:t>
      </w:r>
      <w:r>
        <w:rPr>
          <w:rFonts w:ascii="Times New Roman" w:hAnsi="Times New Roman" w:cs="Times New Roman" w:eastAsia="Times New Roman" w:hint="default"/>
        </w:rPr>
        <w:t>+</w:t>
      </w:r>
      <w:r>
        <w:rPr/>
        <w:t>端”的应用模式。</w:t>
      </w:r>
    </w:p>
    <w:p>
      <w:pPr>
        <w:pStyle w:val="BodyText"/>
        <w:tabs>
          <w:tab w:pos="1397" w:val="left" w:leader="none"/>
        </w:tabs>
        <w:spacing w:line="240" w:lineRule="auto" w:before="13"/>
        <w:ind w:left="989" w:right="109"/>
        <w:jc w:val="left"/>
      </w:pPr>
      <w:r>
        <w:rPr>
          <w:rFonts w:ascii="Wingdings" w:hAnsi="Wingdings" w:cs="Wingdings" w:eastAsia="Wingdings" w:hint="default"/>
        </w:rPr>
        <w:t></w:t>
      </w:r>
      <w:r>
        <w:rPr>
          <w:rFonts w:ascii="Times New Roman" w:hAnsi="Times New Roman" w:cs="Times New Roman" w:eastAsia="Times New Roman" w:hint="default"/>
        </w:rPr>
        <w:tab/>
      </w:r>
      <w:r>
        <w:rPr/>
        <w:t>其他技术工作</w:t>
      </w:r>
    </w:p>
    <w:p>
      <w:pPr>
        <w:pStyle w:val="BodyText"/>
        <w:spacing w:line="338" w:lineRule="auto" w:before="137"/>
        <w:ind w:left="137" w:right="109" w:firstLine="480"/>
        <w:jc w:val="left"/>
      </w:pPr>
      <w:r>
        <w:rPr>
          <w:rFonts w:ascii="Times New Roman" w:hAnsi="Times New Roman" w:cs="Times New Roman" w:eastAsia="Times New Roman" w:hint="default"/>
          <w:spacing w:val="-3"/>
        </w:rPr>
        <w:t>2013</w:t>
      </w:r>
      <w:r>
        <w:rPr>
          <w:spacing w:val="-3"/>
        </w:rPr>
        <w:t>年度，公司将加强专利等相关知识产权工作，并依托企业技术中心、工程技术中心</w:t>
      </w:r>
      <w:r>
        <w:rPr/>
        <w:t> 等资源，加强与科研院所和其他企业的合作。</w:t>
      </w:r>
    </w:p>
    <w:p>
      <w:pPr>
        <w:pStyle w:val="Heading4"/>
        <w:tabs>
          <w:tab w:pos="977" w:val="left" w:leader="none"/>
        </w:tabs>
        <w:spacing w:line="240" w:lineRule="auto" w:before="56"/>
        <w:ind w:left="559" w:right="109"/>
        <w:jc w:val="left"/>
        <w:rPr>
          <w:b w:val="0"/>
          <w:bCs w:val="0"/>
        </w:rPr>
      </w:pPr>
      <w:r>
        <w:rPr>
          <w:rFonts w:ascii="Wingdings" w:hAnsi="Wingdings" w:cs="Wingdings" w:eastAsia="Wingdings" w:hint="default"/>
          <w:b w:val="0"/>
          <w:bCs w:val="0"/>
        </w:rPr>
        <w:t></w:t>
      </w:r>
      <w:r>
        <w:rPr>
          <w:rFonts w:ascii="Times New Roman" w:hAnsi="Times New Roman" w:cs="Times New Roman" w:eastAsia="Times New Roman" w:hint="default"/>
          <w:b w:val="0"/>
          <w:bCs w:val="0"/>
        </w:rPr>
        <w:tab/>
      </w:r>
      <w:r>
        <w:rPr/>
        <w:t>客户与市场开发计划</w:t>
      </w:r>
      <w:r>
        <w:rPr>
          <w:b w:val="0"/>
          <w:bCs w:val="0"/>
        </w:rPr>
      </w:r>
    </w:p>
    <w:p>
      <w:pPr>
        <w:spacing w:after="0" w:line="240" w:lineRule="auto"/>
        <w:jc w:val="left"/>
        <w:sectPr>
          <w:pgSz w:w="11910" w:h="16840"/>
          <w:pgMar w:header="884" w:footer="1007" w:top="1140" w:bottom="1200" w:left="1140" w:right="900"/>
        </w:sectPr>
      </w:pPr>
    </w:p>
    <w:p>
      <w:pPr>
        <w:spacing w:line="240" w:lineRule="auto" w:before="6"/>
        <w:rPr>
          <w:rFonts w:ascii="宋体" w:hAnsi="宋体" w:cs="宋体" w:eastAsia="宋体" w:hint="default"/>
          <w:b/>
          <w:bCs/>
          <w:sz w:val="22"/>
          <w:szCs w:val="22"/>
        </w:rPr>
      </w:pPr>
    </w:p>
    <w:p>
      <w:pPr>
        <w:pStyle w:val="BodyText"/>
        <w:spacing w:line="357" w:lineRule="auto" w:before="26"/>
        <w:ind w:left="137" w:right="103" w:firstLine="480"/>
        <w:jc w:val="left"/>
      </w:pPr>
      <w:r>
        <w:rPr>
          <w:spacing w:val="-3"/>
        </w:rPr>
        <w:t>为适应日趋激烈的市场竞争，公司将进一步完善矩阵营销体系，健全科学、合理的业务</w:t>
      </w:r>
      <w:r>
        <w:rPr/>
        <w:t> </w:t>
      </w:r>
      <w:r>
        <w:rPr>
          <w:spacing w:val="-6"/>
        </w:rPr>
        <w:t>协作机制、市场营销服务体系和考核机制、制定合理的市场拓展计划，加强新技术推广力度，</w:t>
      </w:r>
      <w:r>
        <w:rPr>
          <w:spacing w:val="-98"/>
        </w:rPr>
        <w:t> </w:t>
      </w:r>
      <w:r>
        <w:rPr>
          <w:spacing w:val="-98"/>
        </w:rPr>
      </w:r>
      <w:r>
        <w:rPr/>
        <w:t>促进业绩增长。具体包括以下几个方面：</w:t>
      </w:r>
    </w:p>
    <w:p>
      <w:pPr>
        <w:pStyle w:val="BodyText"/>
        <w:tabs>
          <w:tab w:pos="1397" w:val="left" w:leader="none"/>
        </w:tabs>
        <w:spacing w:line="240" w:lineRule="auto" w:before="36"/>
        <w:ind w:left="989" w:right="109"/>
        <w:jc w:val="left"/>
      </w:pPr>
      <w:r>
        <w:rPr>
          <w:rFonts w:ascii="Wingdings" w:hAnsi="Wingdings" w:cs="Wingdings" w:eastAsia="Wingdings" w:hint="default"/>
        </w:rPr>
        <w:t></w:t>
      </w:r>
      <w:r>
        <w:rPr>
          <w:rFonts w:ascii="Times New Roman" w:hAnsi="Times New Roman" w:cs="Times New Roman" w:eastAsia="Times New Roman" w:hint="default"/>
        </w:rPr>
        <w:tab/>
      </w:r>
      <w:r>
        <w:rPr/>
        <w:t>全面推进三维</w:t>
      </w:r>
      <w:r>
        <w:rPr>
          <w:rFonts w:ascii="Times New Roman" w:hAnsi="Times New Roman" w:cs="Times New Roman" w:eastAsia="Times New Roman" w:hint="default"/>
        </w:rPr>
        <w:t>GIS</w:t>
      </w:r>
      <w:r>
        <w:rPr/>
        <w:t>产品销售</w:t>
      </w:r>
    </w:p>
    <w:p>
      <w:pPr>
        <w:pStyle w:val="BodyText"/>
        <w:spacing w:line="338" w:lineRule="auto" w:before="135"/>
        <w:ind w:left="137" w:right="109" w:firstLine="480"/>
        <w:jc w:val="left"/>
      </w:pPr>
      <w:r>
        <w:rPr>
          <w:rFonts w:ascii="Times New Roman" w:hAnsi="Times New Roman" w:cs="Times New Roman" w:eastAsia="Times New Roman" w:hint="default"/>
          <w:spacing w:val="-4"/>
        </w:rPr>
        <w:t>2013</w:t>
      </w:r>
      <w:r>
        <w:rPr>
          <w:spacing w:val="-4"/>
        </w:rPr>
        <w:t>年，公司将设立三维事业部，大力促进三维产品研制和各类三维</w:t>
      </w:r>
      <w:r>
        <w:rPr>
          <w:rFonts w:ascii="Times New Roman" w:hAnsi="Times New Roman" w:cs="Times New Roman" w:eastAsia="Times New Roman" w:hint="default"/>
          <w:spacing w:val="-4"/>
        </w:rPr>
        <w:t>GIS</w:t>
      </w:r>
      <w:r>
        <w:rPr>
          <w:spacing w:val="-4"/>
        </w:rPr>
        <w:t>应用工程服务，</w:t>
      </w:r>
      <w:r>
        <w:rPr/>
        <w:t> 促进公司二三维</w:t>
      </w:r>
      <w:r>
        <w:rPr>
          <w:rFonts w:ascii="Times New Roman" w:hAnsi="Times New Roman" w:cs="Times New Roman" w:eastAsia="Times New Roman" w:hint="default"/>
        </w:rPr>
        <w:t>GIS</w:t>
      </w:r>
      <w:r>
        <w:rPr/>
        <w:t>技术和产品的市场推广。</w:t>
      </w:r>
    </w:p>
    <w:p>
      <w:pPr>
        <w:pStyle w:val="BodyText"/>
        <w:tabs>
          <w:tab w:pos="1397" w:val="left" w:leader="none"/>
        </w:tabs>
        <w:spacing w:line="240" w:lineRule="auto" w:before="27"/>
        <w:ind w:left="989" w:right="109"/>
        <w:jc w:val="left"/>
      </w:pPr>
      <w:r>
        <w:rPr>
          <w:rFonts w:ascii="Wingdings" w:hAnsi="Wingdings" w:cs="Wingdings" w:eastAsia="Wingdings" w:hint="default"/>
        </w:rPr>
        <w:t></w:t>
      </w:r>
      <w:r>
        <w:rPr>
          <w:rFonts w:ascii="Times New Roman" w:hAnsi="Times New Roman" w:cs="Times New Roman" w:eastAsia="Times New Roman" w:hint="default"/>
        </w:rPr>
        <w:tab/>
      </w:r>
      <w:r>
        <w:rPr/>
        <w:t>加强行业应用软件营销能力建设</w:t>
      </w:r>
    </w:p>
    <w:p>
      <w:pPr>
        <w:pStyle w:val="BodyText"/>
        <w:spacing w:line="348" w:lineRule="auto" w:before="137"/>
        <w:ind w:left="137" w:right="109" w:firstLine="480"/>
        <w:jc w:val="left"/>
      </w:pPr>
      <w:r>
        <w:rPr>
          <w:rFonts w:ascii="Times New Roman" w:hAnsi="Times New Roman" w:cs="Times New Roman" w:eastAsia="Times New Roman" w:hint="default"/>
        </w:rPr>
        <w:t>2013</w:t>
      </w:r>
      <w:r>
        <w:rPr/>
        <w:t>年公司将加强行业应用平台软件的营销能力建设，以事业部为解决方案输出部门， </w:t>
      </w:r>
      <w:r>
        <w:rPr>
          <w:spacing w:val="-3"/>
        </w:rPr>
        <w:t>各区域营销服务团队与事业部形成紧密合作，提高销售资源效率，加强与区域增值开发商和</w:t>
      </w:r>
      <w:r>
        <w:rPr>
          <w:spacing w:val="-106"/>
        </w:rPr>
        <w:t> </w:t>
      </w:r>
      <w:r>
        <w:rPr>
          <w:spacing w:val="-106"/>
        </w:rPr>
      </w:r>
      <w:r>
        <w:rPr/>
        <w:t>合作伙伴合作，促进行业应用产品的销售。</w:t>
      </w:r>
    </w:p>
    <w:p>
      <w:pPr>
        <w:pStyle w:val="BodyText"/>
        <w:tabs>
          <w:tab w:pos="1397" w:val="left" w:leader="none"/>
        </w:tabs>
        <w:spacing w:line="338" w:lineRule="auto" w:before="46"/>
        <w:ind w:left="617" w:right="111" w:firstLine="371"/>
        <w:jc w:val="left"/>
      </w:pPr>
      <w:r>
        <w:rPr>
          <w:rFonts w:ascii="Wingdings" w:hAnsi="Wingdings" w:cs="Wingdings" w:eastAsia="Wingdings" w:hint="default"/>
        </w:rPr>
        <w:t></w:t>
      </w:r>
      <w:r>
        <w:rPr>
          <w:rFonts w:ascii="Times New Roman" w:hAnsi="Times New Roman" w:cs="Times New Roman" w:eastAsia="Times New Roman" w:hint="default"/>
        </w:rPr>
        <w:tab/>
      </w:r>
      <w:r>
        <w:rPr/>
        <w:t>完善矩阵营销体系和协作机制，加强区域技术服务能力建设 </w:t>
      </w:r>
      <w:r>
        <w:rPr>
          <w:spacing w:val="-6"/>
        </w:rPr>
        <w:t>公司将进一步完善业务协作机制，提高矩阵营销管理效益，促进业务部门之间销售资源、</w:t>
      </w:r>
    </w:p>
    <w:p>
      <w:pPr>
        <w:pStyle w:val="BodyText"/>
        <w:spacing w:line="338" w:lineRule="auto" w:before="55"/>
        <w:ind w:left="137" w:right="229"/>
        <w:jc w:val="both"/>
      </w:pPr>
      <w:r>
        <w:rPr/>
        <w:t>技术资源共享。此外，公司将以北京、成都和西安建成的</w:t>
      </w:r>
      <w:r>
        <w:rPr>
          <w:rFonts w:ascii="Times New Roman" w:hAnsi="Times New Roman" w:cs="Times New Roman" w:eastAsia="Times New Roman" w:hint="default"/>
        </w:rPr>
        <w:t>3</w:t>
      </w:r>
      <w:r>
        <w:rPr/>
        <w:t>个技术中心为核心，并以现有分</w:t>
      </w:r>
      <w:r>
        <w:rPr>
          <w:spacing w:val="-107"/>
        </w:rPr>
        <w:t> </w:t>
      </w:r>
      <w:r>
        <w:rPr>
          <w:spacing w:val="-107"/>
        </w:rPr>
      </w:r>
      <w:r>
        <w:rPr/>
        <w:t>支机构为基础，加强区域技术力量建设，提高本地化服务能力。</w:t>
      </w:r>
    </w:p>
    <w:p>
      <w:pPr>
        <w:pStyle w:val="BodyText"/>
        <w:tabs>
          <w:tab w:pos="1397" w:val="left" w:leader="none"/>
        </w:tabs>
        <w:spacing w:line="338" w:lineRule="auto" w:before="56"/>
        <w:ind w:left="617" w:right="231" w:firstLine="371"/>
        <w:jc w:val="left"/>
        <w:rPr>
          <w:rFonts w:ascii="Times New Roman" w:hAnsi="Times New Roman" w:cs="Times New Roman" w:eastAsia="Times New Roman" w:hint="default"/>
        </w:rPr>
      </w:pPr>
      <w:r>
        <w:rPr>
          <w:rFonts w:ascii="Wingdings" w:hAnsi="Wingdings" w:cs="Wingdings" w:eastAsia="Wingdings" w:hint="default"/>
        </w:rPr>
        <w:t></w:t>
      </w:r>
      <w:r>
        <w:rPr>
          <w:rFonts w:ascii="Times New Roman" w:hAnsi="Times New Roman" w:cs="Times New Roman" w:eastAsia="Times New Roman" w:hint="default"/>
        </w:rPr>
        <w:tab/>
      </w:r>
      <w:r>
        <w:rPr/>
        <w:t>品牌传播 </w:t>
      </w:r>
      <w:r>
        <w:rPr>
          <w:spacing w:val="-1"/>
        </w:rPr>
        <w:t>市场活动方面，公司将在</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9</w:t>
      </w:r>
      <w:r>
        <w:rPr>
          <w:spacing w:val="-1"/>
        </w:rPr>
        <w:t>月召开年度技术大会，发布并全面展示公司</w:t>
      </w:r>
      <w:r>
        <w:rPr>
          <w:rFonts w:ascii="Times New Roman" w:hAnsi="Times New Roman" w:cs="Times New Roman" w:eastAsia="Times New Roman" w:hint="default"/>
          <w:spacing w:val="-1"/>
        </w:rPr>
        <w:t>SuperMap</w:t>
      </w:r>
    </w:p>
    <w:p>
      <w:pPr>
        <w:pStyle w:val="BodyText"/>
        <w:spacing w:line="338" w:lineRule="auto" w:before="27"/>
        <w:ind w:left="137" w:right="219"/>
        <w:jc w:val="both"/>
      </w:pPr>
      <w:r>
        <w:rPr>
          <w:rFonts w:ascii="Times New Roman" w:hAnsi="Times New Roman" w:cs="Times New Roman" w:eastAsia="Times New Roman" w:hint="default"/>
        </w:rPr>
        <w:t>GIS 7C</w:t>
      </w:r>
      <w:r>
        <w:rPr>
          <w:rFonts w:ascii="Times New Roman" w:hAnsi="Times New Roman" w:cs="Times New Roman" w:eastAsia="Times New Roman" w:hint="default"/>
          <w:spacing w:val="39"/>
        </w:rPr>
        <w:t> </w:t>
      </w:r>
      <w:r>
        <w:rPr/>
        <w:t>系列产品；拟在</w:t>
      </w:r>
      <w:r>
        <w:rPr>
          <w:rFonts w:ascii="Times New Roman" w:hAnsi="Times New Roman" w:cs="Times New Roman" w:eastAsia="Times New Roman" w:hint="default"/>
        </w:rPr>
        <w:t>5</w:t>
      </w:r>
      <w:r>
        <w:rPr/>
        <w:t>个城市举办巡展，增强公司云服务、三维产品以及移动</w:t>
      </w:r>
      <w:r>
        <w:rPr>
          <w:rFonts w:ascii="Times New Roman" w:hAnsi="Times New Roman" w:cs="Times New Roman" w:eastAsia="Times New Roman" w:hint="default"/>
        </w:rPr>
        <w:t>GIS</w:t>
      </w:r>
      <w:r>
        <w:rPr/>
        <w:t>产品</w:t>
      </w:r>
      <w:r>
        <w:rPr>
          <w:spacing w:val="2"/>
        </w:rPr>
        <w:t> </w:t>
      </w:r>
      <w:r>
        <w:rPr>
          <w:spacing w:val="3"/>
        </w:rPr>
        <w:t>及服务的推广和示范案例的展示。同时，公司将继续加大年轻人才的培养，继续举办第</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届“全国大学生</w:t>
      </w:r>
      <w:r>
        <w:rPr>
          <w:rFonts w:ascii="Times New Roman" w:hAnsi="Times New Roman" w:cs="Times New Roman" w:eastAsia="Times New Roman" w:hint="default"/>
        </w:rPr>
        <w:t>GIS</w:t>
      </w:r>
      <w:r>
        <w:rPr/>
        <w:t>开发大赛”，并积极参加国内外相关行业展会和专题会议等市场活动， 进一步提升公司品牌形象以及提高公司品牌知名度和美誉度，增强企业市场竞争力。</w:t>
      </w:r>
    </w:p>
    <w:p>
      <w:pPr>
        <w:tabs>
          <w:tab w:pos="977" w:val="left" w:leader="none"/>
        </w:tabs>
        <w:spacing w:before="55"/>
        <w:ind w:left="559" w:right="109" w:firstLine="0"/>
        <w:jc w:val="left"/>
        <w:rPr>
          <w:rFonts w:ascii="宋体" w:hAnsi="宋体" w:cs="宋体" w:eastAsia="宋体" w:hint="default"/>
          <w:sz w:val="24"/>
          <w:szCs w:val="24"/>
        </w:rPr>
      </w:pPr>
      <w:r>
        <w:rPr>
          <w:rFonts w:ascii="Wingdings" w:hAnsi="Wingdings" w:cs="Wingdings" w:eastAsia="Wingdings" w:hint="default"/>
          <w:sz w:val="24"/>
          <w:szCs w:val="24"/>
        </w:rPr>
        <w:t></w:t>
      </w:r>
      <w:r>
        <w:rPr>
          <w:rFonts w:ascii="Times New Roman" w:hAnsi="Times New Roman" w:cs="Times New Roman" w:eastAsia="Times New Roman" w:hint="default"/>
          <w:sz w:val="24"/>
          <w:szCs w:val="24"/>
        </w:rPr>
        <w:tab/>
      </w:r>
      <w:r>
        <w:rPr>
          <w:rFonts w:ascii="宋体" w:hAnsi="宋体" w:cs="宋体" w:eastAsia="宋体" w:hint="default"/>
          <w:b/>
          <w:bCs/>
          <w:sz w:val="24"/>
          <w:szCs w:val="24"/>
        </w:rPr>
        <w:t>管理计划</w:t>
      </w:r>
      <w:r>
        <w:rPr>
          <w:rFonts w:ascii="宋体" w:hAnsi="宋体" w:cs="宋体" w:eastAsia="宋体" w:hint="default"/>
          <w:sz w:val="24"/>
          <w:szCs w:val="24"/>
        </w:rPr>
      </w:r>
    </w:p>
    <w:p>
      <w:pPr>
        <w:pStyle w:val="BodyText"/>
        <w:tabs>
          <w:tab w:pos="1397" w:val="left" w:leader="none"/>
        </w:tabs>
        <w:spacing w:line="338" w:lineRule="auto" w:before="137"/>
        <w:ind w:left="617" w:right="226" w:firstLine="371"/>
        <w:jc w:val="left"/>
      </w:pPr>
      <w:r>
        <w:rPr>
          <w:rFonts w:ascii="Wingdings" w:hAnsi="Wingdings" w:cs="Wingdings" w:eastAsia="Wingdings" w:hint="default"/>
        </w:rPr>
        <w:t></w:t>
      </w:r>
      <w:r>
        <w:rPr>
          <w:rFonts w:ascii="Times New Roman" w:hAnsi="Times New Roman" w:cs="Times New Roman" w:eastAsia="Times New Roman" w:hint="default"/>
        </w:rPr>
        <w:tab/>
      </w:r>
      <w:r>
        <w:rPr>
          <w:rFonts w:ascii="Times New Roman" w:hAnsi="Times New Roman" w:cs="Times New Roman" w:eastAsia="Times New Roman" w:hint="default"/>
        </w:rPr>
        <w:t>HR</w:t>
      </w:r>
      <w:r>
        <w:rPr/>
        <w:t>增效行动 </w:t>
      </w:r>
      <w:r>
        <w:rPr>
          <w:spacing w:val="-3"/>
        </w:rPr>
        <w:t>继</w:t>
      </w:r>
      <w:r>
        <w:rPr>
          <w:rFonts w:ascii="Times New Roman" w:hAnsi="Times New Roman" w:cs="Times New Roman" w:eastAsia="Times New Roman" w:hint="default"/>
          <w:spacing w:val="-3"/>
        </w:rPr>
        <w:t>2012</w:t>
      </w:r>
      <w:r>
        <w:rPr>
          <w:spacing w:val="-3"/>
        </w:rPr>
        <w:t>年控编增效、计划执行行动后。公司将在</w:t>
      </w:r>
      <w:r>
        <w:rPr>
          <w:rFonts w:ascii="Times New Roman" w:hAnsi="Times New Roman" w:cs="Times New Roman" w:eastAsia="Times New Roman" w:hint="default"/>
          <w:spacing w:val="-3"/>
        </w:rPr>
        <w:t>2013</w:t>
      </w:r>
      <w:r>
        <w:rPr>
          <w:spacing w:val="-3"/>
        </w:rPr>
        <w:t>年继续加强人力资源管理，加强岗</w:t>
      </w:r>
    </w:p>
    <w:p>
      <w:pPr>
        <w:pStyle w:val="BodyText"/>
        <w:spacing w:line="357" w:lineRule="auto" w:before="27"/>
        <w:ind w:left="137" w:right="232"/>
        <w:jc w:val="both"/>
      </w:pPr>
      <w:r>
        <w:rPr>
          <w:spacing w:val="-3"/>
        </w:rPr>
        <w:t>位职能梳理，进一步整合岗位职责，缩减不必要的岗位。此外，公司将继续加强计划执行和</w:t>
      </w:r>
      <w:r>
        <w:rPr>
          <w:spacing w:val="-109"/>
        </w:rPr>
        <w:t> </w:t>
      </w:r>
      <w:r>
        <w:rPr>
          <w:spacing w:val="-109"/>
        </w:rPr>
      </w:r>
      <w:r>
        <w:rPr/>
        <w:t>绩效考核，进一步提升人员工作效率。</w:t>
      </w:r>
    </w:p>
    <w:p>
      <w:pPr>
        <w:pStyle w:val="BodyText"/>
        <w:tabs>
          <w:tab w:pos="1397" w:val="left" w:leader="none"/>
        </w:tabs>
        <w:spacing w:line="338" w:lineRule="auto" w:before="36"/>
        <w:ind w:left="617" w:right="227" w:firstLine="371"/>
        <w:jc w:val="left"/>
      </w:pPr>
      <w:r>
        <w:rPr>
          <w:rFonts w:ascii="Wingdings" w:hAnsi="Wingdings" w:cs="Wingdings" w:eastAsia="Wingdings" w:hint="default"/>
        </w:rPr>
        <w:t></w:t>
      </w:r>
      <w:r>
        <w:rPr>
          <w:rFonts w:ascii="Times New Roman" w:hAnsi="Times New Roman" w:cs="Times New Roman" w:eastAsia="Times New Roman" w:hint="default"/>
        </w:rPr>
        <w:tab/>
      </w:r>
      <w:r>
        <w:rPr/>
        <w:t>加强成本和费用控制 </w:t>
      </w:r>
      <w:r>
        <w:rPr>
          <w:spacing w:val="-3"/>
        </w:rPr>
        <w:t>随着地理信息应用工程服务项目的增加，公司的外包采购、异地实施等情况增加，成本</w:t>
      </w:r>
    </w:p>
    <w:p>
      <w:pPr>
        <w:pStyle w:val="BodyText"/>
        <w:spacing w:line="338" w:lineRule="auto" w:before="55"/>
        <w:ind w:left="137" w:right="109"/>
        <w:jc w:val="left"/>
      </w:pPr>
      <w:r>
        <w:rPr>
          <w:spacing w:val="-3"/>
        </w:rPr>
        <w:t>和费用控制成为了管控重点。</w:t>
      </w:r>
      <w:r>
        <w:rPr>
          <w:rFonts w:ascii="Times New Roman" w:hAnsi="Times New Roman" w:cs="Times New Roman" w:eastAsia="Times New Roman" w:hint="default"/>
          <w:spacing w:val="-3"/>
        </w:rPr>
        <w:t>2013</w:t>
      </w:r>
      <w:r>
        <w:rPr>
          <w:spacing w:val="-3"/>
        </w:rPr>
        <w:t>年度，公司将加强采购预算和管理，加强供应商管理，在</w:t>
      </w:r>
      <w:r>
        <w:rPr>
          <w:spacing w:val="-101"/>
        </w:rPr>
        <w:t> </w:t>
      </w:r>
      <w:r>
        <w:rPr>
          <w:spacing w:val="-101"/>
        </w:rPr>
      </w:r>
      <w:r>
        <w:rPr>
          <w:spacing w:val="-6"/>
        </w:rPr>
        <w:t>确保采购品质的基础上最大限度降低采购成本。此外，各经营部门将按照预算加强费用控制。</w:t>
      </w:r>
    </w:p>
    <w:p>
      <w:pPr>
        <w:spacing w:after="0" w:line="338" w:lineRule="auto"/>
        <w:jc w:val="left"/>
        <w:sectPr>
          <w:pgSz w:w="11910" w:h="16840"/>
          <w:pgMar w:header="884" w:footer="1007" w:top="1140" w:bottom="1200" w:left="1140" w:right="900"/>
        </w:sectPr>
      </w:pPr>
    </w:p>
    <w:p>
      <w:pPr>
        <w:spacing w:line="240" w:lineRule="auto" w:before="6"/>
        <w:rPr>
          <w:rFonts w:ascii="宋体" w:hAnsi="宋体" w:cs="宋体" w:eastAsia="宋体" w:hint="default"/>
          <w:sz w:val="22"/>
          <w:szCs w:val="22"/>
        </w:rPr>
      </w:pPr>
    </w:p>
    <w:p>
      <w:pPr>
        <w:pStyle w:val="BodyText"/>
        <w:tabs>
          <w:tab w:pos="1397" w:val="left" w:leader="none"/>
        </w:tabs>
        <w:spacing w:line="338" w:lineRule="auto" w:before="26"/>
        <w:ind w:left="617" w:right="229" w:firstLine="371"/>
        <w:jc w:val="left"/>
      </w:pPr>
      <w:r>
        <w:rPr>
          <w:rFonts w:ascii="Wingdings" w:hAnsi="Wingdings" w:cs="Wingdings" w:eastAsia="Wingdings" w:hint="default"/>
        </w:rPr>
        <w:t></w:t>
      </w:r>
      <w:r>
        <w:rPr>
          <w:rFonts w:ascii="Times New Roman" w:hAnsi="Times New Roman" w:cs="Times New Roman" w:eastAsia="Times New Roman" w:hint="default"/>
        </w:rPr>
        <w:tab/>
      </w:r>
      <w:r>
        <w:rPr/>
        <w:t>加强内控体系建设 </w:t>
      </w:r>
      <w:r>
        <w:rPr>
          <w:spacing w:val="-3"/>
        </w:rPr>
        <w:t>随着公司业务规模的逐步扩大以及分支机构数量的增加，</w:t>
      </w:r>
      <w:r>
        <w:rPr>
          <w:rFonts w:ascii="Times New Roman" w:hAnsi="Times New Roman" w:cs="Times New Roman" w:eastAsia="Times New Roman" w:hint="default"/>
          <w:spacing w:val="-3"/>
        </w:rPr>
        <w:t>2013</w:t>
      </w:r>
      <w:r>
        <w:rPr>
          <w:spacing w:val="-3"/>
        </w:rPr>
        <w:t>将根据实际情况加强内控</w:t>
      </w:r>
    </w:p>
    <w:p>
      <w:pPr>
        <w:pStyle w:val="BodyText"/>
        <w:spacing w:line="240" w:lineRule="auto" w:before="27"/>
        <w:ind w:left="137" w:right="109"/>
        <w:jc w:val="left"/>
      </w:pPr>
      <w:r>
        <w:rPr/>
        <w:t>体系建设，形成一整套适合公司管理需要的内部控制制度并加以贯彻执行。</w:t>
      </w:r>
    </w:p>
    <w:p>
      <w:pPr>
        <w:pStyle w:val="BodyText"/>
        <w:tabs>
          <w:tab w:pos="1397" w:val="left" w:leader="none"/>
        </w:tabs>
        <w:spacing w:line="240" w:lineRule="auto" w:before="154"/>
        <w:ind w:left="989" w:right="109"/>
        <w:jc w:val="left"/>
      </w:pPr>
      <w:r>
        <w:rPr>
          <w:rFonts w:ascii="Wingdings" w:hAnsi="Wingdings" w:cs="Wingdings" w:eastAsia="Wingdings" w:hint="default"/>
        </w:rPr>
        <w:t></w:t>
      </w:r>
      <w:r>
        <w:rPr>
          <w:rFonts w:ascii="Times New Roman" w:hAnsi="Times New Roman" w:cs="Times New Roman" w:eastAsia="Times New Roman" w:hint="default"/>
        </w:rPr>
        <w:tab/>
      </w:r>
      <w:r>
        <w:rPr/>
        <w:t>人才培养计划</w:t>
      </w:r>
    </w:p>
    <w:p>
      <w:pPr>
        <w:pStyle w:val="BodyText"/>
        <w:spacing w:line="352" w:lineRule="auto" w:before="137"/>
        <w:ind w:left="137" w:right="109" w:firstLine="480"/>
        <w:jc w:val="left"/>
      </w:pPr>
      <w:r>
        <w:rPr>
          <w:rFonts w:ascii="Times New Roman" w:hAnsi="Times New Roman" w:cs="Times New Roman" w:eastAsia="Times New Roman" w:hint="default"/>
        </w:rPr>
        <w:t>2013</w:t>
      </w:r>
      <w:r>
        <w:rPr/>
        <w:t>年，公司将继续加强人力资源建设，培养复合型人才。公司将不断优化人员结构， </w:t>
      </w:r>
      <w:r>
        <w:rPr>
          <w:spacing w:val="-3"/>
        </w:rPr>
        <w:t>完善任职资格管理体系、职业发展通道体系和绩效考核体系。建立人才梯队，继续任用年轻</w:t>
      </w:r>
      <w:r>
        <w:rPr>
          <w:spacing w:val="-102"/>
        </w:rPr>
        <w:t> </w:t>
      </w:r>
      <w:r>
        <w:rPr>
          <w:spacing w:val="-102"/>
        </w:rPr>
      </w:r>
      <w:r>
        <w:rPr>
          <w:spacing w:val="-3"/>
        </w:rPr>
        <w:t>的管理干部，近三年内争取培养一批年轻的复合型人才，为公司的长期持续发展奠定良好的</w:t>
      </w:r>
      <w:r>
        <w:rPr>
          <w:spacing w:val="-106"/>
        </w:rPr>
        <w:t> </w:t>
      </w:r>
      <w:r>
        <w:rPr>
          <w:spacing w:val="-106"/>
        </w:rPr>
      </w:r>
      <w:r>
        <w:rPr/>
        <w:t>人才基础。同时，为员工提供发展平台，使其从公司能获得安全感、归属感和职业成就感。 此外，公司将结合公司实际情况实时启动股权激励计划，吸引并保有优秀员工。</w:t>
      </w:r>
    </w:p>
    <w:p>
      <w:pPr>
        <w:pStyle w:val="BodyText"/>
        <w:tabs>
          <w:tab w:pos="1397" w:val="left" w:leader="none"/>
        </w:tabs>
        <w:spacing w:line="338" w:lineRule="auto" w:before="41"/>
        <w:ind w:left="617" w:right="228" w:firstLine="371"/>
        <w:jc w:val="left"/>
      </w:pPr>
      <w:r>
        <w:rPr>
          <w:rFonts w:ascii="Wingdings" w:hAnsi="Wingdings" w:cs="Wingdings" w:eastAsia="Wingdings" w:hint="default"/>
        </w:rPr>
        <w:t></w:t>
      </w:r>
      <w:r>
        <w:rPr>
          <w:rFonts w:ascii="Times New Roman" w:hAnsi="Times New Roman" w:cs="Times New Roman" w:eastAsia="Times New Roman" w:hint="default"/>
        </w:rPr>
        <w:tab/>
      </w:r>
      <w:r>
        <w:rPr/>
        <w:t>加强财务管理及合同管理 </w:t>
      </w:r>
      <w:r>
        <w:rPr>
          <w:spacing w:val="-3"/>
        </w:rPr>
        <w:t>加强财务管理特别是应收账款管理和现金流管理。从合同执行的全流程加强应收账款的</w:t>
      </w:r>
    </w:p>
    <w:p>
      <w:pPr>
        <w:pStyle w:val="BodyText"/>
        <w:spacing w:line="357" w:lineRule="auto" w:before="55"/>
        <w:ind w:left="137" w:right="109"/>
        <w:jc w:val="left"/>
      </w:pPr>
      <w:r>
        <w:rPr>
          <w:spacing w:val="-3"/>
        </w:rPr>
        <w:t>管理，提高应收账款周转率，加强对业务部门综合回款率考核，加强账期较长的应收款的回</w:t>
      </w:r>
      <w:r>
        <w:rPr>
          <w:spacing w:val="-102"/>
        </w:rPr>
        <w:t> </w:t>
      </w:r>
      <w:r>
        <w:rPr>
          <w:spacing w:val="-102"/>
        </w:rPr>
      </w:r>
      <w:r>
        <w:rPr/>
        <w:t>款和清理工作，改善公司现金流。</w:t>
      </w:r>
    </w:p>
    <w:p>
      <w:pPr>
        <w:tabs>
          <w:tab w:pos="977" w:val="left" w:leader="none"/>
        </w:tabs>
        <w:spacing w:line="340" w:lineRule="auto" w:before="36"/>
        <w:ind w:left="617" w:right="230" w:hanging="58"/>
        <w:jc w:val="left"/>
        <w:rPr>
          <w:rFonts w:ascii="宋体" w:hAnsi="宋体" w:cs="宋体" w:eastAsia="宋体" w:hint="default"/>
          <w:sz w:val="24"/>
          <w:szCs w:val="24"/>
        </w:rPr>
      </w:pPr>
      <w:r>
        <w:rPr>
          <w:rFonts w:ascii="Wingdings" w:hAnsi="Wingdings" w:cs="Wingdings" w:eastAsia="Wingdings" w:hint="default"/>
          <w:sz w:val="24"/>
          <w:szCs w:val="24"/>
        </w:rPr>
        <w:t></w:t>
      </w:r>
      <w:r>
        <w:rPr>
          <w:rFonts w:ascii="Times New Roman" w:hAnsi="Times New Roman" w:cs="Times New Roman" w:eastAsia="Times New Roman" w:hint="default"/>
          <w:sz w:val="24"/>
          <w:szCs w:val="24"/>
        </w:rPr>
        <w:tab/>
      </w:r>
      <w:r>
        <w:rPr>
          <w:rFonts w:ascii="宋体" w:hAnsi="宋体" w:cs="宋体" w:eastAsia="宋体" w:hint="default"/>
          <w:b/>
          <w:bCs/>
          <w:sz w:val="24"/>
          <w:szCs w:val="24"/>
        </w:rPr>
        <w:t>募投项目和超募资金使用</w:t>
      </w:r>
      <w:r>
        <w:rPr>
          <w:rFonts w:ascii="宋体" w:hAnsi="宋体" w:cs="宋体" w:eastAsia="宋体" w:hint="default"/>
          <w:b/>
          <w:bCs/>
          <w:w w:val="99"/>
          <w:sz w:val="24"/>
          <w:szCs w:val="24"/>
        </w:rPr>
        <w:t> </w:t>
      </w:r>
      <w:r>
        <w:rPr>
          <w:rFonts w:ascii="宋体" w:hAnsi="宋体" w:cs="宋体" w:eastAsia="宋体" w:hint="default"/>
          <w:spacing w:val="-3"/>
          <w:sz w:val="24"/>
          <w:szCs w:val="24"/>
        </w:rPr>
        <w:t>公司将进一步加强募投项目管理。目前，公司的两个募集资金项目已结束，相关产品已</w:t>
      </w:r>
    </w:p>
    <w:p>
      <w:pPr>
        <w:pStyle w:val="BodyText"/>
        <w:spacing w:line="348" w:lineRule="auto" w:before="53"/>
        <w:ind w:left="137" w:right="227"/>
        <w:jc w:val="both"/>
      </w:pPr>
      <w:r>
        <w:rPr/>
        <w:t>经按计划进入市场推广阶段。</w:t>
      </w:r>
      <w:r>
        <w:rPr>
          <w:rFonts w:ascii="Times New Roman" w:hAnsi="Times New Roman" w:cs="Times New Roman" w:eastAsia="Times New Roman" w:hint="default"/>
        </w:rPr>
        <w:t>2013</w:t>
      </w:r>
      <w:r>
        <w:rPr/>
        <w:t>年度公司有</w:t>
      </w:r>
      <w:r>
        <w:rPr>
          <w:rFonts w:ascii="Times New Roman" w:hAnsi="Times New Roman" w:cs="Times New Roman" w:eastAsia="Times New Roman" w:hint="default"/>
        </w:rPr>
        <w:t>3</w:t>
      </w:r>
      <w:r>
        <w:rPr/>
        <w:t>个超募资金项目处于执行期内，公司将严格</w:t>
      </w:r>
      <w:r>
        <w:rPr>
          <w:spacing w:val="-106"/>
        </w:rPr>
        <w:t> </w:t>
      </w:r>
      <w:r>
        <w:rPr>
          <w:spacing w:val="-106"/>
        </w:rPr>
      </w:r>
      <w:r>
        <w:rPr>
          <w:spacing w:val="-3"/>
        </w:rPr>
        <w:t>按照有关规定，规范募集资金的使用，并监控这些项目的进度，项目结束将尽快结题并将结</w:t>
      </w:r>
      <w:r>
        <w:rPr>
          <w:spacing w:val="-102"/>
        </w:rPr>
        <w:t> </w:t>
      </w:r>
      <w:r>
        <w:rPr>
          <w:spacing w:val="-102"/>
        </w:rPr>
      </w:r>
      <w:r>
        <w:rPr/>
        <w:t>余资金转回超募资金管理。</w:t>
      </w:r>
    </w:p>
    <w:p>
      <w:pPr>
        <w:pStyle w:val="BodyText"/>
        <w:spacing w:line="357" w:lineRule="auto" w:before="46"/>
        <w:ind w:left="137" w:right="231" w:firstLine="480"/>
        <w:jc w:val="both"/>
      </w:pPr>
      <w:r>
        <w:rPr>
          <w:spacing w:val="-3"/>
        </w:rPr>
        <w:t>对于超募资金，公司将进一步组织超募资金使用项目的调研与论证，充分论证其可行性</w:t>
      </w:r>
      <w:r>
        <w:rPr/>
        <w:t> </w:t>
      </w:r>
      <w:r>
        <w:rPr>
          <w:spacing w:val="-3"/>
        </w:rPr>
        <w:t>和投资效益，为下一步的实施奠定基础。同时，公司将组建相应的项目部，进行项目前期市</w:t>
      </w:r>
      <w:r>
        <w:rPr>
          <w:spacing w:val="-109"/>
        </w:rPr>
        <w:t> </w:t>
      </w:r>
      <w:r>
        <w:rPr>
          <w:spacing w:val="-109"/>
        </w:rPr>
      </w:r>
      <w:r>
        <w:rPr/>
        <w:t>场调研，积极开展工作。</w:t>
      </w:r>
    </w:p>
    <w:p>
      <w:pPr>
        <w:tabs>
          <w:tab w:pos="977" w:val="left" w:leader="none"/>
        </w:tabs>
        <w:spacing w:line="338" w:lineRule="auto" w:before="37"/>
        <w:ind w:left="617" w:right="106" w:hanging="58"/>
        <w:jc w:val="left"/>
        <w:rPr>
          <w:rFonts w:ascii="宋体" w:hAnsi="宋体" w:cs="宋体" w:eastAsia="宋体" w:hint="default"/>
          <w:sz w:val="24"/>
          <w:szCs w:val="24"/>
        </w:rPr>
      </w:pPr>
      <w:r>
        <w:rPr>
          <w:rFonts w:ascii="Wingdings" w:hAnsi="Wingdings" w:cs="Wingdings" w:eastAsia="Wingdings" w:hint="default"/>
          <w:sz w:val="24"/>
          <w:szCs w:val="24"/>
        </w:rPr>
        <w:t></w:t>
      </w:r>
      <w:r>
        <w:rPr>
          <w:rFonts w:ascii="Times New Roman" w:hAnsi="Times New Roman" w:cs="Times New Roman" w:eastAsia="Times New Roman" w:hint="default"/>
          <w:sz w:val="24"/>
          <w:szCs w:val="24"/>
        </w:rPr>
        <w:tab/>
      </w: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）投资者关系管理</w:t>
      </w:r>
      <w:r>
        <w:rPr>
          <w:rFonts w:ascii="宋体" w:hAnsi="宋体" w:cs="宋体" w:eastAsia="宋体" w:hint="default"/>
          <w:b/>
          <w:bCs/>
          <w:w w:val="99"/>
          <w:sz w:val="24"/>
          <w:szCs w:val="24"/>
        </w:rPr>
        <w:t> </w:t>
      </w:r>
      <w:r>
        <w:rPr>
          <w:rFonts w:ascii="宋体" w:hAnsi="宋体" w:cs="宋体" w:eastAsia="宋体" w:hint="default"/>
          <w:spacing w:val="-6"/>
          <w:sz w:val="24"/>
          <w:szCs w:val="24"/>
        </w:rPr>
        <w:t>公司将进一步完善治理结构，建立和健全投资者沟通平台，通过网站、电话、官方微博、</w:t>
      </w:r>
    </w:p>
    <w:p>
      <w:pPr>
        <w:pStyle w:val="BodyText"/>
        <w:spacing w:line="352" w:lineRule="auto" w:before="55"/>
        <w:ind w:left="137" w:right="109"/>
        <w:jc w:val="left"/>
      </w:pPr>
      <w:r>
        <w:rPr/>
        <w:t>深交所投资者互动平台等多种沟通平台加强投资者和潜在投资者对公司业务和技术的了解， </w:t>
      </w:r>
      <w:r>
        <w:rPr>
          <w:spacing w:val="-3"/>
        </w:rPr>
        <w:t>并积极接受各类投资者的来访并听取投资者对公司发展的建议和意见，促进公司与投资者之</w:t>
      </w:r>
      <w:r>
        <w:rPr>
          <w:spacing w:val="-104"/>
        </w:rPr>
        <w:t> </w:t>
      </w:r>
      <w:r>
        <w:rPr>
          <w:spacing w:val="-104"/>
        </w:rPr>
      </w:r>
      <w:r>
        <w:rPr>
          <w:spacing w:val="-6"/>
        </w:rPr>
        <w:t>间的良好关系。</w:t>
      </w:r>
      <w:r>
        <w:rPr>
          <w:rFonts w:ascii="Times New Roman" w:hAnsi="Times New Roman" w:cs="Times New Roman" w:eastAsia="Times New Roman" w:hint="default"/>
          <w:spacing w:val="-6"/>
        </w:rPr>
        <w:t>2013</w:t>
      </w:r>
      <w:r>
        <w:rPr>
          <w:spacing w:val="-6"/>
        </w:rPr>
        <w:t>年度，公司将公告全年投资者接待日日程安排，接受投资者的现场调研。</w:t>
      </w:r>
      <w:r>
        <w:rPr>
          <w:spacing w:val="-87"/>
        </w:rPr>
        <w:t> </w:t>
      </w:r>
      <w:r>
        <w:rPr>
          <w:spacing w:val="-87"/>
        </w:rPr>
      </w:r>
      <w:r>
        <w:rPr>
          <w:spacing w:val="-3"/>
        </w:rPr>
        <w:t>现场接待日，公司将安排技术人员、市场营销人员为投资者进行相关的技术演示和市场情况</w:t>
      </w:r>
      <w:r>
        <w:rPr>
          <w:spacing w:val="-105"/>
        </w:rPr>
        <w:t> </w:t>
      </w:r>
      <w:r>
        <w:rPr>
          <w:spacing w:val="-105"/>
        </w:rPr>
      </w:r>
      <w:r>
        <w:rPr/>
        <w:t>介绍。</w:t>
      </w:r>
    </w:p>
    <w:p>
      <w:pPr>
        <w:spacing w:after="0" w:line="352" w:lineRule="auto"/>
        <w:jc w:val="left"/>
        <w:sectPr>
          <w:pgSz w:w="11910" w:h="16840"/>
          <w:pgMar w:header="884" w:footer="1007" w:top="1140" w:bottom="1200" w:left="1140" w:right="900"/>
        </w:sectPr>
      </w:pPr>
    </w:p>
    <w:p>
      <w:pPr>
        <w:spacing w:line="240" w:lineRule="auto" w:before="2"/>
        <w:rPr>
          <w:rFonts w:ascii="宋体" w:hAnsi="宋体" w:cs="宋体" w:eastAsia="宋体" w:hint="default"/>
          <w:sz w:val="27"/>
          <w:szCs w:val="27"/>
        </w:rPr>
      </w:pPr>
    </w:p>
    <w:p>
      <w:pPr>
        <w:pStyle w:val="Heading4"/>
        <w:spacing w:line="240" w:lineRule="auto" w:before="14"/>
        <w:ind w:right="0"/>
        <w:jc w:val="both"/>
        <w:rPr>
          <w:b w:val="0"/>
          <w:bCs w:val="0"/>
        </w:rPr>
      </w:pPr>
      <w:bookmarkStart w:name="_bookmark26" w:id="27"/>
      <w:bookmarkEnd w:id="27"/>
      <w:r>
        <w:rPr>
          <w:b w:val="0"/>
          <w:bCs w:val="0"/>
        </w:rPr>
      </w:r>
      <w:r>
        <w:rPr>
          <w:rFonts w:ascii="Times New Roman" w:hAnsi="Times New Roman" w:cs="Times New Roman" w:eastAsia="Times New Roman" w:hint="default"/>
          <w:sz w:val="28"/>
          <w:szCs w:val="28"/>
        </w:rPr>
        <w:t>4</w:t>
      </w:r>
      <w:r>
        <w:rPr>
          <w:sz w:val="28"/>
          <w:szCs w:val="28"/>
        </w:rPr>
        <w:t>、</w:t>
      </w:r>
      <w:r>
        <w:rPr/>
        <w:t>对公司未来发展战略和经营目标的实现产生不利影响的风险因素分析</w:t>
      </w:r>
      <w:r>
        <w:rPr>
          <w:b w:val="0"/>
          <w:bCs w:val="0"/>
        </w:rPr>
      </w:r>
    </w:p>
    <w:p>
      <w:pPr>
        <w:pStyle w:val="BodyText"/>
        <w:spacing w:line="690" w:lineRule="atLeast" w:before="52"/>
        <w:ind w:left="617" w:right="227" w:hanging="48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）政策性风险</w:t>
      </w:r>
      <w:r>
        <w:rPr>
          <w:rFonts w:ascii="宋体" w:hAnsi="宋体" w:cs="宋体" w:eastAsia="宋体" w:hint="default"/>
          <w:b/>
          <w:bCs/>
          <w:w w:val="99"/>
        </w:rPr>
        <w:t> </w:t>
      </w:r>
      <w:r>
        <w:rPr>
          <w:spacing w:val="-2"/>
        </w:rPr>
        <w:t>目前公司</w:t>
      </w:r>
      <w:r>
        <w:rPr>
          <w:rFonts w:ascii="Times New Roman" w:hAnsi="Times New Roman" w:cs="Times New Roman" w:eastAsia="Times New Roman" w:hint="default"/>
          <w:spacing w:val="-2"/>
        </w:rPr>
        <w:t>90%</w:t>
      </w:r>
      <w:r>
        <w:rPr>
          <w:spacing w:val="-2"/>
        </w:rPr>
        <w:t>以上的收入来自政府部门，因此公司的业绩受国家产业政策、行业规划和</w:t>
      </w:r>
    </w:p>
    <w:p>
      <w:pPr>
        <w:pStyle w:val="BodyText"/>
        <w:spacing w:line="357" w:lineRule="auto" w:before="135"/>
        <w:ind w:left="137" w:right="227"/>
        <w:jc w:val="both"/>
      </w:pPr>
      <w:r>
        <w:rPr>
          <w:spacing w:val="-3"/>
        </w:rPr>
        <w:t>宏观经济环境影响较大。一旦宏观经济不景气，政府部门的信息化预算会受到影响，可能会</w:t>
      </w:r>
      <w:r>
        <w:rPr>
          <w:spacing w:val="-102"/>
        </w:rPr>
        <w:t> </w:t>
      </w:r>
      <w:r>
        <w:rPr>
          <w:spacing w:val="-102"/>
        </w:rPr>
      </w:r>
      <w:r>
        <w:rPr>
          <w:spacing w:val="-3"/>
        </w:rPr>
        <w:t>导致公司的经营业绩下滑。为此，公司将加大市场开拓力度，加强企业级市场的开拓，降低</w:t>
      </w:r>
      <w:r>
        <w:rPr>
          <w:spacing w:val="-108"/>
        </w:rPr>
        <w:t> </w:t>
      </w:r>
      <w:r>
        <w:rPr>
          <w:spacing w:val="-108"/>
        </w:rPr>
      </w:r>
      <w:r>
        <w:rPr/>
        <w:t>政策性风险可能带来的影响。</w:t>
      </w:r>
    </w:p>
    <w:p>
      <w:pPr>
        <w:spacing w:line="240" w:lineRule="auto" w:before="12"/>
        <w:rPr>
          <w:rFonts w:ascii="宋体" w:hAnsi="宋体" w:cs="宋体" w:eastAsia="宋体" w:hint="default"/>
          <w:sz w:val="19"/>
          <w:szCs w:val="19"/>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）市场竞争风险</w:t>
      </w:r>
      <w:r>
        <w:rPr>
          <w:b w:val="0"/>
          <w:bCs w:val="0"/>
        </w:rPr>
      </w:r>
    </w:p>
    <w:p>
      <w:pPr>
        <w:spacing w:line="240" w:lineRule="auto" w:before="3"/>
        <w:rPr>
          <w:rFonts w:ascii="宋体" w:hAnsi="宋体" w:cs="宋体" w:eastAsia="宋体" w:hint="default"/>
          <w:b/>
          <w:bCs/>
          <w:sz w:val="27"/>
          <w:szCs w:val="27"/>
        </w:rPr>
      </w:pPr>
    </w:p>
    <w:p>
      <w:pPr>
        <w:pStyle w:val="BodyText"/>
        <w:spacing w:line="350" w:lineRule="auto"/>
        <w:ind w:left="137" w:right="103" w:firstLine="480"/>
        <w:jc w:val="left"/>
      </w:pPr>
      <w:r>
        <w:rPr>
          <w:spacing w:val="-3"/>
        </w:rPr>
        <w:t>地理信息技术作为一类通用性</w:t>
      </w:r>
      <w:r>
        <w:rPr>
          <w:rFonts w:ascii="Times New Roman" w:hAnsi="Times New Roman" w:cs="Times New Roman" w:eastAsia="Times New Roman" w:hint="default"/>
          <w:spacing w:val="-3"/>
        </w:rPr>
        <w:t>IT</w:t>
      </w:r>
      <w:r>
        <w:rPr>
          <w:spacing w:val="-3"/>
        </w:rPr>
        <w:t>技术，经过近</w:t>
      </w:r>
      <w:r>
        <w:rPr>
          <w:rFonts w:ascii="Times New Roman" w:hAnsi="Times New Roman" w:cs="Times New Roman" w:eastAsia="Times New Roman" w:hint="default"/>
          <w:spacing w:val="-3"/>
        </w:rPr>
        <w:t>10</w:t>
      </w:r>
      <w:r>
        <w:rPr>
          <w:spacing w:val="-3"/>
        </w:rPr>
        <w:t>年的发展已经逐步被更多的集成商、行</w:t>
      </w:r>
      <w:r>
        <w:rPr/>
        <w:t> </w:t>
      </w:r>
      <w:r>
        <w:rPr>
          <w:spacing w:val="-3"/>
        </w:rPr>
        <w:t>业增值开发商认识并应用，并成为部分行业解决方案的重要组成部分。因此，目前国内的地</w:t>
      </w:r>
      <w:r>
        <w:rPr>
          <w:spacing w:val="-102"/>
        </w:rPr>
        <w:t> </w:t>
      </w:r>
      <w:r>
        <w:rPr>
          <w:spacing w:val="-102"/>
        </w:rPr>
      </w:r>
      <w:r>
        <w:rPr/>
        <w:t>理信息应用市场，除了传统的</w:t>
      </w:r>
      <w:r>
        <w:rPr>
          <w:rFonts w:ascii="Times New Roman" w:hAnsi="Times New Roman" w:cs="Times New Roman" w:eastAsia="Times New Roman" w:hint="default"/>
        </w:rPr>
        <w:t>GIS</w:t>
      </w:r>
      <w:r>
        <w:rPr/>
        <w:t>服务提供商，还有更多的增值服务提供商、集成商，这些 </w:t>
      </w:r>
      <w:r>
        <w:rPr>
          <w:spacing w:val="-3"/>
        </w:rPr>
        <w:t>厂商由于有多年的项目实施经验，在大型综合性项目运作、管理方面具有明显优势，对地理</w:t>
      </w:r>
      <w:r>
        <w:rPr>
          <w:spacing w:val="-102"/>
        </w:rPr>
        <w:t> </w:t>
      </w:r>
      <w:r>
        <w:rPr>
          <w:spacing w:val="-102"/>
        </w:rPr>
      </w:r>
      <w:r>
        <w:rPr>
          <w:spacing w:val="-6"/>
        </w:rPr>
        <w:t>信息应用市场形成了巨大的竞争。为此，公司将进一步突出解决方案中地理信息技术的应用，</w:t>
      </w:r>
      <w:r>
        <w:rPr>
          <w:spacing w:val="-98"/>
        </w:rPr>
        <w:t> </w:t>
      </w:r>
      <w:r>
        <w:rPr>
          <w:spacing w:val="-98"/>
        </w:rPr>
      </w:r>
      <w:r>
        <w:rPr/>
        <w:t>突出公司主营特点和技术优势，以在竞争中增加获胜几率。</w:t>
      </w:r>
    </w:p>
    <w:p>
      <w:pPr>
        <w:spacing w:line="240" w:lineRule="auto" w:before="5"/>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）成本压力风险</w:t>
      </w:r>
      <w:r>
        <w:rPr>
          <w:b w:val="0"/>
          <w:bCs w:val="0"/>
        </w:rPr>
      </w:r>
    </w:p>
    <w:p>
      <w:pPr>
        <w:spacing w:line="240" w:lineRule="auto" w:before="6"/>
        <w:rPr>
          <w:rFonts w:ascii="宋体" w:hAnsi="宋体" w:cs="宋体" w:eastAsia="宋体" w:hint="default"/>
          <w:b/>
          <w:bCs/>
          <w:sz w:val="27"/>
          <w:szCs w:val="27"/>
        </w:rPr>
      </w:pPr>
    </w:p>
    <w:p>
      <w:pPr>
        <w:pStyle w:val="BodyText"/>
        <w:spacing w:line="350" w:lineRule="auto"/>
        <w:ind w:left="137" w:right="227" w:firstLine="480"/>
        <w:jc w:val="both"/>
      </w:pPr>
      <w:r>
        <w:rPr/>
        <w:t>公司员工工资及福利支出是公司成本费用的主要组成部分。近年来，</w:t>
      </w:r>
      <w:r>
        <w:rPr>
          <w:spacing w:val="21"/>
        </w:rPr>
        <w:t> </w:t>
      </w:r>
      <w:r>
        <w:rPr>
          <w:rFonts w:ascii="Times New Roman" w:hAnsi="Times New Roman" w:cs="Times New Roman" w:eastAsia="Times New Roman" w:hint="default"/>
        </w:rPr>
        <w:t>IT</w:t>
      </w:r>
      <w:r>
        <w:rPr/>
        <w:t>行业整体人工 </w:t>
      </w:r>
      <w:r>
        <w:rPr>
          <w:spacing w:val="-3"/>
        </w:rPr>
        <w:t>成本大幅上升，公司现有员工工资总体呈上升趋势，人工成本呈刚性增长，对公司的经营业</w:t>
      </w:r>
      <w:r>
        <w:rPr>
          <w:spacing w:val="-102"/>
        </w:rPr>
        <w:t> </w:t>
      </w:r>
      <w:r>
        <w:rPr>
          <w:spacing w:val="-102"/>
        </w:rPr>
      </w:r>
      <w:r>
        <w:rPr>
          <w:spacing w:val="-3"/>
        </w:rPr>
        <w:t>绩形成较大的压力。为此，公司将通过强化管理、控制费用和扩大销售等措施，尽量减轻成</w:t>
      </w:r>
      <w:r>
        <w:rPr>
          <w:spacing w:val="-108"/>
        </w:rPr>
        <w:t> </w:t>
      </w:r>
      <w:r>
        <w:rPr>
          <w:spacing w:val="-108"/>
        </w:rPr>
      </w:r>
      <w:r>
        <w:rPr/>
        <w:t>本上升压力。</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r>
        <w:rPr/>
        <w:t>（</w:t>
      </w:r>
      <w:r>
        <w:rPr>
          <w:rFonts w:ascii="Times New Roman" w:hAnsi="Times New Roman" w:cs="Times New Roman" w:eastAsia="Times New Roman" w:hint="default"/>
        </w:rPr>
        <w:t>4</w:t>
      </w:r>
      <w:r>
        <w:rPr/>
        <w:t>）财务风险</w:t>
      </w:r>
      <w:r>
        <w:rPr>
          <w:b w:val="0"/>
          <w:bCs w:val="0"/>
        </w:rPr>
      </w:r>
    </w:p>
    <w:p>
      <w:pPr>
        <w:spacing w:line="240" w:lineRule="auto" w:before="3"/>
        <w:rPr>
          <w:rFonts w:ascii="宋体" w:hAnsi="宋体" w:cs="宋体" w:eastAsia="宋体" w:hint="default"/>
          <w:b/>
          <w:bCs/>
          <w:sz w:val="27"/>
          <w:szCs w:val="27"/>
        </w:rPr>
      </w:pPr>
    </w:p>
    <w:p>
      <w:pPr>
        <w:pStyle w:val="BodyText"/>
        <w:spacing w:line="343" w:lineRule="auto"/>
        <w:ind w:left="137" w:right="228" w:firstLine="480"/>
        <w:jc w:val="both"/>
      </w:pPr>
      <w:r>
        <w:rPr/>
        <w:t>截止报告期末，公司的应收账款约为</w:t>
      </w:r>
      <w:r>
        <w:rPr>
          <w:rFonts w:ascii="Times New Roman" w:hAnsi="Times New Roman" w:cs="Times New Roman" w:eastAsia="Times New Roman" w:hint="default"/>
        </w:rPr>
        <w:t>12,099.11</w:t>
      </w:r>
      <w:r>
        <w:rPr/>
        <w:t>万元，其他应收款约为</w:t>
      </w:r>
      <w:r>
        <w:rPr>
          <w:rFonts w:ascii="Times New Roman" w:hAnsi="Times New Roman" w:cs="Times New Roman" w:eastAsia="Times New Roman" w:hint="default"/>
        </w:rPr>
        <w:t>1,368.21</w:t>
      </w:r>
      <w:r>
        <w:rPr/>
        <w:t>万元。本 </w:t>
      </w:r>
      <w:r>
        <w:rPr>
          <w:spacing w:val="-6"/>
        </w:rPr>
        <w:t>公司对应收账款和其他应收款采用账龄分析法计提坏账准备，按照账龄分别为：</w:t>
      </w:r>
      <w:r>
        <w:rPr>
          <w:rFonts w:ascii="Times New Roman" w:hAnsi="Times New Roman" w:cs="Times New Roman" w:eastAsia="Times New Roman" w:hint="default"/>
          <w:spacing w:val="-6"/>
        </w:rPr>
        <w:t>1</w:t>
      </w:r>
      <w:r>
        <w:rPr>
          <w:spacing w:val="-6"/>
        </w:rPr>
        <w:t>年以内（含</w:t>
      </w:r>
      <w:r>
        <w:rPr>
          <w:spacing w:val="-98"/>
        </w:rPr>
        <w:t> </w:t>
      </w:r>
      <w:r>
        <w:rPr>
          <w:spacing w:val="-98"/>
        </w:rPr>
      </w:r>
      <w:r>
        <w:rPr>
          <w:rFonts w:ascii="Times New Roman" w:hAnsi="Times New Roman" w:cs="Times New Roman" w:eastAsia="Times New Roman" w:hint="default"/>
        </w:rPr>
        <w:t>1</w:t>
      </w:r>
      <w:r>
        <w:rPr/>
        <w:t>年）计提</w:t>
      </w:r>
      <w:r>
        <w:rPr>
          <w:rFonts w:ascii="Times New Roman" w:hAnsi="Times New Roman" w:cs="Times New Roman" w:eastAsia="Times New Roman" w:hint="default"/>
        </w:rPr>
        <w:t>5%</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年计提</w:t>
      </w:r>
      <w:r>
        <w:rPr>
          <w:rFonts w:ascii="Times New Roman" w:hAnsi="Times New Roman" w:cs="Times New Roman" w:eastAsia="Times New Roman" w:hint="default"/>
        </w:rPr>
        <w:t>20%</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3</w:t>
      </w:r>
      <w:r>
        <w:rPr/>
        <w:t>年计提</w:t>
      </w:r>
      <w:r>
        <w:rPr>
          <w:rFonts w:ascii="Times New Roman" w:hAnsi="Times New Roman" w:cs="Times New Roman" w:eastAsia="Times New Roman" w:hint="default"/>
        </w:rPr>
        <w:t>50%</w:t>
      </w:r>
      <w:r>
        <w:rPr/>
        <w:t>、</w:t>
      </w:r>
      <w:r>
        <w:rPr>
          <w:rFonts w:ascii="Times New Roman" w:hAnsi="Times New Roman" w:cs="Times New Roman" w:eastAsia="Times New Roman" w:hint="default"/>
        </w:rPr>
        <w:t>3</w:t>
      </w:r>
      <w:r>
        <w:rPr/>
        <w:t>年以上计提</w:t>
      </w:r>
      <w:r>
        <w:rPr>
          <w:rFonts w:ascii="Times New Roman" w:hAnsi="Times New Roman" w:cs="Times New Roman" w:eastAsia="Times New Roman" w:hint="default"/>
        </w:rPr>
        <w:t>100%</w:t>
      </w:r>
      <w:r>
        <w:rPr/>
        <w:t>。本公司的客户大多</w:t>
      </w:r>
      <w:r>
        <w:rPr>
          <w:spacing w:val="-72"/>
        </w:rPr>
        <w:t> </w:t>
      </w:r>
      <w:r>
        <w:rPr>
          <w:spacing w:val="-72"/>
        </w:rPr>
      </w:r>
      <w:r>
        <w:rPr>
          <w:spacing w:val="-3"/>
        </w:rPr>
        <w:t>为政府客户，如遇政府机构调整、人员变动等情况，可能出现应收账款催要困难的问题。此</w:t>
      </w:r>
      <w:r>
        <w:rPr>
          <w:spacing w:val="-107"/>
        </w:rPr>
        <w:t> </w:t>
      </w:r>
      <w:r>
        <w:rPr>
          <w:spacing w:val="-107"/>
        </w:rPr>
      </w:r>
      <w:r>
        <w:rPr/>
        <w:t>外，由于种种原因，目前部份大型</w:t>
      </w:r>
      <w:r>
        <w:rPr>
          <w:rFonts w:ascii="Times New Roman" w:hAnsi="Times New Roman" w:cs="Times New Roman" w:eastAsia="Times New Roman" w:hint="default"/>
        </w:rPr>
        <w:t>IT</w:t>
      </w:r>
      <w:r>
        <w:rPr/>
        <w:t>信息化项目采取</w:t>
      </w:r>
      <w:r>
        <w:rPr>
          <w:rFonts w:ascii="Times New Roman" w:hAnsi="Times New Roman" w:cs="Times New Roman" w:eastAsia="Times New Roman" w:hint="default"/>
        </w:rPr>
        <w:t>BT</w:t>
      </w:r>
      <w:r>
        <w:rPr/>
        <w:t>或</w:t>
      </w:r>
      <w:r>
        <w:rPr>
          <w:rFonts w:ascii="Times New Roman" w:hAnsi="Times New Roman" w:cs="Times New Roman" w:eastAsia="Times New Roman" w:hint="default"/>
        </w:rPr>
        <w:t>BOT</w:t>
      </w:r>
      <w:r>
        <w:rPr/>
        <w:t>等模式，由企业垫付前期资</w:t>
      </w:r>
      <w:r>
        <w:rPr>
          <w:spacing w:val="-51"/>
        </w:rPr>
        <w:t> </w:t>
      </w:r>
      <w:r>
        <w:rPr>
          <w:spacing w:val="-51"/>
        </w:rPr>
      </w:r>
      <w:r>
        <w:rPr/>
        <w:t>金，客户的款项将分期支付，存在账期过长催收难度增加的风险。</w:t>
      </w:r>
    </w:p>
    <w:p>
      <w:pPr>
        <w:spacing w:after="0" w:line="343" w:lineRule="auto"/>
        <w:jc w:val="both"/>
        <w:sectPr>
          <w:pgSz w:w="11910" w:h="16840"/>
          <w:pgMar w:header="884" w:footer="1007" w:top="1140" w:bottom="1200" w:left="1140" w:right="900"/>
        </w:sectPr>
      </w:pPr>
    </w:p>
    <w:p>
      <w:pPr>
        <w:spacing w:line="240" w:lineRule="auto" w:before="8"/>
        <w:rPr>
          <w:rFonts w:ascii="宋体" w:hAnsi="宋体" w:cs="宋体" w:eastAsia="宋体" w:hint="default"/>
          <w:sz w:val="16"/>
          <w:szCs w:val="16"/>
        </w:rPr>
      </w:pPr>
    </w:p>
    <w:p>
      <w:pPr>
        <w:pStyle w:val="Heading4"/>
        <w:spacing w:line="240" w:lineRule="auto" w:before="26"/>
        <w:ind w:right="109"/>
        <w:jc w:val="left"/>
        <w:rPr>
          <w:b w:val="0"/>
          <w:bCs w:val="0"/>
        </w:rPr>
      </w:pPr>
      <w:bookmarkStart w:name="_bookmark27" w:id="28"/>
      <w:bookmarkEnd w:id="28"/>
      <w:r>
        <w:rPr>
          <w:b w:val="0"/>
          <w:bCs w:val="0"/>
        </w:rPr>
      </w: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5"/>
        <w:rPr>
          <w:rFonts w:ascii="宋体" w:hAnsi="宋体" w:cs="宋体" w:eastAsia="宋体" w:hint="default"/>
          <w:b/>
          <w:bCs/>
          <w:sz w:val="21"/>
          <w:szCs w:val="21"/>
        </w:rPr>
      </w:pPr>
    </w:p>
    <w:p>
      <w:pPr>
        <w:spacing w:line="444" w:lineRule="auto" w:before="0"/>
        <w:ind w:left="137" w:right="1758"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_bookmark28" w:id="29"/>
      <w:bookmarkEnd w:id="29"/>
      <w:r>
        <w:rPr>
          <w:rFonts w:ascii="宋体" w:hAnsi="宋体" w:cs="宋体" w:eastAsia="宋体" w:hint="default"/>
          <w:sz w:val="24"/>
          <w:szCs w:val="24"/>
        </w:rPr>
      </w:r>
      <w:r>
        <w:rPr>
          <w:rFonts w:ascii="宋体" w:hAnsi="宋体" w:cs="宋体" w:eastAsia="宋体" w:hint="default"/>
          <w:b/>
          <w:bCs/>
          <w:sz w:val="24"/>
          <w:szCs w:val="24"/>
        </w:rPr>
        <w:t>五、董事会关于报告期会计政策、会计估计变更或重要前期差错更正的说明</w:t>
      </w:r>
      <w:r>
        <w:rPr>
          <w:rFonts w:ascii="宋体" w:hAnsi="宋体" w:cs="宋体" w:eastAsia="宋体" w:hint="default"/>
          <w:sz w:val="24"/>
          <w:szCs w:val="24"/>
        </w:rPr>
      </w:r>
    </w:p>
    <w:p>
      <w:pPr>
        <w:pStyle w:val="BodyText"/>
        <w:spacing w:line="357" w:lineRule="auto" w:before="170"/>
        <w:ind w:left="617" w:right="233"/>
        <w:jc w:val="left"/>
      </w:pPr>
      <w:r>
        <w:rPr/>
        <w:t>报告期内，公司未发生会计政策、会计估计变更或重要前期差错更正。 由于公司之参股公司国遥对其自</w:t>
      </w:r>
      <w:r>
        <w:rPr>
          <w:spacing w:val="-61"/>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6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月开展的航空遥感数据自主采集业务的财务</w:t>
      </w:r>
    </w:p>
    <w:p>
      <w:pPr>
        <w:pStyle w:val="BodyText"/>
        <w:spacing w:line="357" w:lineRule="auto" w:before="5"/>
        <w:ind w:left="137" w:right="215"/>
        <w:jc w:val="left"/>
      </w:pPr>
      <w:r>
        <w:rPr>
          <w:spacing w:val="-3"/>
        </w:rPr>
        <w:t>处理方式进行变更，致使我公司第一季度财务报表中的投资收益以及净利润等相关数据的金</w:t>
      </w:r>
      <w:r>
        <w:rPr>
          <w:spacing w:val="-104"/>
        </w:rPr>
        <w:t> </w:t>
      </w:r>
      <w:r>
        <w:rPr>
          <w:spacing w:val="-104"/>
        </w:rPr>
      </w:r>
      <w:r>
        <w:rPr>
          <w:spacing w:val="-4"/>
        </w:rPr>
        <w:t>额需要进行相应调整，</w:t>
      </w:r>
      <w:r>
        <w:rPr>
          <w:rFonts w:ascii="Times New Roman" w:hAnsi="Times New Roman" w:cs="Times New Roman" w:eastAsia="Times New Roman" w:hint="default"/>
          <w:spacing w:val="-4"/>
        </w:rPr>
        <w:t>2012</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日公司董事会召开第二届第九次会议对此进行追溯重</w:t>
      </w:r>
    </w:p>
    <w:p>
      <w:pPr>
        <w:pStyle w:val="BodyText"/>
        <w:spacing w:line="338" w:lineRule="auto" w:before="5"/>
        <w:ind w:left="137" w:right="218"/>
        <w:jc w:val="left"/>
      </w:pPr>
      <w:r>
        <w:rPr>
          <w:spacing w:val="-5"/>
        </w:rPr>
        <w:t>述。具体内容详见公司于</w:t>
      </w:r>
      <w:r>
        <w:rPr>
          <w:spacing w:val="-5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16</w:t>
      </w:r>
      <w:r>
        <w:rPr>
          <w:rFonts w:ascii="Times New Roman" w:hAnsi="Times New Roman" w:cs="Times New Roman" w:eastAsia="Times New Roman" w:hint="default"/>
          <w:spacing w:val="2"/>
        </w:rPr>
        <w:t> </w:t>
      </w:r>
      <w:r>
        <w:rPr>
          <w:spacing w:val="-3"/>
        </w:rPr>
        <w:t>日刊登于证监会指定创业板信息披露网站（巨潮资</w:t>
      </w:r>
      <w:r>
        <w:rPr/>
        <w:t> </w:t>
      </w:r>
      <w:r>
        <w:rPr>
          <w:spacing w:val="-6"/>
        </w:rPr>
        <w:t>讯网）上的《关于前期会计差错更正的公告》。</w:t>
      </w:r>
    </w:p>
    <w:p>
      <w:pPr>
        <w:spacing w:line="240" w:lineRule="auto" w:before="4"/>
        <w:rPr>
          <w:rFonts w:ascii="宋体" w:hAnsi="宋体" w:cs="宋体" w:eastAsia="宋体" w:hint="default"/>
          <w:sz w:val="21"/>
          <w:szCs w:val="21"/>
        </w:rPr>
      </w:pPr>
    </w:p>
    <w:p>
      <w:pPr>
        <w:pStyle w:val="Heading4"/>
        <w:spacing w:line="240" w:lineRule="auto"/>
        <w:ind w:right="109"/>
        <w:jc w:val="left"/>
        <w:rPr>
          <w:b w:val="0"/>
          <w:bCs w:val="0"/>
        </w:rPr>
      </w:pPr>
      <w:bookmarkStart w:name="_bookmark29" w:id="30"/>
      <w:bookmarkEnd w:id="30"/>
      <w:r>
        <w:rPr>
          <w:b w:val="0"/>
          <w:bCs w:val="0"/>
        </w:rPr>
      </w:r>
      <w:r>
        <w:rPr/>
        <w:t>六、公司利润分配及分红派息情况</w:t>
      </w:r>
      <w:r>
        <w:rPr>
          <w:b w:val="0"/>
          <w:bCs w:val="0"/>
        </w:rPr>
      </w:r>
    </w:p>
    <w:p>
      <w:pPr>
        <w:spacing w:line="740" w:lineRule="atLeast" w:before="7"/>
        <w:ind w:left="617" w:right="220" w:hanging="480"/>
        <w:jc w:val="left"/>
        <w:rPr>
          <w:rFonts w:ascii="宋体" w:hAnsi="宋体" w:cs="宋体" w:eastAsia="宋体" w:hint="default"/>
          <w:sz w:val="24"/>
          <w:szCs w:val="24"/>
        </w:rPr>
      </w:pPr>
      <w:bookmarkStart w:name="_bookmark30" w:id="31"/>
      <w:bookmarkEnd w:id="31"/>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、报告期内利润分配政策特别是现金分红政策的制定、执行或调整情况</w:t>
      </w:r>
      <w:r>
        <w:rPr>
          <w:rFonts w:ascii="宋体" w:hAnsi="宋体" w:cs="宋体" w:eastAsia="宋体" w:hint="default"/>
          <w:b/>
          <w:bCs/>
          <w:w w:val="99"/>
          <w:sz w:val="24"/>
          <w:szCs w:val="24"/>
        </w:rPr>
        <w:t> </w:t>
      </w:r>
      <w:r>
        <w:rPr>
          <w:rFonts w:ascii="宋体" w:hAnsi="宋体" w:cs="宋体" w:eastAsia="宋体" w:hint="default"/>
          <w:spacing w:val="-9"/>
          <w:sz w:val="24"/>
          <w:szCs w:val="24"/>
        </w:rPr>
        <w:t>公司根据中国证监会《关于修改上市公司现金分红若干规定的决定》、《关于进一步落实</w:t>
      </w:r>
    </w:p>
    <w:p>
      <w:pPr>
        <w:pStyle w:val="BodyText"/>
        <w:spacing w:line="240" w:lineRule="auto" w:before="154"/>
        <w:ind w:left="137" w:right="109"/>
        <w:jc w:val="left"/>
      </w:pPr>
      <w:r>
        <w:rPr/>
        <w:t>上市公司现金分红有关事项的通知</w:t>
      </w:r>
      <w:r>
        <w:rPr>
          <w:spacing w:val="-120"/>
        </w:rPr>
        <w:t>》</w:t>
      </w:r>
      <w:r>
        <w:rPr/>
        <w:t>、深交所《创业板信息业务备忘录第</w:t>
      </w:r>
      <w:r>
        <w:rPr>
          <w:spacing w:val="-59"/>
        </w:rPr>
        <w:t> </w:t>
      </w:r>
      <w:r>
        <w:rPr>
          <w:rFonts w:ascii="Times New Roman" w:hAnsi="Times New Roman" w:cs="Times New Roman" w:eastAsia="Times New Roman" w:hint="default"/>
        </w:rPr>
        <w:t>6 </w:t>
      </w:r>
      <w:r>
        <w:rPr/>
        <w:t>号：利润分配与</w:t>
      </w:r>
    </w:p>
    <w:p>
      <w:pPr>
        <w:pStyle w:val="BodyText"/>
        <w:spacing w:line="240" w:lineRule="auto" w:before="135"/>
        <w:ind w:left="137" w:right="109"/>
        <w:jc w:val="left"/>
      </w:pPr>
      <w:r>
        <w:rPr>
          <w:spacing w:val="-4"/>
        </w:rPr>
        <w:t>资本公积金转增股本相关事项》等相关制度的规定与要求，公司于</w:t>
      </w:r>
      <w:r>
        <w:rPr>
          <w:spacing w:val="-59"/>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5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59"/>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日召开第</w:t>
      </w:r>
    </w:p>
    <w:p>
      <w:pPr>
        <w:pStyle w:val="BodyText"/>
        <w:spacing w:line="240" w:lineRule="auto" w:before="135"/>
        <w:ind w:left="137" w:right="109"/>
        <w:jc w:val="left"/>
      </w:pPr>
      <w:r>
        <w:rPr/>
        <w:t>二届董事会第</w:t>
      </w:r>
      <w:r>
        <w:rPr>
          <w:spacing w:val="-1"/>
        </w:rPr>
        <w:t>十</w:t>
      </w:r>
      <w:r>
        <w:rPr/>
        <w:t>次会议审议通过</w:t>
      </w:r>
      <w:r>
        <w:rPr>
          <w:spacing w:val="-8"/>
        </w:rPr>
        <w:t>了</w:t>
      </w:r>
      <w:r>
        <w:rPr/>
        <w:t>《关于修改</w:t>
      </w:r>
      <w:r>
        <w:rPr>
          <w:rFonts w:ascii="Times New Roman" w:hAnsi="Times New Roman" w:cs="Times New Roman" w:eastAsia="Times New Roman" w:hint="default"/>
          <w:spacing w:val="-1"/>
        </w:rPr>
        <w:t>&lt;</w:t>
      </w:r>
      <w:r>
        <w:rPr/>
        <w:t>公司章程</w:t>
      </w:r>
      <w:r>
        <w:rPr>
          <w:rFonts w:ascii="Times New Roman" w:hAnsi="Times New Roman" w:cs="Times New Roman" w:eastAsia="Times New Roman" w:hint="default"/>
          <w:spacing w:val="-1"/>
        </w:rPr>
        <w:t>&gt;</w:t>
      </w:r>
      <w:r>
        <w:rPr/>
        <w:t>的议案</w:t>
      </w:r>
      <w:r>
        <w:rPr>
          <w:spacing w:val="-120"/>
        </w:rPr>
        <w:t>》</w:t>
      </w:r>
      <w:r>
        <w:rPr>
          <w:spacing w:val="-5"/>
        </w:rPr>
        <w:t>，</w:t>
      </w:r>
      <w:r>
        <w:rPr/>
        <w:t>并于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9 </w:t>
      </w:r>
      <w:r>
        <w:rPr/>
        <w:t>月</w:t>
      </w:r>
      <w:r>
        <w:rPr>
          <w:spacing w:val="-60"/>
        </w:rPr>
        <w:t> </w:t>
      </w:r>
      <w:r>
        <w:rPr>
          <w:rFonts w:ascii="Times New Roman" w:hAnsi="Times New Roman" w:cs="Times New Roman" w:eastAsia="Times New Roman" w:hint="default"/>
        </w:rPr>
        <w:t>10 </w:t>
      </w:r>
      <w:r>
        <w:rPr/>
        <w:t>日</w:t>
      </w:r>
    </w:p>
    <w:p>
      <w:pPr>
        <w:pStyle w:val="BodyText"/>
        <w:spacing w:line="348" w:lineRule="auto" w:before="135"/>
        <w:ind w:left="617" w:right="4790" w:hanging="480"/>
        <w:jc w:val="left"/>
      </w:pPr>
      <w:r>
        <w:rPr/>
        <w:t>召开的</w:t>
      </w:r>
      <w:r>
        <w:rPr>
          <w:spacing w:val="-61"/>
        </w:rPr>
        <w:t> </w:t>
      </w:r>
      <w:r>
        <w:rPr>
          <w:rFonts w:ascii="Times New Roman" w:hAnsi="Times New Roman" w:cs="Times New Roman" w:eastAsia="Times New Roman" w:hint="default"/>
        </w:rPr>
        <w:t>2012 </w:t>
      </w:r>
      <w:r>
        <w:rPr/>
        <w:t>年第一次临时股东大会审议通过。 公司利润分配政策为： </w:t>
      </w:r>
      <w:r>
        <w:rPr>
          <w:rFonts w:ascii="Times New Roman" w:hAnsi="Times New Roman" w:cs="Times New Roman" w:eastAsia="Times New Roman" w:hint="default"/>
        </w:rPr>
        <w:t>1</w:t>
      </w:r>
      <w:r>
        <w:rPr/>
        <w:t>、利润分配的基本原则</w:t>
      </w:r>
    </w:p>
    <w:p>
      <w:pPr>
        <w:pStyle w:val="BodyText"/>
        <w:spacing w:line="348" w:lineRule="auto" w:before="16"/>
        <w:ind w:left="137" w:right="106" w:firstLine="480"/>
        <w:jc w:val="left"/>
      </w:pPr>
      <w:r>
        <w:rPr>
          <w:spacing w:val="-3"/>
        </w:rPr>
        <w:t>（</w:t>
      </w:r>
      <w:r>
        <w:rPr>
          <w:rFonts w:ascii="Times New Roman" w:hAnsi="Times New Roman" w:cs="Times New Roman" w:eastAsia="Times New Roman" w:hint="default"/>
          <w:spacing w:val="-3"/>
        </w:rPr>
        <w:t>1</w:t>
      </w:r>
      <w:r>
        <w:rPr>
          <w:spacing w:val="-3"/>
        </w:rPr>
        <w:t>）公司充分考虑对投资者的回报，在公司当年盈利且累计未分配利润为正的情况下，</w:t>
      </w:r>
      <w:r>
        <w:rPr/>
        <w:t> </w:t>
      </w:r>
      <w:r>
        <w:rPr>
          <w:spacing w:val="2"/>
        </w:rPr>
        <w:t>每年按不少于当年实现的合并报表归属于母公司股东的净利润与母公司净利润的孰低者的</w:t>
      </w:r>
      <w:r>
        <w:rPr>
          <w:spacing w:val="-87"/>
        </w:rPr>
        <w:t> </w:t>
      </w:r>
      <w:r>
        <w:rPr>
          <w:spacing w:val="-87"/>
        </w:rPr>
      </w:r>
      <w:r>
        <w:rPr>
          <w:rFonts w:ascii="Times New Roman" w:hAnsi="Times New Roman" w:cs="Times New Roman" w:eastAsia="Times New Roman" w:hint="default"/>
        </w:rPr>
        <w:t>5%</w:t>
      </w:r>
      <w:r>
        <w:rPr/>
        <w:t>向股东分配股利。</w:t>
      </w:r>
    </w:p>
    <w:p>
      <w:pPr>
        <w:pStyle w:val="BodyText"/>
        <w:spacing w:line="338" w:lineRule="auto" w:before="16"/>
        <w:ind w:left="137" w:right="229" w:firstLine="480"/>
        <w:jc w:val="left"/>
      </w:pPr>
      <w:r>
        <w:rPr/>
        <w:t>（</w:t>
      </w:r>
      <w:r>
        <w:rPr>
          <w:rFonts w:ascii="Times New Roman" w:hAnsi="Times New Roman" w:cs="Times New Roman" w:eastAsia="Times New Roman" w:hint="default"/>
        </w:rPr>
        <w:t>2</w:t>
      </w:r>
      <w:r>
        <w:rPr/>
        <w:t>）公司的利润分配政策保持连续性和稳定性，同时兼顾公司的长远利益、全体股东 的整体利益及公司的可持续发展；</w:t>
      </w:r>
    </w:p>
    <w:p>
      <w:pPr>
        <w:pStyle w:val="BodyText"/>
        <w:spacing w:line="240" w:lineRule="auto" w:before="55"/>
        <w:ind w:left="696" w:right="109"/>
        <w:jc w:val="left"/>
      </w:pPr>
      <w:r>
        <w:rPr/>
        <w:t>（</w:t>
      </w:r>
      <w:r>
        <w:rPr>
          <w:rFonts w:ascii="Times New Roman" w:hAnsi="Times New Roman" w:cs="Times New Roman" w:eastAsia="Times New Roman" w:hint="default"/>
        </w:rPr>
        <w:t>3</w:t>
      </w:r>
      <w:r>
        <w:rPr/>
        <w:t>）公司优先采用现金分红的利润分配方式。</w:t>
      </w:r>
    </w:p>
    <w:p>
      <w:pPr>
        <w:pStyle w:val="BodyText"/>
        <w:spacing w:line="240" w:lineRule="auto" w:before="135"/>
        <w:ind w:left="617" w:right="109"/>
        <w:jc w:val="left"/>
      </w:pPr>
      <w:r>
        <w:rPr>
          <w:rFonts w:ascii="Times New Roman" w:hAnsi="Times New Roman" w:cs="Times New Roman" w:eastAsia="Times New Roman" w:hint="default"/>
        </w:rPr>
        <w:t>2</w:t>
      </w:r>
      <w:r>
        <w:rPr/>
        <w:t>、公司利润分配具体政策</w:t>
      </w:r>
    </w:p>
    <w:p>
      <w:pPr>
        <w:pStyle w:val="BodyText"/>
        <w:spacing w:line="338" w:lineRule="auto" w:before="135"/>
        <w:ind w:left="137" w:right="229" w:firstLine="480"/>
        <w:jc w:val="left"/>
      </w:pPr>
      <w:r>
        <w:rPr/>
        <w:t>（</w:t>
      </w:r>
      <w:r>
        <w:rPr>
          <w:rFonts w:ascii="Times New Roman" w:hAnsi="Times New Roman" w:cs="Times New Roman" w:eastAsia="Times New Roman" w:hint="default"/>
        </w:rPr>
        <w:t>1</w:t>
      </w:r>
      <w:r>
        <w:rPr/>
        <w:t>）利润分配的形式：公司采用现金、股票或者现金与股票相结合的方式分配股利。 在有条件的情况下，公司可以进行中期利润分配。</w:t>
      </w:r>
    </w:p>
    <w:p>
      <w:pPr>
        <w:spacing w:after="0" w:line="338" w:lineRule="auto"/>
        <w:jc w:val="left"/>
        <w:sectPr>
          <w:footerReference w:type="default" r:id="rId21"/>
          <w:pgSz w:w="11910" w:h="16840"/>
          <w:pgMar w:footer="1007" w:header="884" w:top="1140" w:bottom="1200" w:left="1140" w:right="900"/>
        </w:sectPr>
      </w:pPr>
    </w:p>
    <w:p>
      <w:pPr>
        <w:spacing w:line="240" w:lineRule="auto" w:before="6"/>
        <w:rPr>
          <w:rFonts w:ascii="宋体" w:hAnsi="宋体" w:cs="宋体" w:eastAsia="宋体" w:hint="default"/>
          <w:sz w:val="22"/>
          <w:szCs w:val="22"/>
        </w:rPr>
      </w:pPr>
    </w:p>
    <w:p>
      <w:pPr>
        <w:pStyle w:val="BodyText"/>
        <w:spacing w:line="338" w:lineRule="auto" w:before="26"/>
        <w:ind w:left="617" w:right="223"/>
        <w:jc w:val="left"/>
      </w:pPr>
      <w:r>
        <w:rPr/>
        <w:t>（</w:t>
      </w:r>
      <w:r>
        <w:rPr>
          <w:rFonts w:ascii="Times New Roman" w:hAnsi="Times New Roman" w:cs="Times New Roman" w:eastAsia="Times New Roman" w:hint="default"/>
        </w:rPr>
        <w:t>2</w:t>
      </w:r>
      <w:r>
        <w:rPr/>
        <w:t>）公司现金分红的具体条件和比例： </w:t>
      </w:r>
      <w:r>
        <w:rPr>
          <w:spacing w:val="-3"/>
        </w:rPr>
        <w:t>现金分红的具体条件：当年盈利且年度实现的可分配利润（即公司弥补亏损、提取公积</w:t>
      </w:r>
    </w:p>
    <w:p>
      <w:pPr>
        <w:pStyle w:val="BodyText"/>
        <w:spacing w:line="357" w:lineRule="auto" w:before="55"/>
        <w:ind w:left="137" w:right="109"/>
        <w:jc w:val="left"/>
      </w:pPr>
      <w:r>
        <w:rPr>
          <w:spacing w:val="-6"/>
        </w:rPr>
        <w:t>金所余的税后利润）为正值；现金流充裕且实施现金分红不影响公司正常经营和可持续发展；</w:t>
      </w:r>
      <w:r>
        <w:rPr>
          <w:spacing w:val="-100"/>
        </w:rPr>
        <w:t> </w:t>
      </w:r>
      <w:r>
        <w:rPr>
          <w:spacing w:val="-100"/>
        </w:rPr>
      </w:r>
      <w:r>
        <w:rPr/>
        <w:t>审计机构对公司的该年度财务报告出具标准无保留意见的审计报告；</w:t>
      </w:r>
    </w:p>
    <w:p>
      <w:pPr>
        <w:pStyle w:val="BodyText"/>
        <w:spacing w:line="240" w:lineRule="auto" w:before="36"/>
        <w:ind w:left="617" w:right="109"/>
        <w:jc w:val="left"/>
      </w:pPr>
      <w:r>
        <w:rPr/>
        <w:t>如出现以下特珠情况的，则公司可以不进行现金分红：</w:t>
      </w:r>
    </w:p>
    <w:p>
      <w:pPr>
        <w:pStyle w:val="BodyText"/>
        <w:spacing w:line="357" w:lineRule="auto" w:before="154"/>
        <w:ind w:left="137" w:right="109" w:firstLine="559"/>
        <w:jc w:val="left"/>
      </w:pPr>
      <w:r>
        <w:rPr/>
        <w:t>①公司未来十二个月内拟对外投资、收购资产或进行固定资产投资累计支出预计达到 或超过公司最近一期经审计净资产的</w:t>
      </w:r>
      <w:r>
        <w:rPr>
          <w:spacing w:val="-61"/>
        </w:rPr>
        <w:t> </w:t>
      </w:r>
      <w:r>
        <w:rPr>
          <w:rFonts w:ascii="Times New Roman" w:hAnsi="Times New Roman" w:cs="Times New Roman" w:eastAsia="Times New Roman" w:hint="default"/>
        </w:rPr>
        <w:t>30%</w:t>
      </w:r>
      <w:r>
        <w:rPr/>
        <w:t>；</w:t>
      </w:r>
    </w:p>
    <w:p>
      <w:pPr>
        <w:pStyle w:val="BodyText"/>
        <w:spacing w:line="357" w:lineRule="auto" w:before="6"/>
        <w:ind w:left="137" w:right="109" w:firstLine="559"/>
        <w:jc w:val="left"/>
      </w:pPr>
      <w:r>
        <w:rPr/>
        <w:t>②公司未来十二个月内拟进行研发项目投入累计支出预计达到或超过最近一期经审计 净资产的</w:t>
      </w:r>
      <w:r>
        <w:rPr>
          <w:spacing w:val="-62"/>
        </w:rPr>
        <w:t> </w:t>
      </w:r>
      <w:r>
        <w:rPr>
          <w:rFonts w:ascii="Times New Roman" w:hAnsi="Times New Roman" w:cs="Times New Roman" w:eastAsia="Times New Roman" w:hint="default"/>
        </w:rPr>
        <w:t>10%</w:t>
      </w:r>
      <w:r>
        <w:rPr/>
        <w:t>；</w:t>
      </w:r>
    </w:p>
    <w:p>
      <w:pPr>
        <w:pStyle w:val="BodyText"/>
        <w:spacing w:line="240" w:lineRule="auto" w:before="5"/>
        <w:ind w:left="696" w:right="109"/>
        <w:jc w:val="left"/>
      </w:pPr>
      <w:r>
        <w:rPr/>
        <w:t>③公司最近一期经审计的合并报表期末现金及现金等价物净增加额为负；</w:t>
      </w:r>
    </w:p>
    <w:p>
      <w:pPr>
        <w:pStyle w:val="BodyText"/>
        <w:spacing w:line="240" w:lineRule="auto" w:before="154"/>
        <w:ind w:left="696" w:right="109"/>
        <w:jc w:val="left"/>
      </w:pPr>
      <w:r>
        <w:rPr>
          <w:spacing w:val="7"/>
        </w:rPr>
        <w:t>④公司最近一期经审计的合并报表期末经营活动产生的现金流量净额低于净资产的</w:t>
      </w:r>
    </w:p>
    <w:p>
      <w:pPr>
        <w:pStyle w:val="BodyText"/>
        <w:spacing w:line="240" w:lineRule="auto" w:before="154"/>
        <w:ind w:left="137" w:right="109"/>
        <w:jc w:val="left"/>
      </w:pPr>
      <w:r>
        <w:rPr>
          <w:rFonts w:ascii="Times New Roman" w:hAnsi="Times New Roman" w:cs="Times New Roman" w:eastAsia="Times New Roman" w:hint="default"/>
        </w:rPr>
        <w:t>5%</w:t>
      </w:r>
      <w:r>
        <w:rPr/>
        <w:t>时。</w:t>
      </w:r>
    </w:p>
    <w:p>
      <w:pPr>
        <w:pStyle w:val="BodyText"/>
        <w:spacing w:line="348" w:lineRule="auto" w:before="135"/>
        <w:ind w:left="137" w:right="230" w:firstLine="480"/>
        <w:jc w:val="both"/>
      </w:pPr>
      <w:r>
        <w:rPr>
          <w:spacing w:val="-3"/>
        </w:rPr>
        <w:t>现金分红的比例：不低于当年实现的合并报表归属于母公司股东的净利润与母公司净利</w:t>
      </w:r>
      <w:r>
        <w:rPr/>
        <w:t> 润的孰低者的</w:t>
      </w:r>
      <w:r>
        <w:rPr>
          <w:spacing w:val="-66"/>
        </w:rPr>
        <w:t> </w:t>
      </w:r>
      <w:r>
        <w:rPr>
          <w:rFonts w:ascii="Times New Roman" w:hAnsi="Times New Roman" w:cs="Times New Roman" w:eastAsia="Times New Roman" w:hint="default"/>
        </w:rPr>
        <w:t>5%</w:t>
      </w:r>
      <w:r>
        <w:rPr/>
        <w:t>向股东分配股利，且公司最近三年以现金方式累计分配的利润不少于最近 三年实现的年均可分配利润的</w:t>
      </w:r>
      <w:r>
        <w:rPr>
          <w:spacing w:val="-61"/>
        </w:rPr>
        <w:t> </w:t>
      </w:r>
      <w:r>
        <w:rPr>
          <w:rFonts w:ascii="Times New Roman" w:hAnsi="Times New Roman" w:cs="Times New Roman" w:eastAsia="Times New Roman" w:hint="default"/>
        </w:rPr>
        <w:t>30%</w:t>
      </w:r>
      <w:r>
        <w:rPr/>
        <w:t>。</w:t>
      </w:r>
    </w:p>
    <w:p>
      <w:pPr>
        <w:pStyle w:val="BodyText"/>
        <w:spacing w:line="338" w:lineRule="auto" w:before="16"/>
        <w:ind w:left="617" w:right="223"/>
        <w:jc w:val="left"/>
      </w:pPr>
      <w:r>
        <w:rPr/>
        <w:t>（</w:t>
      </w:r>
      <w:r>
        <w:rPr>
          <w:rFonts w:ascii="Times New Roman" w:hAnsi="Times New Roman" w:cs="Times New Roman" w:eastAsia="Times New Roman" w:hint="default"/>
        </w:rPr>
        <w:t>3</w:t>
      </w:r>
      <w:r>
        <w:rPr/>
        <w:t>）公司发放股票股利的具体条件： </w:t>
      </w:r>
      <w:r>
        <w:rPr>
          <w:spacing w:val="-3"/>
        </w:rPr>
        <w:t>公司在经营情况良好，并且董事会认为公司股票价格与公司股本规模不匹配、发放股票</w:t>
      </w:r>
    </w:p>
    <w:p>
      <w:pPr>
        <w:pStyle w:val="BodyText"/>
        <w:spacing w:line="357" w:lineRule="auto" w:before="55"/>
        <w:ind w:left="137" w:right="229"/>
        <w:jc w:val="left"/>
      </w:pPr>
      <w:r>
        <w:rPr>
          <w:spacing w:val="-3"/>
        </w:rPr>
        <w:t>股利有利于公司全体股东整体利益时，可以在满足上述现金分红的条件下，提出股票股利分</w:t>
      </w:r>
      <w:r>
        <w:rPr>
          <w:spacing w:val="-106"/>
        </w:rPr>
        <w:t> </w:t>
      </w:r>
      <w:r>
        <w:rPr>
          <w:spacing w:val="-106"/>
        </w:rPr>
      </w:r>
      <w:r>
        <w:rPr/>
        <w:t>配预案。</w:t>
      </w:r>
    </w:p>
    <w:p>
      <w:pPr>
        <w:pStyle w:val="BodyText"/>
        <w:spacing w:line="240" w:lineRule="auto" w:before="36"/>
        <w:ind w:left="617" w:right="109"/>
        <w:jc w:val="left"/>
      </w:pPr>
      <w:r>
        <w:rPr>
          <w:rFonts w:ascii="Times New Roman" w:hAnsi="Times New Roman" w:cs="Times New Roman" w:eastAsia="Times New Roman" w:hint="default"/>
        </w:rPr>
        <w:t>3</w:t>
      </w:r>
      <w:r>
        <w:rPr/>
        <w:t>、公司利润分配方案的审议程序</w:t>
      </w:r>
    </w:p>
    <w:p>
      <w:pPr>
        <w:pStyle w:val="BodyText"/>
        <w:spacing w:line="338" w:lineRule="auto" w:before="135"/>
        <w:ind w:left="137" w:right="213" w:firstLine="480"/>
        <w:jc w:val="left"/>
      </w:pPr>
      <w:r>
        <w:rPr>
          <w:spacing w:val="-3"/>
        </w:rPr>
        <w:t>（</w:t>
      </w:r>
      <w:r>
        <w:rPr>
          <w:rFonts w:ascii="Times New Roman" w:hAnsi="Times New Roman" w:cs="Times New Roman" w:eastAsia="Times New Roman" w:hint="default"/>
          <w:spacing w:val="-3"/>
        </w:rPr>
        <w:t>1</w:t>
      </w:r>
      <w:r>
        <w:rPr>
          <w:spacing w:val="-3"/>
        </w:rPr>
        <w:t>）公司的利润分配方案由</w:t>
      </w:r>
      <w:r>
        <w:rPr>
          <w:spacing w:val="10"/>
        </w:rPr>
        <w:t> </w:t>
      </w:r>
      <w:r>
        <w:rPr>
          <w:spacing w:val="-3"/>
        </w:rPr>
        <w:t>公司管理层拟定后提交公司董事会、监事会审议。董事会</w:t>
      </w:r>
      <w:r>
        <w:rPr/>
        <w:t> 就利润分配方案的合理性进行充分讨论，形成专项决议后提交股东大会审议。</w:t>
      </w:r>
    </w:p>
    <w:p>
      <w:pPr>
        <w:pStyle w:val="BodyText"/>
        <w:spacing w:line="348" w:lineRule="auto" w:before="55"/>
        <w:ind w:left="137" w:right="127" w:firstLine="480"/>
        <w:jc w:val="both"/>
      </w:pPr>
      <w:r>
        <w:rPr/>
        <w:t>（</w:t>
      </w:r>
      <w:r>
        <w:rPr>
          <w:rFonts w:ascii="Times New Roman" w:hAnsi="Times New Roman" w:cs="Times New Roman" w:eastAsia="Times New Roman" w:hint="default"/>
        </w:rPr>
        <w:t>2</w:t>
      </w:r>
      <w:r>
        <w:rPr/>
        <w:t>）公司因前述规定的特殊情况而不进行现金分红时，董事会应就不进行现金分红的 </w:t>
      </w:r>
      <w:r>
        <w:rPr>
          <w:spacing w:val="-3"/>
        </w:rPr>
        <w:t>具体原因、公司留存收益的确切用途及预计投资收益等事项进行专项说明，经独立董事发表</w:t>
      </w:r>
      <w:r>
        <w:rPr>
          <w:spacing w:val="-106"/>
        </w:rPr>
        <w:t> </w:t>
      </w:r>
      <w:r>
        <w:rPr>
          <w:spacing w:val="-106"/>
        </w:rPr>
      </w:r>
      <w:r>
        <w:rPr/>
        <w:t>意见后提交股东大会审议，公司为股东提供网络投票方式，并在公司指定媒体上予以披露。</w:t>
      </w:r>
    </w:p>
    <w:p>
      <w:pPr>
        <w:pStyle w:val="BodyText"/>
        <w:spacing w:line="338" w:lineRule="auto" w:before="46"/>
        <w:ind w:left="617" w:right="223"/>
        <w:jc w:val="left"/>
      </w:pPr>
      <w:r>
        <w:rPr>
          <w:rFonts w:ascii="Times New Roman" w:hAnsi="Times New Roman" w:cs="Times New Roman" w:eastAsia="Times New Roman" w:hint="default"/>
        </w:rPr>
        <w:t>4</w:t>
      </w:r>
      <w:r>
        <w:rPr/>
        <w:t>、公司利润分配政策的变更 </w:t>
      </w:r>
      <w:r>
        <w:rPr>
          <w:spacing w:val="-3"/>
        </w:rPr>
        <w:t>如遇到战争、自然灾害等不可抗力或者公司外部经营环境变化并对公司生产经营造成重</w:t>
      </w:r>
    </w:p>
    <w:p>
      <w:pPr>
        <w:pStyle w:val="BodyText"/>
        <w:spacing w:line="357" w:lineRule="auto" w:before="55"/>
        <w:ind w:left="617" w:right="223" w:hanging="480"/>
        <w:jc w:val="left"/>
      </w:pPr>
      <w:r>
        <w:rPr/>
        <w:t>大影响，或公司自身经营状况发生较大变化时，公司可对利润分配政策进行调整。 </w:t>
      </w:r>
      <w:r>
        <w:rPr>
          <w:spacing w:val="-3"/>
        </w:rPr>
        <w:t>公司调整利润分配政策应由董事会做出专题论述，详细论证调整理由，形成书面论证报</w:t>
      </w:r>
    </w:p>
    <w:p>
      <w:pPr>
        <w:spacing w:after="0" w:line="357" w:lineRule="auto"/>
        <w:jc w:val="left"/>
        <w:sectPr>
          <w:footerReference w:type="default" r:id="rId22"/>
          <w:pgSz w:w="11910" w:h="16840"/>
          <w:pgMar w:footer="1007" w:header="884" w:top="1140" w:bottom="1200" w:left="1140" w:right="900"/>
          <w:pgNumType w:start="41"/>
        </w:sectPr>
      </w:pPr>
    </w:p>
    <w:p>
      <w:pPr>
        <w:spacing w:line="240" w:lineRule="auto" w:before="6"/>
        <w:rPr>
          <w:rFonts w:ascii="宋体" w:hAnsi="宋体" w:cs="宋体" w:eastAsia="宋体" w:hint="default"/>
          <w:sz w:val="22"/>
          <w:szCs w:val="22"/>
        </w:rPr>
      </w:pPr>
    </w:p>
    <w:p>
      <w:pPr>
        <w:pStyle w:val="BodyText"/>
        <w:spacing w:line="357" w:lineRule="auto" w:before="26"/>
        <w:ind w:left="137" w:right="229"/>
        <w:jc w:val="left"/>
      </w:pPr>
      <w:r>
        <w:rPr>
          <w:spacing w:val="-3"/>
        </w:rPr>
        <w:t>告并经独立董事审议后提交股东大会特别决议通过。审议利润分配政策变更事项时，公司为</w:t>
      </w:r>
      <w:r>
        <w:rPr>
          <w:spacing w:val="-105"/>
        </w:rPr>
        <w:t> </w:t>
      </w:r>
      <w:r>
        <w:rPr>
          <w:spacing w:val="-105"/>
        </w:rPr>
      </w:r>
      <w:r>
        <w:rPr/>
        <w:t>股东提供网络投票方式。</w:t>
      </w:r>
    </w:p>
    <w:p>
      <w:pPr>
        <w:pStyle w:val="BodyText"/>
        <w:spacing w:line="357" w:lineRule="auto" w:before="36"/>
        <w:ind w:left="137" w:right="223" w:firstLine="480"/>
        <w:jc w:val="left"/>
      </w:pPr>
      <w:r>
        <w:rPr>
          <w:spacing w:val="-3"/>
        </w:rPr>
        <w:t>公司利润分配政策的修订及修订程序符合相关监管法律法规的规定，程序透明，充分听</w:t>
      </w:r>
      <w:r>
        <w:rPr/>
        <w:t> 取了中小股东的意见，独立董事发表了同意的独立意见，分红标准和比例明确、清晰。</w:t>
      </w:r>
    </w:p>
    <w:p>
      <w:pPr>
        <w:spacing w:line="240" w:lineRule="auto" w:before="7"/>
        <w:rPr>
          <w:rFonts w:ascii="宋体" w:hAnsi="宋体" w:cs="宋体" w:eastAsia="宋体" w:hint="default"/>
          <w:sz w:val="25"/>
          <w:szCs w:val="25"/>
        </w:rPr>
      </w:pPr>
    </w:p>
    <w:p>
      <w:pPr>
        <w:pStyle w:val="Heading4"/>
        <w:spacing w:line="391" w:lineRule="auto"/>
        <w:ind w:right="109"/>
        <w:jc w:val="left"/>
        <w:rPr>
          <w:b w:val="0"/>
          <w:bCs w:val="0"/>
        </w:rPr>
      </w:pPr>
      <w:bookmarkStart w:name="_bookmark31" w:id="32"/>
      <w:bookmarkEnd w:id="32"/>
      <w:r>
        <w:rPr>
          <w:b w:val="0"/>
          <w:bCs w:val="0"/>
        </w:rPr>
      </w:r>
      <w:r>
        <w:rPr>
          <w:rFonts w:ascii="Times New Roman" w:hAnsi="Times New Roman" w:cs="Times New Roman" w:eastAsia="Times New Roman" w:hint="default"/>
          <w:w w:val="95"/>
        </w:rPr>
        <w:t>2</w:t>
      </w:r>
      <w:r>
        <w:rPr>
          <w:w w:val="95"/>
        </w:rPr>
        <w:t>、公司报告期利润分配预案及资本公积金转增股本预案与公司章程和分红管理办法等的相</w:t>
      </w:r>
      <w:r>
        <w:rPr>
          <w:spacing w:val="104"/>
          <w:w w:val="95"/>
        </w:rPr>
        <w:t> </w:t>
      </w:r>
      <w:r>
        <w:rPr>
          <w:spacing w:val="104"/>
          <w:w w:val="95"/>
        </w:rPr>
      </w:r>
      <w:r>
        <w:rPr/>
        <w:t>关规定一致</w:t>
      </w:r>
      <w:r>
        <w:rPr>
          <w:b w:val="0"/>
          <w:bCs w:val="0"/>
        </w:rPr>
      </w:r>
    </w:p>
    <w:p>
      <w:pPr>
        <w:spacing w:line="240" w:lineRule="auto" w:before="8"/>
        <w:rPr>
          <w:rFonts w:ascii="宋体" w:hAnsi="宋体" w:cs="宋体" w:eastAsia="宋体" w:hint="default"/>
          <w:b/>
          <w:bCs/>
          <w:sz w:val="22"/>
          <w:szCs w:val="22"/>
        </w:rPr>
      </w:pPr>
    </w:p>
    <w:p>
      <w:pPr>
        <w:pStyle w:val="BodyText"/>
        <w:spacing w:line="338" w:lineRule="auto"/>
        <w:ind w:left="137" w:right="5149"/>
        <w:jc w:val="left"/>
      </w:pPr>
      <w:r>
        <w:rPr>
          <w:rFonts w:ascii="Times New Roman" w:hAnsi="Times New Roman" w:cs="Times New Roman" w:eastAsia="Times New Roman" w:hint="default"/>
          <w:sz w:val="20"/>
          <w:szCs w:val="20"/>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本年度利润分配及资本公积金转增股本预案</w:t>
      </w:r>
    </w:p>
    <w:tbl>
      <w:tblPr>
        <w:tblW w:w="0" w:type="auto"/>
        <w:jc w:val="left"/>
        <w:tblInd w:w="103" w:type="dxa"/>
        <w:tblLayout w:type="fixed"/>
        <w:tblCellMar>
          <w:top w:w="0" w:type="dxa"/>
          <w:left w:w="0" w:type="dxa"/>
          <w:bottom w:w="0" w:type="dxa"/>
          <w:right w:w="0" w:type="dxa"/>
        </w:tblCellMar>
        <w:tblLook w:val="01E0"/>
      </w:tblPr>
      <w:tblGrid>
        <w:gridCol w:w="4095"/>
        <w:gridCol w:w="5459"/>
      </w:tblGrid>
      <w:tr>
        <w:trPr>
          <w:trHeight w:val="323" w:hRule="exact"/>
        </w:trPr>
        <w:tc>
          <w:tcPr>
            <w:tcW w:w="4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4"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股送红股数（股）</w:t>
            </w:r>
          </w:p>
        </w:tc>
        <w:tc>
          <w:tcPr>
            <w:tcW w:w="5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23" w:hRule="exact"/>
        </w:trPr>
        <w:tc>
          <w:tcPr>
            <w:tcW w:w="4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股</w:t>
            </w:r>
            <w:r>
              <w:rPr>
                <w:rFonts w:ascii="宋体" w:hAnsi="宋体" w:cs="宋体" w:eastAsia="宋体" w:hint="default"/>
                <w:spacing w:val="-3"/>
                <w:w w:val="100"/>
                <w:sz w:val="21"/>
                <w:szCs w:val="21"/>
              </w:rPr>
              <w:t>派</w:t>
            </w:r>
            <w:r>
              <w:rPr>
                <w:rFonts w:ascii="宋体" w:hAnsi="宋体" w:cs="宋体" w:eastAsia="宋体" w:hint="default"/>
                <w:w w:val="100"/>
                <w:sz w:val="21"/>
                <w:szCs w:val="21"/>
              </w:rPr>
              <w:t>息</w:t>
            </w:r>
            <w:r>
              <w:rPr>
                <w:rFonts w:ascii="宋体" w:hAnsi="宋体" w:cs="宋体" w:eastAsia="宋体" w:hint="default"/>
                <w:spacing w:val="-3"/>
                <w:w w:val="100"/>
                <w:sz w:val="21"/>
                <w:szCs w:val="21"/>
              </w:rPr>
              <w:t>数</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w:t>
            </w:r>
            <w:r>
              <w:rPr>
                <w:rFonts w:ascii="宋体" w:hAnsi="宋体" w:cs="宋体" w:eastAsia="宋体" w:hint="default"/>
                <w:w w:val="100"/>
                <w:sz w:val="21"/>
                <w:szCs w:val="21"/>
              </w:rPr>
              <w:t>税）</w:t>
            </w:r>
          </w:p>
        </w:tc>
        <w:tc>
          <w:tcPr>
            <w:tcW w:w="5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4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24"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股转增数（股）</w:t>
            </w:r>
          </w:p>
        </w:tc>
        <w:tc>
          <w:tcPr>
            <w:tcW w:w="5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4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120,000,000</w:t>
            </w:r>
          </w:p>
        </w:tc>
      </w:tr>
      <w:tr>
        <w:trPr>
          <w:trHeight w:val="322" w:hRule="exact"/>
        </w:trPr>
        <w:tc>
          <w:tcPr>
            <w:tcW w:w="4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现金</w:t>
            </w:r>
            <w:r>
              <w:rPr>
                <w:rFonts w:ascii="宋体" w:hAnsi="宋体" w:cs="宋体" w:eastAsia="宋体" w:hint="default"/>
                <w:spacing w:val="-3"/>
                <w:w w:val="100"/>
                <w:sz w:val="21"/>
                <w:szCs w:val="21"/>
              </w:rPr>
              <w:t>分</w:t>
            </w:r>
            <w:r>
              <w:rPr>
                <w:rFonts w:ascii="宋体" w:hAnsi="宋体" w:cs="宋体" w:eastAsia="宋体" w:hint="default"/>
                <w:w w:val="100"/>
                <w:sz w:val="21"/>
                <w:szCs w:val="21"/>
              </w:rPr>
              <w:t>红</w:t>
            </w:r>
            <w:r>
              <w:rPr>
                <w:rFonts w:ascii="宋体" w:hAnsi="宋体" w:cs="宋体" w:eastAsia="宋体" w:hint="default"/>
                <w:spacing w:val="-3"/>
                <w:w w:val="100"/>
                <w:sz w:val="21"/>
                <w:szCs w:val="21"/>
              </w:rPr>
              <w:t>总</w:t>
            </w:r>
            <w:r>
              <w:rPr>
                <w:rFonts w:ascii="宋体" w:hAnsi="宋体" w:cs="宋体" w:eastAsia="宋体" w:hint="default"/>
                <w:w w:val="100"/>
                <w:sz w:val="21"/>
                <w:szCs w:val="21"/>
              </w:rPr>
              <w:t>额</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含税</w:t>
            </w:r>
            <w:r>
              <w:rPr>
                <w:rFonts w:ascii="宋体" w:hAnsi="宋体" w:cs="宋体" w:eastAsia="宋体" w:hint="default"/>
                <w:w w:val="100"/>
                <w:sz w:val="21"/>
                <w:szCs w:val="21"/>
              </w:rPr>
              <w:t>）</w:t>
            </w:r>
          </w:p>
        </w:tc>
        <w:tc>
          <w:tcPr>
            <w:tcW w:w="5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26" w:hRule="exact"/>
        </w:trPr>
        <w:tc>
          <w:tcPr>
            <w:tcW w:w="4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101,395,405.53</w:t>
            </w:r>
          </w:p>
        </w:tc>
      </w:tr>
      <w:tr>
        <w:trPr>
          <w:trHeight w:val="317" w:hRule="exact"/>
        </w:trPr>
        <w:tc>
          <w:tcPr>
            <w:tcW w:w="95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2777"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w:t>
            </w:r>
          </w:p>
        </w:tc>
      </w:tr>
      <w:tr>
        <w:trPr>
          <w:trHeight w:val="1572" w:hRule="exact"/>
        </w:trPr>
        <w:tc>
          <w:tcPr>
            <w:tcW w:w="95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4" w:right="14" w:firstLine="420"/>
              <w:jc w:val="both"/>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年度，公司虽有盈利，但盈利有限，公司现金及现金等价物净增加额为</w:t>
            </w:r>
            <w:r>
              <w:rPr>
                <w:rFonts w:ascii="Times New Roman" w:hAnsi="Times New Roman" w:cs="Times New Roman" w:eastAsia="Times New Roman" w:hint="default"/>
                <w:sz w:val="21"/>
                <w:szCs w:val="21"/>
              </w:rPr>
              <w:t>-141,832,416.71</w:t>
            </w:r>
            <w:r>
              <w:rPr>
                <w:rFonts w:ascii="Times New Roman" w:hAnsi="Times New Roman" w:cs="Times New Roman" w:eastAsia="Times New Roman" w:hint="default"/>
                <w:spacing w:val="32"/>
                <w:sz w:val="21"/>
                <w:szCs w:val="21"/>
              </w:rPr>
              <w:t> </w:t>
            </w:r>
            <w:r>
              <w:rPr>
                <w:rFonts w:ascii="宋体" w:hAnsi="宋体" w:cs="宋体" w:eastAsia="宋体" w:hint="default"/>
                <w:spacing w:val="-3"/>
                <w:sz w:val="21"/>
                <w:szCs w:val="21"/>
              </w:rPr>
              <w:t>元，根</w:t>
            </w:r>
            <w:r>
              <w:rPr>
                <w:rFonts w:ascii="宋体" w:hAnsi="宋体" w:cs="宋体" w:eastAsia="宋体" w:hint="default"/>
                <w:w w:val="100"/>
                <w:sz w:val="21"/>
                <w:szCs w:val="21"/>
              </w:rPr>
              <w:t> </w:t>
            </w:r>
            <w:r>
              <w:rPr>
                <w:rFonts w:ascii="宋体" w:hAnsi="宋体" w:cs="宋体" w:eastAsia="宋体" w:hint="default"/>
                <w:spacing w:val="-2"/>
                <w:sz w:val="21"/>
                <w:szCs w:val="21"/>
              </w:rPr>
              <w:t>据公司章程第一百五十五条之规定，在此情形下，公司可以不进行分红。结合公司目前实际情况以及发</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2"/>
                <w:sz w:val="21"/>
                <w:szCs w:val="21"/>
              </w:rPr>
              <w:t>展需要，公司尚需集中资金开展技术研发、市场开拓以提高公司竞争能力，提升公司经营业绩。因此公</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z w:val="21"/>
                <w:szCs w:val="21"/>
              </w:rPr>
              <w:t>司董事会拟订 </w:t>
            </w:r>
            <w:r>
              <w:rPr>
                <w:rFonts w:ascii="Times New Roman" w:hAnsi="Times New Roman" w:cs="Times New Roman" w:eastAsia="Times New Roman" w:hint="default"/>
                <w:sz w:val="21"/>
                <w:szCs w:val="21"/>
              </w:rPr>
              <w:t>2012 </w:t>
            </w:r>
            <w:r>
              <w:rPr>
                <w:rFonts w:ascii="宋体" w:hAnsi="宋体" w:cs="宋体" w:eastAsia="宋体" w:hint="default"/>
                <w:spacing w:val="-4"/>
                <w:sz w:val="21"/>
                <w:szCs w:val="21"/>
              </w:rPr>
              <w:t>年度利润分配预案为：不分红、不转增、不送股。公司拟将盈利用于补充公司流动资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金，用于公司主营业务。</w:t>
            </w:r>
          </w:p>
        </w:tc>
      </w:tr>
    </w:tbl>
    <w:p>
      <w:pPr>
        <w:spacing w:line="240" w:lineRule="auto" w:before="0"/>
        <w:rPr>
          <w:rFonts w:ascii="宋体" w:hAnsi="宋体" w:cs="宋体" w:eastAsia="宋体" w:hint="default"/>
          <w:sz w:val="25"/>
          <w:szCs w:val="25"/>
        </w:rPr>
      </w:pPr>
    </w:p>
    <w:p>
      <w:pPr>
        <w:pStyle w:val="Heading4"/>
        <w:spacing w:line="240" w:lineRule="auto" w:before="26"/>
        <w:ind w:right="109"/>
        <w:jc w:val="left"/>
        <w:rPr>
          <w:b w:val="0"/>
          <w:bCs w:val="0"/>
        </w:rPr>
      </w:pPr>
      <w:bookmarkStart w:name="_bookmark32" w:id="33"/>
      <w:bookmarkEnd w:id="33"/>
      <w:r>
        <w:rPr>
          <w:b w:val="0"/>
          <w:bCs w:val="0"/>
        </w:rPr>
      </w:r>
      <w:r>
        <w:rPr>
          <w:rFonts w:ascii="Times New Roman" w:hAnsi="Times New Roman" w:cs="Times New Roman" w:eastAsia="Times New Roman" w:hint="default"/>
        </w:rPr>
        <w:t>3</w:t>
      </w:r>
      <w:r>
        <w:rPr/>
        <w:t>、公司近</w:t>
      </w:r>
      <w:r>
        <w:rPr>
          <w:spacing w:val="-62"/>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年（含报告期）的利润分配方案及资本公积金转增股本方案情况</w:t>
      </w:r>
      <w:r>
        <w:rPr>
          <w:b w:val="0"/>
          <w:bCs w:val="0"/>
        </w:rPr>
      </w:r>
    </w:p>
    <w:p>
      <w:pPr>
        <w:spacing w:line="240" w:lineRule="auto" w:before="12"/>
        <w:rPr>
          <w:rFonts w:ascii="宋体" w:hAnsi="宋体" w:cs="宋体" w:eastAsia="宋体" w:hint="default"/>
          <w:b/>
          <w:bCs/>
          <w:sz w:val="32"/>
          <w:szCs w:val="32"/>
        </w:rPr>
      </w:pPr>
    </w:p>
    <w:p>
      <w:pPr>
        <w:pStyle w:val="BodyText"/>
        <w:spacing w:line="348" w:lineRule="auto"/>
        <w:ind w:left="137" w:right="232" w:firstLine="48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年利润分配方案：根据公司生产经营情况和现金流状况，公司总部办公大楼建 </w:t>
      </w:r>
      <w:r>
        <w:rPr>
          <w:spacing w:val="-3"/>
        </w:rPr>
        <w:t>设、新产品研发及新业务模式探索尚需较大流动资金的要求，结合在建项目建设资金需求及</w:t>
      </w:r>
      <w:r>
        <w:rPr>
          <w:spacing w:val="-106"/>
        </w:rPr>
        <w:t> </w:t>
      </w:r>
      <w:r>
        <w:rPr>
          <w:spacing w:val="-106"/>
        </w:rPr>
      </w:r>
      <w:r>
        <w:rPr/>
        <w:t>未来发展，公司董事会决定暂不分红、不送股、不转增。</w:t>
      </w:r>
    </w:p>
    <w:p>
      <w:pPr>
        <w:pStyle w:val="BodyText"/>
        <w:spacing w:line="240" w:lineRule="auto" w:before="46"/>
        <w:ind w:left="617" w:right="109"/>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2010</w:t>
      </w:r>
      <w:r>
        <w:rPr/>
        <w:t>年利润分配方案：以</w:t>
      </w:r>
      <w:r>
        <w:rPr>
          <w:rFonts w:ascii="Times New Roman" w:hAnsi="Times New Roman" w:cs="Times New Roman" w:eastAsia="Times New Roman" w:hint="default"/>
        </w:rPr>
        <w:t>2010</w:t>
      </w:r>
      <w:r>
        <w:rPr/>
        <w:t>年末总股本</w:t>
      </w:r>
      <w:r>
        <w:rPr>
          <w:rFonts w:ascii="Times New Roman" w:hAnsi="Times New Roman" w:cs="Times New Roman" w:eastAsia="Times New Roman" w:hint="default"/>
        </w:rPr>
        <w:t>75,000,000</w:t>
      </w:r>
      <w:r>
        <w:rPr/>
        <w:t>股为基数，每</w:t>
      </w:r>
      <w:r>
        <w:rPr>
          <w:rFonts w:ascii="Times New Roman" w:hAnsi="Times New Roman" w:cs="Times New Roman" w:eastAsia="Times New Roman" w:hint="default"/>
        </w:rPr>
        <w:t>10</w:t>
      </w:r>
      <w:r>
        <w:rPr/>
        <w:t>股派发现金</w:t>
      </w:r>
      <w:r>
        <w:rPr>
          <w:rFonts w:ascii="Times New Roman" w:hAnsi="Times New Roman" w:cs="Times New Roman" w:eastAsia="Times New Roman" w:hint="default"/>
        </w:rPr>
        <w:t>2</w:t>
      </w:r>
      <w:r>
        <w:rPr/>
        <w:t>元</w:t>
      </w:r>
    </w:p>
    <w:p>
      <w:pPr>
        <w:pStyle w:val="BodyText"/>
        <w:spacing w:line="338" w:lineRule="auto" w:before="135"/>
        <w:ind w:left="137" w:right="103"/>
        <w:jc w:val="left"/>
      </w:pPr>
      <w:r>
        <w:rPr>
          <w:spacing w:val="-4"/>
        </w:rPr>
        <w:t>（含税），合计派发现金</w:t>
      </w:r>
      <w:r>
        <w:rPr>
          <w:rFonts w:ascii="Times New Roman" w:hAnsi="Times New Roman" w:cs="Times New Roman" w:eastAsia="Times New Roman" w:hint="default"/>
          <w:spacing w:val="-4"/>
        </w:rPr>
        <w:t>1,500</w:t>
      </w:r>
      <w:r>
        <w:rPr>
          <w:spacing w:val="-4"/>
        </w:rPr>
        <w:t>万元（含税），同时以资本公积金向全体股东每</w:t>
      </w:r>
      <w:r>
        <w:rPr>
          <w:rFonts w:ascii="Times New Roman" w:hAnsi="Times New Roman" w:cs="Times New Roman" w:eastAsia="Times New Roman" w:hint="default"/>
          <w:spacing w:val="-4"/>
        </w:rPr>
        <w:t>10</w:t>
      </w:r>
      <w:r>
        <w:rPr>
          <w:spacing w:val="-4"/>
        </w:rPr>
        <w:t>股转增</w:t>
      </w:r>
      <w:r>
        <w:rPr>
          <w:rFonts w:ascii="Times New Roman" w:hAnsi="Times New Roman" w:cs="Times New Roman" w:eastAsia="Times New Roman" w:hint="default"/>
          <w:spacing w:val="-4"/>
        </w:rPr>
        <w:t>6</w:t>
      </w:r>
      <w:r>
        <w:rPr>
          <w:spacing w:val="-4"/>
        </w:rPr>
        <w:t>股，</w:t>
      </w:r>
      <w:r>
        <w:rPr>
          <w:spacing w:val="-105"/>
        </w:rPr>
        <w:t> </w:t>
      </w:r>
      <w:r>
        <w:rPr/>
        <w:t>合计转增</w:t>
      </w:r>
      <w:r>
        <w:rPr>
          <w:rFonts w:ascii="Times New Roman" w:hAnsi="Times New Roman" w:cs="Times New Roman" w:eastAsia="Times New Roman" w:hint="default"/>
        </w:rPr>
        <w:t>4,500</w:t>
      </w:r>
      <w:r>
        <w:rPr/>
        <w:t>万股。</w:t>
      </w:r>
    </w:p>
    <w:p>
      <w:pPr>
        <w:pStyle w:val="BodyText"/>
        <w:spacing w:line="240" w:lineRule="auto" w:before="27"/>
        <w:ind w:left="617" w:right="109"/>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2009</w:t>
      </w:r>
      <w:r>
        <w:rPr>
          <w:rFonts w:ascii="Times New Roman" w:hAnsi="Times New Roman" w:cs="Times New Roman" w:eastAsia="Times New Roman" w:hint="default"/>
          <w:spacing w:val="-2"/>
        </w:rPr>
        <w:t> </w:t>
      </w:r>
      <w:r>
        <w:rPr/>
        <w:t>年利润分配方案：以</w:t>
      </w:r>
      <w:r>
        <w:rPr>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年末总股本</w:t>
      </w:r>
      <w:r>
        <w:rPr>
          <w:spacing w:val="-62"/>
        </w:rPr>
        <w:t> </w:t>
      </w:r>
      <w:r>
        <w:rPr>
          <w:rFonts w:ascii="Times New Roman" w:hAnsi="Times New Roman" w:cs="Times New Roman" w:eastAsia="Times New Roman" w:hint="default"/>
        </w:rPr>
        <w:t>75,000,000</w:t>
      </w:r>
      <w:r>
        <w:rPr>
          <w:rFonts w:ascii="Times New Roman" w:hAnsi="Times New Roman" w:cs="Times New Roman" w:eastAsia="Times New Roman" w:hint="default"/>
          <w:spacing w:val="-2"/>
        </w:rPr>
        <w:t> </w:t>
      </w:r>
      <w:r>
        <w:rPr>
          <w:spacing w:val="-3"/>
        </w:rPr>
        <w:t>股为基数，每</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w:t>
      </w:r>
    </w:p>
    <w:p>
      <w:pPr>
        <w:pStyle w:val="BodyText"/>
        <w:spacing w:line="240" w:lineRule="auto" w:before="135"/>
        <w:ind w:left="137" w:right="109"/>
        <w:jc w:val="left"/>
      </w:pPr>
      <w:r>
        <w:rPr/>
        <w:t>红利</w:t>
      </w:r>
      <w:r>
        <w:rPr>
          <w:spacing w:val="-60"/>
        </w:rPr>
        <w:t> </w:t>
      </w:r>
      <w:r>
        <w:rPr>
          <w:rFonts w:ascii="Times New Roman" w:hAnsi="Times New Roman" w:cs="Times New Roman" w:eastAsia="Times New Roman" w:hint="default"/>
        </w:rPr>
        <w:t>2 </w:t>
      </w:r>
      <w:r>
        <w:rPr/>
        <w:t>元（含税）。</w:t>
      </w:r>
    </w:p>
    <w:p>
      <w:pPr>
        <w:spacing w:after="0" w:line="240" w:lineRule="auto"/>
        <w:jc w:val="left"/>
        <w:sectPr>
          <w:pgSz w:w="11910" w:h="16840"/>
          <w:pgMar w:header="884" w:footer="1007" w:top="1140" w:bottom="1200" w:left="1140" w:right="900"/>
        </w:sectPr>
      </w:pPr>
    </w:p>
    <w:p>
      <w:pPr>
        <w:spacing w:line="240" w:lineRule="auto" w:before="6"/>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4" w:footer="1007" w:top="1140" w:bottom="1200" w:left="1140" w:right="980"/>
        </w:sectPr>
      </w:pPr>
    </w:p>
    <w:p>
      <w:pPr>
        <w:pStyle w:val="BodyText"/>
        <w:spacing w:line="240" w:lineRule="auto" w:before="26"/>
        <w:ind w:left="3445" w:right="-20"/>
        <w:jc w:val="left"/>
      </w:pPr>
      <w:r>
        <w:rPr/>
        <w:t>公司近三年现金分红情况表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1"/>
        <w:rPr>
          <w:rFonts w:ascii="宋体" w:hAnsi="宋体" w:cs="宋体" w:eastAsia="宋体" w:hint="default"/>
          <w:sz w:val="13"/>
          <w:szCs w:val="13"/>
        </w:rPr>
      </w:pPr>
    </w:p>
    <w:p>
      <w:pPr>
        <w:spacing w:before="0"/>
        <w:ind w:left="0" w:right="146"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after="0"/>
        <w:jc w:val="right"/>
        <w:rPr>
          <w:rFonts w:ascii="宋体" w:hAnsi="宋体" w:cs="宋体" w:eastAsia="宋体" w:hint="default"/>
          <w:sz w:val="21"/>
          <w:szCs w:val="21"/>
        </w:rPr>
        <w:sectPr>
          <w:type w:val="continuous"/>
          <w:pgSz w:w="11910" w:h="16840"/>
          <w:pgMar w:top="440" w:bottom="280" w:left="1140" w:right="980"/>
          <w:cols w:num="2" w:equalWidth="0">
            <w:col w:w="6326" w:space="40"/>
            <w:col w:w="3424"/>
          </w:cols>
        </w:sectPr>
      </w:pPr>
    </w:p>
    <w:p>
      <w:pPr>
        <w:spacing w:line="240" w:lineRule="auto" w:before="6"/>
        <w:rPr>
          <w:rFonts w:ascii="宋体" w:hAnsi="宋体" w:cs="宋体" w:eastAsia="宋体" w:hint="default"/>
          <w:sz w:val="5"/>
          <w:szCs w:val="5"/>
        </w:rPr>
      </w:pPr>
    </w:p>
    <w:tbl>
      <w:tblPr>
        <w:tblW w:w="0" w:type="auto"/>
        <w:jc w:val="left"/>
        <w:tblInd w:w="115" w:type="dxa"/>
        <w:tblLayout w:type="fixed"/>
        <w:tblCellMar>
          <w:top w:w="0" w:type="dxa"/>
          <w:left w:w="0" w:type="dxa"/>
          <w:bottom w:w="0" w:type="dxa"/>
          <w:right w:w="0" w:type="dxa"/>
        </w:tblCellMar>
        <w:tblLook w:val="01E0"/>
      </w:tblPr>
      <w:tblGrid>
        <w:gridCol w:w="1627"/>
        <w:gridCol w:w="2331"/>
        <w:gridCol w:w="2792"/>
        <w:gridCol w:w="2792"/>
      </w:tblGrid>
      <w:tr>
        <w:trPr>
          <w:trHeight w:val="182" w:hRule="exact"/>
        </w:trPr>
        <w:tc>
          <w:tcPr>
            <w:tcW w:w="1627" w:type="dxa"/>
            <w:tcBorders>
              <w:top w:val="single" w:sz="4" w:space="0" w:color="000000"/>
              <w:left w:val="single" w:sz="4" w:space="0" w:color="000000"/>
              <w:bottom w:val="nil" w:sz="6" w:space="0" w:color="auto"/>
              <w:right w:val="single" w:sz="4" w:space="0" w:color="000000"/>
            </w:tcBorders>
            <w:shd w:val="clear" w:color="auto" w:fill="D2D2D2"/>
          </w:tcPr>
          <w:p>
            <w:pPr/>
          </w:p>
        </w:tc>
        <w:tc>
          <w:tcPr>
            <w:tcW w:w="2331"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9"/>
              <w:ind w:left="335" w:right="125" w:hanging="212"/>
              <w:jc w:val="left"/>
              <w:rPr>
                <w:rFonts w:ascii="宋体" w:hAnsi="宋体" w:cs="宋体" w:eastAsia="宋体" w:hint="default"/>
                <w:sz w:val="21"/>
                <w:szCs w:val="21"/>
              </w:rPr>
            </w:pPr>
            <w:r>
              <w:rPr>
                <w:rFonts w:ascii="宋体" w:hAnsi="宋体" w:cs="宋体" w:eastAsia="宋体" w:hint="default"/>
                <w:b/>
                <w:bCs/>
                <w:sz w:val="21"/>
                <w:szCs w:val="21"/>
              </w:rPr>
              <w:t>分红年度合并报表中归属于</w:t>
            </w:r>
            <w:r>
              <w:rPr>
                <w:rFonts w:ascii="宋体" w:hAnsi="宋体" w:cs="宋体" w:eastAsia="宋体" w:hint="default"/>
                <w:b/>
                <w:bCs/>
                <w:w w:val="100"/>
                <w:sz w:val="21"/>
                <w:szCs w:val="21"/>
              </w:rPr>
              <w:t> </w:t>
            </w:r>
            <w:r>
              <w:rPr>
                <w:rFonts w:ascii="宋体" w:hAnsi="宋体" w:cs="宋体" w:eastAsia="宋体" w:hint="default"/>
                <w:b/>
                <w:bCs/>
                <w:sz w:val="21"/>
                <w:szCs w:val="21"/>
              </w:rPr>
              <w:t>上市公司股东的净利润</w:t>
            </w:r>
            <w:r>
              <w:rPr>
                <w:rFonts w:ascii="宋体" w:hAnsi="宋体" w:cs="宋体" w:eastAsia="宋体" w:hint="default"/>
                <w:sz w:val="21"/>
                <w:szCs w:val="21"/>
              </w:rPr>
            </w:r>
          </w:p>
        </w:tc>
        <w:tc>
          <w:tcPr>
            <w:tcW w:w="27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9"/>
              <w:ind w:left="23" w:right="17" w:firstLine="103"/>
              <w:jc w:val="left"/>
              <w:rPr>
                <w:rFonts w:ascii="宋体" w:hAnsi="宋体" w:cs="宋体" w:eastAsia="宋体" w:hint="default"/>
                <w:sz w:val="21"/>
                <w:szCs w:val="21"/>
              </w:rPr>
            </w:pPr>
            <w:r>
              <w:rPr>
                <w:rFonts w:ascii="宋体" w:hAnsi="宋体" w:cs="宋体" w:eastAsia="宋体" w:hint="default"/>
                <w:b/>
                <w:bCs/>
                <w:sz w:val="21"/>
                <w:szCs w:val="21"/>
              </w:rPr>
              <w:t>占合并报表中归属于上市公</w:t>
            </w:r>
            <w:r>
              <w:rPr>
                <w:rFonts w:ascii="宋体" w:hAnsi="宋体" w:cs="宋体" w:eastAsia="宋体" w:hint="default"/>
                <w:b/>
                <w:bCs/>
                <w:w w:val="100"/>
                <w:sz w:val="21"/>
                <w:szCs w:val="21"/>
              </w:rPr>
              <w:t> </w:t>
            </w:r>
            <w:r>
              <w:rPr>
                <w:rFonts w:ascii="宋体" w:hAnsi="宋体" w:cs="宋体" w:eastAsia="宋体" w:hint="default"/>
                <w:b/>
                <w:bCs/>
                <w:sz w:val="21"/>
                <w:szCs w:val="21"/>
              </w:rPr>
              <w:t>司股东的净利润的比率（</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12" w:hRule="exact"/>
        </w:trPr>
        <w:tc>
          <w:tcPr>
            <w:tcW w:w="16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7"/>
              <w:jc w:val="center"/>
              <w:rPr>
                <w:rFonts w:ascii="宋体" w:hAnsi="宋体" w:cs="宋体" w:eastAsia="宋体" w:hint="default"/>
                <w:sz w:val="21"/>
                <w:szCs w:val="21"/>
              </w:rPr>
            </w:pPr>
            <w:r>
              <w:rPr>
                <w:rFonts w:ascii="宋体" w:hAnsi="宋体" w:cs="宋体" w:eastAsia="宋体" w:hint="default"/>
                <w:b/>
                <w:bCs/>
                <w:sz w:val="21"/>
                <w:szCs w:val="21"/>
              </w:rPr>
              <w:t>分红年度</w:t>
            </w:r>
            <w:r>
              <w:rPr>
                <w:rFonts w:ascii="宋体" w:hAnsi="宋体" w:cs="宋体" w:eastAsia="宋体" w:hint="default"/>
                <w:sz w:val="21"/>
                <w:szCs w:val="21"/>
              </w:rPr>
            </w:r>
          </w:p>
        </w:tc>
        <w:tc>
          <w:tcPr>
            <w:tcW w:w="23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现金分红金额（含税）</w:t>
            </w:r>
            <w:r>
              <w:rPr>
                <w:rFonts w:ascii="宋体" w:hAnsi="宋体" w:cs="宋体" w:eastAsia="宋体" w:hint="default"/>
                <w:sz w:val="21"/>
                <w:szCs w:val="21"/>
              </w:rPr>
            </w:r>
          </w:p>
        </w:tc>
        <w:tc>
          <w:tcPr>
            <w:tcW w:w="2792" w:type="dxa"/>
            <w:vMerge/>
            <w:tcBorders>
              <w:left w:val="single" w:sz="4" w:space="0" w:color="000000"/>
              <w:right w:val="single" w:sz="4" w:space="0" w:color="000000"/>
            </w:tcBorders>
            <w:shd w:val="clear" w:color="auto" w:fill="D2D2D2"/>
          </w:tcPr>
          <w:p>
            <w:pPr/>
          </w:p>
        </w:tc>
        <w:tc>
          <w:tcPr>
            <w:tcW w:w="2792" w:type="dxa"/>
            <w:vMerge/>
            <w:tcBorders>
              <w:left w:val="single" w:sz="4" w:space="0" w:color="000000"/>
              <w:right w:val="single" w:sz="4" w:space="0" w:color="000000"/>
            </w:tcBorders>
            <w:shd w:val="clear" w:color="auto" w:fill="D2D2D2"/>
          </w:tcPr>
          <w:p>
            <w:pPr/>
          </w:p>
        </w:tc>
      </w:tr>
      <w:tr>
        <w:trPr>
          <w:trHeight w:val="176" w:hRule="exact"/>
        </w:trPr>
        <w:tc>
          <w:tcPr>
            <w:tcW w:w="162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31" w:type="dxa"/>
            <w:tcBorders>
              <w:top w:val="nil" w:sz="6" w:space="0" w:color="auto"/>
              <w:left w:val="single" w:sz="4" w:space="0" w:color="000000"/>
              <w:bottom w:val="single" w:sz="4" w:space="0" w:color="000000"/>
              <w:right w:val="single" w:sz="4" w:space="0" w:color="000000"/>
            </w:tcBorders>
            <w:shd w:val="clear" w:color="auto" w:fill="D2D2D2"/>
          </w:tcPr>
          <w:p>
            <w:pPr/>
          </w:p>
        </w:tc>
        <w:tc>
          <w:tcPr>
            <w:tcW w:w="2792" w:type="dxa"/>
            <w:vMerge/>
            <w:tcBorders>
              <w:left w:val="single" w:sz="4" w:space="0" w:color="000000"/>
              <w:bottom w:val="single" w:sz="4" w:space="0" w:color="000000"/>
              <w:right w:val="single" w:sz="4" w:space="0" w:color="000000"/>
            </w:tcBorders>
            <w:shd w:val="clear" w:color="auto" w:fill="D2D2D2"/>
          </w:tcPr>
          <w:p>
            <w:pPr/>
          </w:p>
        </w:tc>
        <w:tc>
          <w:tcPr>
            <w:tcW w:w="2792" w:type="dxa"/>
            <w:vMerge/>
            <w:tcBorders>
              <w:left w:val="single" w:sz="4" w:space="0" w:color="000000"/>
              <w:bottom w:val="single" w:sz="4" w:space="0" w:color="000000"/>
              <w:right w:val="single" w:sz="4" w:space="0" w:color="000000"/>
            </w:tcBorders>
            <w:shd w:val="clear" w:color="auto" w:fill="D2D2D2"/>
          </w:tcPr>
          <w:p>
            <w:pPr/>
          </w:p>
        </w:tc>
      </w:tr>
      <w:tr>
        <w:trPr>
          <w:trHeight w:val="347" w:hRule="exact"/>
        </w:trPr>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9"/>
              <w:ind w:right="11"/>
              <w:jc w:val="center"/>
              <w:rPr>
                <w:rFonts w:ascii="Times New Roman" w:hAnsi="Times New Roman" w:cs="Times New Roman" w:eastAsia="Times New Roman" w:hint="default"/>
                <w:sz w:val="21"/>
                <w:szCs w:val="21"/>
              </w:rPr>
            </w:pPr>
            <w:r>
              <w:rPr>
                <w:rFonts w:ascii="Times New Roman"/>
                <w:w w:val="100"/>
                <w:sz w:val="21"/>
              </w:rPr>
              <w:t>0</w:t>
            </w:r>
          </w:p>
        </w:tc>
        <w:tc>
          <w:tcPr>
            <w:tcW w:w="2792"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39"/>
              <w:ind w:right="0"/>
              <w:jc w:val="center"/>
              <w:rPr>
                <w:rFonts w:ascii="Times New Roman" w:hAnsi="Times New Roman" w:cs="Times New Roman" w:eastAsia="Times New Roman" w:hint="default"/>
                <w:sz w:val="21"/>
                <w:szCs w:val="21"/>
              </w:rPr>
            </w:pPr>
            <w:r>
              <w:rPr>
                <w:rFonts w:ascii="Times New Roman"/>
                <w:sz w:val="21"/>
              </w:rPr>
              <w:t>5,371,349.59</w:t>
            </w:r>
          </w:p>
        </w:tc>
        <w:tc>
          <w:tcPr>
            <w:tcW w:w="2792"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39"/>
              <w:ind w:left="2"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right="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1"/>
              <w:jc w:val="center"/>
              <w:rPr>
                <w:rFonts w:ascii="Times New Roman" w:hAnsi="Times New Roman" w:cs="Times New Roman" w:eastAsia="Times New Roman" w:hint="default"/>
                <w:sz w:val="21"/>
                <w:szCs w:val="21"/>
              </w:rPr>
            </w:pPr>
            <w:r>
              <w:rPr>
                <w:rFonts w:ascii="Times New Roman"/>
                <w:w w:val="100"/>
                <w:sz w:val="21"/>
              </w:rPr>
              <w:t>0</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46,761,088.46</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24" w:hRule="exact"/>
        </w:trPr>
        <w:tc>
          <w:tcPr>
            <w:tcW w:w="1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right="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23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10"/>
              <w:jc w:val="center"/>
              <w:rPr>
                <w:rFonts w:ascii="Times New Roman" w:hAnsi="Times New Roman" w:cs="Times New Roman" w:eastAsia="Times New Roman" w:hint="default"/>
                <w:sz w:val="21"/>
                <w:szCs w:val="21"/>
              </w:rPr>
            </w:pPr>
            <w:r>
              <w:rPr>
                <w:rFonts w:ascii="Times New Roman"/>
                <w:sz w:val="21"/>
              </w:rPr>
              <w:t>15,000,000</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45,074,544.68</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33.28</w:t>
            </w:r>
          </w:p>
        </w:tc>
      </w:tr>
    </w:tbl>
    <w:p>
      <w:pPr>
        <w:spacing w:line="240" w:lineRule="auto" w:before="10"/>
        <w:rPr>
          <w:rFonts w:ascii="宋体" w:hAnsi="宋体" w:cs="宋体" w:eastAsia="宋体" w:hint="default"/>
          <w:sz w:val="23"/>
          <w:szCs w:val="23"/>
        </w:rPr>
      </w:pPr>
    </w:p>
    <w:p>
      <w:pPr>
        <w:pStyle w:val="Heading4"/>
        <w:spacing w:line="240" w:lineRule="auto" w:before="26"/>
        <w:ind w:right="0"/>
        <w:jc w:val="left"/>
        <w:rPr>
          <w:b w:val="0"/>
          <w:bCs w:val="0"/>
        </w:rPr>
      </w:pPr>
      <w:bookmarkStart w:name="_bookmark33" w:id="34"/>
      <w:bookmarkEnd w:id="34"/>
      <w:r>
        <w:rPr>
          <w:b w:val="0"/>
          <w:bCs w:val="0"/>
        </w:rPr>
      </w:r>
      <w:r>
        <w:rPr>
          <w:rFonts w:ascii="Times New Roman" w:hAnsi="Times New Roman" w:cs="Times New Roman" w:eastAsia="Times New Roman" w:hint="default"/>
        </w:rPr>
        <w:t>4</w:t>
      </w:r>
      <w:r>
        <w:rPr/>
        <w:t>、公司报告期内盈利且母公司未分配利润为正但未提出现金红利分配预案</w:t>
      </w:r>
      <w:r>
        <w:rPr>
          <w:b w:val="0"/>
          <w:bCs w:val="0"/>
        </w:rPr>
      </w:r>
    </w:p>
    <w:p>
      <w:pPr>
        <w:spacing w:line="240" w:lineRule="auto" w:before="13"/>
        <w:rPr>
          <w:rFonts w:ascii="宋体" w:hAnsi="宋体" w:cs="宋体" w:eastAsia="宋体" w:hint="default"/>
          <w:b/>
          <w:bCs/>
          <w:sz w:val="32"/>
          <w:szCs w:val="32"/>
        </w:rPr>
      </w:pPr>
    </w:p>
    <w:p>
      <w:pPr>
        <w:spacing w:before="0"/>
        <w:ind w:left="137" w:right="0" w:firstLine="0"/>
        <w:jc w:val="left"/>
        <w:rPr>
          <w:rFonts w:ascii="宋体" w:hAnsi="宋体" w:cs="宋体" w:eastAsia="宋体" w:hint="default"/>
          <w:sz w:val="24"/>
          <w:szCs w:val="24"/>
        </w:rPr>
      </w:pPr>
      <w:r>
        <w:rPr>
          <w:rFonts w:ascii="Times New Roman" w:hAnsi="Times New Roman" w:cs="Times New Roman" w:eastAsia="Times New Roman" w:hint="default"/>
          <w:sz w:val="20"/>
          <w:szCs w:val="20"/>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 </w:t>
      </w:r>
      <w:r>
        <w:rPr>
          <w:rFonts w:ascii="Times New Roman" w:hAnsi="Times New Roman" w:cs="Times New Roman" w:eastAsia="Times New Roman" w:hint="default"/>
          <w:spacing w:val="18"/>
          <w:sz w:val="24"/>
          <w:szCs w:val="24"/>
        </w:rPr>
        <w:t> </w:t>
      </w:r>
      <w:r>
        <w:rPr>
          <w:rFonts w:ascii="宋体" w:hAnsi="宋体" w:cs="宋体" w:eastAsia="宋体" w:hint="default"/>
          <w:sz w:val="24"/>
          <w:szCs w:val="24"/>
        </w:rPr>
        <w:t>不适用</w:t>
      </w:r>
    </w:p>
    <w:p>
      <w:pPr>
        <w:spacing w:line="240" w:lineRule="auto" w:before="5"/>
        <w:rPr>
          <w:rFonts w:ascii="宋体" w:hAnsi="宋体" w:cs="宋体" w:eastAsia="宋体" w:hint="default"/>
          <w:sz w:val="7"/>
          <w:szCs w:val="7"/>
        </w:rPr>
      </w:pPr>
    </w:p>
    <w:tbl>
      <w:tblPr>
        <w:tblW w:w="0" w:type="auto"/>
        <w:jc w:val="left"/>
        <w:tblInd w:w="103" w:type="dxa"/>
        <w:tblLayout w:type="fixed"/>
        <w:tblCellMar>
          <w:top w:w="0" w:type="dxa"/>
          <w:left w:w="0" w:type="dxa"/>
          <w:bottom w:w="0" w:type="dxa"/>
          <w:right w:w="0" w:type="dxa"/>
        </w:tblCellMar>
        <w:tblLook w:val="01E0"/>
      </w:tblPr>
      <w:tblGrid>
        <w:gridCol w:w="5843"/>
        <w:gridCol w:w="3711"/>
      </w:tblGrid>
      <w:tr>
        <w:trPr>
          <w:trHeight w:val="634" w:hRule="exact"/>
        </w:trPr>
        <w:tc>
          <w:tcPr>
            <w:tcW w:w="5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334" w:right="1122" w:hanging="212"/>
              <w:jc w:val="left"/>
              <w:rPr>
                <w:rFonts w:ascii="宋体" w:hAnsi="宋体" w:cs="宋体" w:eastAsia="宋体" w:hint="default"/>
                <w:sz w:val="21"/>
                <w:szCs w:val="21"/>
              </w:rPr>
            </w:pPr>
            <w:r>
              <w:rPr>
                <w:rFonts w:ascii="宋体" w:hAnsi="宋体" w:cs="宋体" w:eastAsia="宋体" w:hint="default"/>
                <w:b/>
                <w:bCs/>
                <w:sz w:val="21"/>
                <w:szCs w:val="21"/>
              </w:rPr>
              <w:t>报告期内盈利且母公司未分配利润为正</w:t>
            </w:r>
            <w:r>
              <w:rPr>
                <w:rFonts w:ascii="宋体" w:hAnsi="宋体" w:cs="宋体" w:eastAsia="宋体" w:hint="default"/>
                <w:b/>
                <w:bCs/>
                <w:w w:val="100"/>
                <w:sz w:val="21"/>
                <w:szCs w:val="21"/>
              </w:rPr>
              <w:t> </w:t>
            </w:r>
            <w:r>
              <w:rPr>
                <w:rFonts w:ascii="宋体" w:hAnsi="宋体" w:cs="宋体" w:eastAsia="宋体" w:hint="default"/>
                <w:b/>
                <w:bCs/>
                <w:sz w:val="21"/>
                <w:szCs w:val="21"/>
              </w:rPr>
              <w:t>但未提出现金红利分配预案的原因</w:t>
            </w:r>
            <w:r>
              <w:rPr>
                <w:rFonts w:ascii="宋体" w:hAnsi="宋体" w:cs="宋体" w:eastAsia="宋体" w:hint="default"/>
                <w:sz w:val="21"/>
                <w:szCs w:val="21"/>
              </w:rPr>
            </w:r>
          </w:p>
        </w:tc>
        <w:tc>
          <w:tcPr>
            <w:tcW w:w="3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68" w:right="0"/>
              <w:jc w:val="left"/>
              <w:rPr>
                <w:rFonts w:ascii="宋体" w:hAnsi="宋体" w:cs="宋体" w:eastAsia="宋体" w:hint="default"/>
                <w:sz w:val="21"/>
                <w:szCs w:val="21"/>
              </w:rPr>
            </w:pPr>
            <w:r>
              <w:rPr>
                <w:rFonts w:ascii="宋体" w:hAnsi="宋体" w:cs="宋体" w:eastAsia="宋体" w:hint="default"/>
                <w:b/>
                <w:bCs/>
                <w:sz w:val="21"/>
                <w:szCs w:val="21"/>
              </w:rPr>
              <w:t>公司未分配利润的用途和使用计划</w:t>
            </w:r>
            <w:r>
              <w:rPr>
                <w:rFonts w:ascii="宋体" w:hAnsi="宋体" w:cs="宋体" w:eastAsia="宋体" w:hint="default"/>
                <w:sz w:val="21"/>
                <w:szCs w:val="21"/>
              </w:rPr>
            </w:r>
          </w:p>
        </w:tc>
      </w:tr>
      <w:tr>
        <w:trPr>
          <w:trHeight w:val="1882" w:hRule="exact"/>
        </w:trPr>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4" w:right="17"/>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年度，公司虽有盈利，且公司未分配利润为正。但盈利有</w:t>
            </w:r>
            <w:r>
              <w:rPr>
                <w:rFonts w:ascii="宋体" w:hAnsi="宋体" w:cs="宋体" w:eastAsia="宋体" w:hint="default"/>
                <w:w w:val="100"/>
                <w:sz w:val="21"/>
                <w:szCs w:val="21"/>
              </w:rPr>
              <w:t> </w:t>
            </w:r>
            <w:r>
              <w:rPr>
                <w:rFonts w:ascii="宋体" w:hAnsi="宋体" w:cs="宋体" w:eastAsia="宋体" w:hint="default"/>
                <w:sz w:val="21"/>
                <w:szCs w:val="21"/>
              </w:rPr>
              <w:t>限，公司现金及现金等价物净增加额为</w:t>
            </w:r>
            <w:r>
              <w:rPr>
                <w:rFonts w:ascii="Times New Roman" w:hAnsi="Times New Roman" w:cs="Times New Roman" w:eastAsia="Times New Roman" w:hint="default"/>
                <w:sz w:val="21"/>
                <w:szCs w:val="21"/>
              </w:rPr>
              <w:t>-141,832,416.71</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元，根</w:t>
            </w:r>
            <w:r>
              <w:rPr>
                <w:rFonts w:ascii="宋体" w:hAnsi="宋体" w:cs="宋体" w:eastAsia="宋体" w:hint="default"/>
                <w:w w:val="100"/>
                <w:sz w:val="21"/>
                <w:szCs w:val="21"/>
              </w:rPr>
              <w:t> </w:t>
            </w:r>
            <w:r>
              <w:rPr>
                <w:rFonts w:ascii="宋体" w:hAnsi="宋体" w:cs="宋体" w:eastAsia="宋体" w:hint="default"/>
                <w:spacing w:val="-5"/>
                <w:sz w:val="21"/>
                <w:szCs w:val="21"/>
              </w:rPr>
              <w:t>据公司章程第一百五十五条之规定，在此情形下，公司可以不进</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5"/>
                <w:sz w:val="21"/>
                <w:szCs w:val="21"/>
              </w:rPr>
              <w:t>行分红。结合公司目前实际情况以及发展需要，公司尚需集中资</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pacing w:val="-5"/>
                <w:sz w:val="21"/>
                <w:szCs w:val="21"/>
              </w:rPr>
              <w:t>金开展技术研发、市场开拓以提高公司竞争能力，提升公司经营</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业绩。</w:t>
            </w:r>
          </w:p>
        </w:tc>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73" w:lineRule="auto"/>
              <w:ind w:left="21" w:right="103"/>
              <w:jc w:val="left"/>
              <w:rPr>
                <w:rFonts w:ascii="宋体" w:hAnsi="宋体" w:cs="宋体" w:eastAsia="宋体" w:hint="default"/>
                <w:sz w:val="21"/>
                <w:szCs w:val="21"/>
              </w:rPr>
            </w:pPr>
            <w:r>
              <w:rPr>
                <w:rFonts w:ascii="宋体" w:hAnsi="宋体" w:cs="宋体" w:eastAsia="宋体" w:hint="default"/>
                <w:spacing w:val="-2"/>
                <w:sz w:val="21"/>
                <w:szCs w:val="21"/>
              </w:rPr>
              <w:t>公司拟将盈利用于补充公司流动资金，</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用于公司主营业务。</w:t>
            </w:r>
          </w:p>
        </w:tc>
      </w:tr>
    </w:tbl>
    <w:p>
      <w:pPr>
        <w:spacing w:line="240" w:lineRule="auto" w:before="1"/>
        <w:rPr>
          <w:rFonts w:ascii="宋体" w:hAnsi="宋体" w:cs="宋体" w:eastAsia="宋体" w:hint="default"/>
          <w:sz w:val="18"/>
          <w:szCs w:val="18"/>
        </w:rPr>
      </w:pPr>
    </w:p>
    <w:p>
      <w:pPr>
        <w:pStyle w:val="Heading4"/>
        <w:spacing w:line="240" w:lineRule="auto" w:before="26"/>
        <w:ind w:right="0"/>
        <w:jc w:val="left"/>
        <w:rPr>
          <w:b w:val="0"/>
          <w:bCs w:val="0"/>
        </w:rPr>
      </w:pPr>
      <w:bookmarkStart w:name="_bookmark34" w:id="35"/>
      <w:bookmarkEnd w:id="35"/>
      <w:r>
        <w:rPr>
          <w:b w:val="0"/>
          <w:bCs w:val="0"/>
        </w:rPr>
      </w:r>
      <w:r>
        <w:rPr/>
        <w:t>七、内幕信息知情人管理制度的建立和执行情况</w:t>
      </w:r>
      <w:r>
        <w:rPr>
          <w:b w:val="0"/>
          <w:bCs w:val="0"/>
        </w:rPr>
      </w:r>
    </w:p>
    <w:p>
      <w:pPr>
        <w:spacing w:line="240" w:lineRule="auto" w:before="11"/>
        <w:rPr>
          <w:rFonts w:ascii="宋体" w:hAnsi="宋体" w:cs="宋体" w:eastAsia="宋体" w:hint="default"/>
          <w:b/>
          <w:bCs/>
          <w:sz w:val="28"/>
          <w:szCs w:val="28"/>
        </w:rPr>
      </w:pPr>
    </w:p>
    <w:p>
      <w:pPr>
        <w:pStyle w:val="BodyText"/>
        <w:spacing w:line="343" w:lineRule="auto"/>
        <w:ind w:left="137" w:right="146" w:firstLine="480"/>
        <w:jc w:val="both"/>
      </w:pPr>
      <w:r>
        <w:rPr>
          <w:spacing w:val="-3"/>
        </w:rPr>
        <w:t>公司于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3</w:t>
      </w:r>
      <w:r>
        <w:rPr>
          <w:spacing w:val="-3"/>
        </w:rPr>
        <w:t>日制定了《内幕信息知情人登记制度》，对内幕信息及内幕信息知情</w:t>
      </w:r>
      <w:r>
        <w:rPr/>
        <w:t> </w:t>
      </w:r>
      <w:r>
        <w:rPr>
          <w:spacing w:val="-3"/>
        </w:rPr>
        <w:t>人的范围管理、登记管理、保密管理以及责任追究进行了明确规定。并于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26</w:t>
      </w:r>
      <w:r>
        <w:rPr>
          <w:spacing w:val="-3"/>
        </w:rPr>
        <w:t>日以</w:t>
      </w:r>
      <w:r>
        <w:rPr>
          <w:spacing w:val="-90"/>
        </w:rPr>
        <w:t> </w:t>
      </w:r>
      <w:r>
        <w:rPr>
          <w:spacing w:val="-3"/>
        </w:rPr>
        <w:t>及</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27</w:t>
      </w:r>
      <w:r>
        <w:rPr>
          <w:spacing w:val="-3"/>
        </w:rPr>
        <w:t>日对该制度进行修订，进一步详细规范和加强了内幕信息知情人登记，并进</w:t>
      </w:r>
      <w:r>
        <w:rPr>
          <w:spacing w:val="-95"/>
        </w:rPr>
        <w:t> </w:t>
      </w:r>
      <w:r>
        <w:rPr>
          <w:spacing w:val="-95"/>
        </w:rPr>
      </w:r>
      <w:r>
        <w:rPr>
          <w:spacing w:val="-3"/>
        </w:rPr>
        <w:t>一步扩大了内幕信息范围，在涉及内幕信息时，公司均严格按照该制度进行了内幕信息登记</w:t>
      </w:r>
      <w:r>
        <w:rPr>
          <w:spacing w:val="-106"/>
        </w:rPr>
        <w:t> </w:t>
      </w:r>
      <w:r>
        <w:rPr>
          <w:spacing w:val="-106"/>
        </w:rPr>
      </w:r>
      <w:r>
        <w:rPr/>
        <w:t>档案建设。</w:t>
      </w:r>
    </w:p>
    <w:p>
      <w:pPr>
        <w:pStyle w:val="BodyText"/>
        <w:spacing w:line="357" w:lineRule="auto" w:before="51"/>
        <w:ind w:left="137" w:right="152" w:firstLine="480"/>
        <w:jc w:val="both"/>
      </w:pPr>
      <w:r>
        <w:rPr>
          <w:spacing w:val="-3"/>
        </w:rPr>
        <w:t>报告期内，公司的内幕信息的披露符合相关法律法规的规定，未发生内幕信息泄露的情</w:t>
      </w:r>
      <w:r>
        <w:rPr/>
        <w:t> 况。</w:t>
      </w:r>
    </w:p>
    <w:p>
      <w:pPr>
        <w:pStyle w:val="BodyText"/>
        <w:spacing w:line="348" w:lineRule="auto" w:before="36"/>
        <w:ind w:left="137" w:right="149" w:firstLine="480"/>
        <w:jc w:val="both"/>
      </w:pPr>
      <w:r>
        <w:rPr>
          <w:spacing w:val="-3"/>
        </w:rPr>
        <w:t>报告期内，公司未发生董事、监事、高级管理人员及其他内幕信息知情人员在定期报告</w:t>
      </w:r>
      <w:r>
        <w:rPr/>
        <w:t> </w:t>
      </w:r>
      <w:r>
        <w:rPr>
          <w:spacing w:val="-3"/>
        </w:rPr>
        <w:t>公告前</w:t>
      </w:r>
      <w:r>
        <w:rPr>
          <w:rFonts w:ascii="Times New Roman" w:hAnsi="Times New Roman" w:cs="Times New Roman" w:eastAsia="Times New Roman" w:hint="default"/>
          <w:spacing w:val="-3"/>
        </w:rPr>
        <w:t>30</w:t>
      </w:r>
      <w:r>
        <w:rPr>
          <w:spacing w:val="-3"/>
        </w:rPr>
        <w:t>日内、业绩预告和业绩快报公告前</w:t>
      </w:r>
      <w:r>
        <w:rPr>
          <w:rFonts w:ascii="Times New Roman" w:hAnsi="Times New Roman" w:cs="Times New Roman" w:eastAsia="Times New Roman" w:hint="default"/>
          <w:spacing w:val="-3"/>
        </w:rPr>
        <w:t>10</w:t>
      </w:r>
      <w:r>
        <w:rPr>
          <w:spacing w:val="-3"/>
        </w:rPr>
        <w:t>日内以及其他重大事项披露期间等敏感期内买</w:t>
      </w:r>
      <w:r>
        <w:rPr>
          <w:spacing w:val="-99"/>
        </w:rPr>
        <w:t> </w:t>
      </w:r>
      <w:r>
        <w:rPr/>
        <w:t>卖公司股票的情况，未发生相关人员利用内幕信息从事内幕交易等违法违规的情况。</w:t>
      </w:r>
    </w:p>
    <w:p>
      <w:pPr>
        <w:pStyle w:val="BodyText"/>
        <w:spacing w:line="357" w:lineRule="auto" w:before="46"/>
        <w:ind w:left="137" w:right="147" w:firstLine="480"/>
        <w:jc w:val="both"/>
      </w:pPr>
      <w:r>
        <w:rPr>
          <w:spacing w:val="-3"/>
        </w:rPr>
        <w:t>报告期内，公司依据法律法规的规定向特定外部信息使用人报送公司的重大信息如财务</w:t>
      </w:r>
      <w:r>
        <w:rPr/>
        <w:t> </w:t>
      </w:r>
      <w:r>
        <w:rPr>
          <w:spacing w:val="-3"/>
        </w:rPr>
        <w:t>数据等相关信息时，公司会尽量提供公司已公告的内容，对于超过过公司已公告内容的，公</w:t>
      </w:r>
      <w:r>
        <w:rPr>
          <w:spacing w:val="-102"/>
        </w:rPr>
        <w:t> </w:t>
      </w:r>
      <w:r>
        <w:rPr>
          <w:spacing w:val="-102"/>
        </w:rPr>
      </w:r>
      <w:r>
        <w:rPr/>
        <w:t>司均做好了内幕信息知情人登记，并提示特定外部信息使用人保密责任。</w:t>
      </w:r>
    </w:p>
    <w:p>
      <w:pPr>
        <w:pStyle w:val="BodyText"/>
        <w:spacing w:line="240" w:lineRule="auto" w:before="36"/>
        <w:ind w:left="617" w:right="0"/>
        <w:jc w:val="left"/>
      </w:pPr>
      <w:r>
        <w:rPr/>
        <w:t>报告期内</w:t>
      </w:r>
      <w:r>
        <w:rPr>
          <w:spacing w:val="-104"/>
        </w:rPr>
        <w:t>，</w:t>
      </w:r>
      <w:r>
        <w:rPr/>
        <w:t>未发生公司及相关人员因内幕信息知情人登记管理制度执行或涉嫌内幕交易</w:t>
      </w:r>
    </w:p>
    <w:p>
      <w:pPr>
        <w:spacing w:after="0" w:line="240" w:lineRule="auto"/>
        <w:jc w:val="left"/>
        <w:sectPr>
          <w:type w:val="continuous"/>
          <w:pgSz w:w="11910" w:h="16840"/>
          <w:pgMar w:top="440" w:bottom="280" w:left="1140" w:right="980"/>
        </w:sectPr>
      </w:pPr>
    </w:p>
    <w:p>
      <w:pPr>
        <w:spacing w:line="240" w:lineRule="auto" w:before="6"/>
        <w:rPr>
          <w:rFonts w:ascii="宋体" w:hAnsi="宋体" w:cs="宋体" w:eastAsia="宋体" w:hint="default"/>
          <w:sz w:val="22"/>
          <w:szCs w:val="22"/>
        </w:rPr>
      </w:pPr>
    </w:p>
    <w:p>
      <w:pPr>
        <w:spacing w:line="585" w:lineRule="auto" w:before="26"/>
        <w:ind w:left="137" w:right="5149" w:firstLine="0"/>
        <w:jc w:val="left"/>
        <w:rPr>
          <w:rFonts w:ascii="宋体" w:hAnsi="宋体" w:cs="宋体" w:eastAsia="宋体" w:hint="default"/>
          <w:sz w:val="24"/>
          <w:szCs w:val="24"/>
        </w:rPr>
      </w:pPr>
      <w:r>
        <w:rPr>
          <w:rFonts w:ascii="宋体" w:hAnsi="宋体" w:cs="宋体" w:eastAsia="宋体" w:hint="default"/>
          <w:sz w:val="24"/>
          <w:szCs w:val="24"/>
        </w:rPr>
        <w:t>被监管部门采取监管措施及行政处罚情况。 </w:t>
      </w:r>
      <w:bookmarkStart w:name="_bookmark35" w:id="36"/>
      <w:bookmarkEnd w:id="36"/>
      <w:r>
        <w:rPr>
          <w:rFonts w:ascii="宋体" w:hAnsi="宋体" w:cs="宋体" w:eastAsia="宋体" w:hint="default"/>
          <w:sz w:val="24"/>
          <w:szCs w:val="24"/>
        </w:rPr>
      </w:r>
      <w:r>
        <w:rPr>
          <w:rFonts w:ascii="宋体" w:hAnsi="宋体" w:cs="宋体" w:eastAsia="宋体" w:hint="default"/>
          <w:b/>
          <w:bCs/>
          <w:sz w:val="24"/>
          <w:szCs w:val="24"/>
        </w:rPr>
        <w:t>八、董事会内部控制责任的声明</w:t>
      </w:r>
      <w:r>
        <w:rPr>
          <w:rFonts w:ascii="宋体" w:hAnsi="宋体" w:cs="宋体" w:eastAsia="宋体" w:hint="default"/>
          <w:sz w:val="24"/>
          <w:szCs w:val="24"/>
        </w:rPr>
      </w:r>
    </w:p>
    <w:p>
      <w:pPr>
        <w:pStyle w:val="BodyText"/>
        <w:spacing w:line="357" w:lineRule="auto" w:before="103"/>
        <w:ind w:left="137" w:right="227" w:firstLine="480"/>
        <w:jc w:val="both"/>
      </w:pPr>
      <w:r>
        <w:rPr>
          <w:spacing w:val="-9"/>
        </w:rPr>
        <w:t>为规范经营管理，控制风险，保证经营业务活动的正常开展，公司根据《公司法》、《证</w:t>
      </w:r>
      <w:r>
        <w:rPr/>
        <w:t> </w:t>
      </w:r>
      <w:r>
        <w:rPr>
          <w:spacing w:val="-9"/>
        </w:rPr>
        <w:t>券法》、《企业内部控制基本规范》等有关法律、法规和规章制度，结合公司的实际情况、自</w:t>
      </w:r>
      <w:r>
        <w:rPr>
          <w:spacing w:val="-99"/>
        </w:rPr>
        <w:t> </w:t>
      </w:r>
      <w:r>
        <w:rPr>
          <w:spacing w:val="-99"/>
        </w:rPr>
      </w:r>
      <w:r>
        <w:rPr>
          <w:spacing w:val="-3"/>
        </w:rPr>
        <w:t>身特点和管理需要，制定了贯穿于公司生产经营各层面、各环节的内部控制体系，并不断完</w:t>
      </w:r>
      <w:r>
        <w:rPr>
          <w:spacing w:val="-102"/>
        </w:rPr>
        <w:t> </w:t>
      </w:r>
      <w:r>
        <w:rPr>
          <w:spacing w:val="-102"/>
        </w:rPr>
      </w:r>
      <w:r>
        <w:rPr>
          <w:spacing w:val="-3"/>
        </w:rPr>
        <w:t>善。通过对公司各项治理制度的规范和落实，公司的治理水平不断提高，有效的保证了公司</w:t>
      </w:r>
      <w:r>
        <w:rPr>
          <w:spacing w:val="-102"/>
        </w:rPr>
        <w:t> </w:t>
      </w:r>
      <w:r>
        <w:rPr>
          <w:spacing w:val="-102"/>
        </w:rPr>
      </w:r>
      <w:r>
        <w:rPr/>
        <w:t>各项经营目标的实现。</w:t>
      </w:r>
    </w:p>
    <w:p>
      <w:pPr>
        <w:pStyle w:val="BodyText"/>
        <w:spacing w:line="352" w:lineRule="auto" w:before="36"/>
        <w:ind w:left="137" w:right="109" w:firstLine="480"/>
        <w:jc w:val="left"/>
      </w:pPr>
      <w:r>
        <w:rPr/>
        <w:t>公司董事会认为截至</w:t>
      </w:r>
      <w:r>
        <w:rPr>
          <w:spacing w:val="-5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日，公司建立了较为完善的公司治理结构，内部 </w:t>
      </w:r>
      <w:r>
        <w:rPr>
          <w:spacing w:val="-3"/>
        </w:rPr>
        <w:t>控制体系较为健全，现有内控制度符合有关法律法规的要求以及证券监管部门的要求，能够</w:t>
      </w:r>
      <w:r>
        <w:rPr>
          <w:spacing w:val="-106"/>
        </w:rPr>
        <w:t> </w:t>
      </w:r>
      <w:r>
        <w:rPr>
          <w:spacing w:val="-106"/>
        </w:rPr>
      </w:r>
      <w:r>
        <w:rPr>
          <w:spacing w:val="-6"/>
        </w:rPr>
        <w:t>适应当前公司经营实际情况和管理的需要，能够对编制真实、公允的财务报表提供合理保证，</w:t>
      </w:r>
      <w:r>
        <w:rPr>
          <w:spacing w:val="-100"/>
        </w:rPr>
        <w:t> </w:t>
      </w:r>
      <w:r>
        <w:rPr>
          <w:spacing w:val="-100"/>
        </w:rPr>
      </w:r>
      <w:r>
        <w:rPr>
          <w:spacing w:val="-3"/>
        </w:rPr>
        <w:t>能够及时、准确、完整地履行信息披露义务，公平对待所有投资者，未发现对公司治理、经</w:t>
      </w:r>
      <w:r>
        <w:rPr>
          <w:spacing w:val="-108"/>
        </w:rPr>
        <w:t> </w:t>
      </w:r>
      <w:r>
        <w:rPr>
          <w:spacing w:val="-108"/>
        </w:rPr>
      </w:r>
      <w:r>
        <w:rPr/>
        <w:t>营管理及发展有重大影响之缺陷及异常事项。</w:t>
      </w:r>
    </w:p>
    <w:p>
      <w:pPr>
        <w:pStyle w:val="BodyText"/>
        <w:spacing w:line="357" w:lineRule="auto" w:before="41"/>
        <w:ind w:left="137" w:right="230" w:firstLine="480"/>
        <w:jc w:val="both"/>
      </w:pPr>
      <w:r>
        <w:rPr>
          <w:spacing w:val="-3"/>
        </w:rPr>
        <w:t>致同会计师事务所对公司内部控制情况进行了鉴证，其鉴证意见与公司的自我评价意见</w:t>
      </w:r>
      <w:r>
        <w:rPr/>
        <w:t> </w:t>
      </w:r>
      <w:r>
        <w:rPr>
          <w:spacing w:val="-4"/>
        </w:rPr>
        <w:t>一致，认为公司按照《企业内部控制基本规范》建立健全内部控制体系并保持其有效性。截</w:t>
      </w:r>
      <w:r>
        <w:rPr>
          <w:spacing w:val="-96"/>
        </w:rPr>
        <w:t> </w:t>
      </w:r>
      <w:r>
        <w:rPr>
          <w:spacing w:val="-96"/>
        </w:rPr>
      </w:r>
      <w:r>
        <w:rPr/>
        <w:t>止报告期末公司在所有重大方面保持了与财务报表相关的有效内部控制。</w:t>
      </w:r>
    </w:p>
    <w:p>
      <w:pPr>
        <w:pStyle w:val="BodyText"/>
        <w:spacing w:line="338" w:lineRule="auto" w:before="36"/>
        <w:ind w:left="137" w:right="232" w:firstLine="480"/>
        <w:jc w:val="both"/>
      </w:pPr>
      <w:r>
        <w:rPr/>
        <w:t>公司《内部控制自我评价报告》刊登于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日巨潮咨讯网等证监会指定信息披 露网站上。</w:t>
      </w:r>
    </w:p>
    <w:p>
      <w:pPr>
        <w:spacing w:line="240" w:lineRule="auto" w:before="4"/>
        <w:rPr>
          <w:rFonts w:ascii="宋体" w:hAnsi="宋体" w:cs="宋体" w:eastAsia="宋体" w:hint="default"/>
          <w:sz w:val="21"/>
          <w:szCs w:val="21"/>
        </w:rPr>
      </w:pPr>
    </w:p>
    <w:p>
      <w:pPr>
        <w:pStyle w:val="Heading4"/>
        <w:spacing w:line="240" w:lineRule="auto"/>
        <w:ind w:right="109"/>
        <w:jc w:val="left"/>
        <w:rPr>
          <w:b w:val="0"/>
          <w:bCs w:val="0"/>
        </w:rPr>
      </w:pPr>
      <w:bookmarkStart w:name="_bookmark36" w:id="37"/>
      <w:bookmarkEnd w:id="37"/>
      <w:r>
        <w:rPr>
          <w:b w:val="0"/>
          <w:bCs w:val="0"/>
        </w:rPr>
      </w:r>
      <w:r>
        <w:rPr/>
        <w:t>九、报告期内接待调研、沟通、采访等活动登记表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4"/>
          <w:szCs w:val="14"/>
        </w:rPr>
      </w:pPr>
    </w:p>
    <w:p>
      <w:pPr>
        <w:spacing w:before="0"/>
        <w:ind w:left="0" w:right="152" w:firstLine="0"/>
        <w:jc w:val="right"/>
        <w:rPr>
          <w:rFonts w:ascii="宋体" w:hAnsi="宋体" w:cs="宋体" w:eastAsia="宋体" w:hint="default"/>
          <w:sz w:val="21"/>
          <w:szCs w:val="21"/>
        </w:rPr>
      </w:pPr>
      <w:r>
        <w:rPr/>
        <w:pict>
          <v:shape style="position:absolute;margin-left:62.16pt;margin-top:-31.686308pt;width:478.45pt;height:222.5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3"/>
                    <w:gridCol w:w="1561"/>
                    <w:gridCol w:w="650"/>
                    <w:gridCol w:w="1258"/>
                    <w:gridCol w:w="2273"/>
                    <w:gridCol w:w="2079"/>
                  </w:tblGrid>
                  <w:tr>
                    <w:trPr>
                      <w:trHeight w:val="637" w:hRule="exact"/>
                    </w:trPr>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b/>
                            <w:bCs/>
                            <w:sz w:val="21"/>
                            <w:szCs w:val="21"/>
                          </w:rPr>
                          <w:t>接待时间</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right="3"/>
                          <w:jc w:val="center"/>
                          <w:rPr>
                            <w:rFonts w:ascii="宋体" w:hAnsi="宋体" w:cs="宋体" w:eastAsia="宋体" w:hint="default"/>
                            <w:sz w:val="21"/>
                            <w:szCs w:val="21"/>
                          </w:rPr>
                        </w:pPr>
                        <w:r>
                          <w:rPr>
                            <w:rFonts w:ascii="宋体" w:hAnsi="宋体" w:cs="宋体" w:eastAsia="宋体" w:hint="default"/>
                            <w:b/>
                            <w:bCs/>
                            <w:sz w:val="21"/>
                            <w:szCs w:val="21"/>
                          </w:rPr>
                          <w:t>接待地点</w:t>
                        </w:r>
                        <w:r>
                          <w:rPr>
                            <w:rFonts w:ascii="宋体" w:hAnsi="宋体" w:cs="宋体" w:eastAsia="宋体" w:hint="default"/>
                            <w:sz w:val="21"/>
                            <w:szCs w:val="21"/>
                          </w:rPr>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8" w:right="108"/>
                          <w:jc w:val="left"/>
                          <w:rPr>
                            <w:rFonts w:ascii="宋体" w:hAnsi="宋体" w:cs="宋体" w:eastAsia="宋体" w:hint="default"/>
                            <w:sz w:val="21"/>
                            <w:szCs w:val="21"/>
                          </w:rPr>
                        </w:pPr>
                        <w:r>
                          <w:rPr>
                            <w:rFonts w:ascii="宋体" w:hAnsi="宋体" w:cs="宋体" w:eastAsia="宋体" w:hint="default"/>
                            <w:b/>
                            <w:bCs/>
                            <w:sz w:val="21"/>
                            <w:szCs w:val="21"/>
                          </w:rPr>
                          <w:t>接待</w:t>
                        </w:r>
                        <w:r>
                          <w:rPr>
                            <w:rFonts w:ascii="宋体" w:hAnsi="宋体" w:cs="宋体" w:eastAsia="宋体" w:hint="default"/>
                            <w:b/>
                            <w:bCs/>
                            <w:w w:val="100"/>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1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16" w:right="94" w:hanging="420"/>
                          <w:jc w:val="left"/>
                          <w:rPr>
                            <w:rFonts w:ascii="宋体" w:hAnsi="宋体" w:cs="宋体" w:eastAsia="宋体" w:hint="default"/>
                            <w:sz w:val="21"/>
                            <w:szCs w:val="21"/>
                          </w:rPr>
                        </w:pPr>
                        <w:r>
                          <w:rPr>
                            <w:rFonts w:ascii="宋体" w:hAnsi="宋体" w:cs="宋体" w:eastAsia="宋体" w:hint="default"/>
                            <w:b/>
                            <w:bCs/>
                            <w:sz w:val="21"/>
                            <w:szCs w:val="21"/>
                          </w:rPr>
                          <w:t>接待对象类</w:t>
                        </w:r>
                        <w:r>
                          <w:rPr>
                            <w:rFonts w:ascii="宋体" w:hAnsi="宋体" w:cs="宋体" w:eastAsia="宋体" w:hint="default"/>
                            <w:b/>
                            <w:bCs/>
                            <w:w w:val="100"/>
                            <w:sz w:val="21"/>
                            <w:szCs w:val="21"/>
                          </w:rPr>
                          <w:t> </w:t>
                        </w:r>
                        <w:r>
                          <w:rPr>
                            <w:rFonts w:ascii="宋体" w:hAnsi="宋体" w:cs="宋体" w:eastAsia="宋体" w:hint="default"/>
                            <w:b/>
                            <w:bCs/>
                            <w:sz w:val="21"/>
                            <w:szCs w:val="21"/>
                          </w:rPr>
                          <w:t>型</w:t>
                        </w:r>
                        <w:r>
                          <w:rPr>
                            <w:rFonts w:ascii="宋体" w:hAnsi="宋体" w:cs="宋体" w:eastAsia="宋体" w:hint="default"/>
                            <w:sz w:val="21"/>
                            <w:szCs w:val="21"/>
                          </w:rPr>
                        </w:r>
                      </w:p>
                    </w:tc>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6"/>
                          <w:ind w:left="2" w:right="0"/>
                          <w:jc w:val="center"/>
                          <w:rPr>
                            <w:rFonts w:ascii="宋体" w:hAnsi="宋体" w:cs="宋体" w:eastAsia="宋体" w:hint="default"/>
                            <w:sz w:val="21"/>
                            <w:szCs w:val="21"/>
                          </w:rPr>
                        </w:pPr>
                        <w:r>
                          <w:rPr>
                            <w:rFonts w:ascii="宋体" w:hAnsi="宋体" w:cs="宋体" w:eastAsia="宋体" w:hint="default"/>
                            <w:b/>
                            <w:bCs/>
                            <w:sz w:val="21"/>
                            <w:szCs w:val="21"/>
                          </w:rPr>
                          <w:t>接待对象</w:t>
                        </w:r>
                        <w:r>
                          <w:rPr>
                            <w:rFonts w:ascii="宋体" w:hAnsi="宋体" w:cs="宋体" w:eastAsia="宋体" w:hint="default"/>
                            <w:sz w:val="21"/>
                            <w:szCs w:val="21"/>
                          </w:rPr>
                        </w:r>
                      </w:p>
                    </w:tc>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12" w:right="82" w:hanging="529"/>
                          <w:jc w:val="left"/>
                          <w:rPr>
                            <w:rFonts w:ascii="宋体" w:hAnsi="宋体" w:cs="宋体" w:eastAsia="宋体" w:hint="default"/>
                            <w:sz w:val="21"/>
                            <w:szCs w:val="21"/>
                          </w:rPr>
                        </w:pPr>
                        <w:r>
                          <w:rPr>
                            <w:rFonts w:ascii="宋体" w:hAnsi="宋体" w:cs="宋体" w:eastAsia="宋体" w:hint="default"/>
                            <w:b/>
                            <w:bCs/>
                            <w:sz w:val="21"/>
                            <w:szCs w:val="21"/>
                          </w:rPr>
                          <w:t>谈论的主要内容及提</w:t>
                        </w:r>
                        <w:r>
                          <w:rPr>
                            <w:rFonts w:ascii="宋体" w:hAnsi="宋体" w:cs="宋体" w:eastAsia="宋体" w:hint="default"/>
                            <w:b/>
                            <w:bCs/>
                            <w:spacing w:val="-103"/>
                            <w:sz w:val="21"/>
                            <w:szCs w:val="21"/>
                          </w:rPr>
                          <w:t> </w:t>
                        </w:r>
                        <w:r>
                          <w:rPr>
                            <w:rFonts w:ascii="宋体" w:hAnsi="宋体" w:cs="宋体" w:eastAsia="宋体" w:hint="default"/>
                            <w:b/>
                            <w:bCs/>
                            <w:sz w:val="21"/>
                            <w:szCs w:val="21"/>
                          </w:rPr>
                          <w:t>供的资料</w:t>
                        </w:r>
                        <w:r>
                          <w:rPr>
                            <w:rFonts w:ascii="宋体" w:hAnsi="宋体" w:cs="宋体" w:eastAsia="宋体" w:hint="default"/>
                            <w:sz w:val="21"/>
                            <w:szCs w:val="21"/>
                          </w:rPr>
                        </w:r>
                      </w:p>
                    </w:tc>
                  </w:tr>
                  <w:tr>
                    <w:trPr>
                      <w:trHeight w:val="63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302 </w:t>
                        </w:r>
                        <w:r>
                          <w:rPr>
                            <w:rFonts w:ascii="宋体" w:hAnsi="宋体" w:cs="宋体" w:eastAsia="宋体" w:hint="default"/>
                            <w:sz w:val="21"/>
                            <w:szCs w:val="21"/>
                          </w:rPr>
                          <w:t>会议室</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现场</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机构投资者</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10"/>
                            <w:sz w:val="21"/>
                            <w:szCs w:val="21"/>
                          </w:rPr>
                          <w:t>宏源证券、中信证券、中</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信建投、隆中投资等</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51"/>
                          <w:jc w:val="left"/>
                          <w:rPr>
                            <w:rFonts w:ascii="宋体" w:hAnsi="宋体" w:cs="宋体" w:eastAsia="宋体" w:hint="default"/>
                            <w:sz w:val="21"/>
                            <w:szCs w:val="21"/>
                          </w:rPr>
                        </w:pPr>
                        <w:r>
                          <w:rPr>
                            <w:rFonts w:ascii="宋体" w:hAnsi="宋体" w:cs="宋体" w:eastAsia="宋体" w:hint="default"/>
                            <w:sz w:val="21"/>
                            <w:szCs w:val="21"/>
                          </w:rPr>
                          <w:t>公司情况、行业状况</w:t>
                        </w:r>
                        <w:r>
                          <w:rPr>
                            <w:rFonts w:ascii="宋体" w:hAnsi="宋体" w:cs="宋体" w:eastAsia="宋体" w:hint="default"/>
                            <w:w w:val="100"/>
                            <w:sz w:val="21"/>
                            <w:szCs w:val="21"/>
                          </w:rPr>
                          <w:t> </w:t>
                        </w:r>
                        <w:r>
                          <w:rPr>
                            <w:rFonts w:ascii="宋体" w:hAnsi="宋体" w:cs="宋体" w:eastAsia="宋体" w:hint="default"/>
                            <w:sz w:val="21"/>
                            <w:szCs w:val="21"/>
                          </w:rPr>
                          <w:t>发展趋势等内容</w:t>
                        </w:r>
                      </w:p>
                    </w:tc>
                  </w:tr>
                  <w:tr>
                    <w:trPr>
                      <w:trHeight w:val="63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31"/>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302 </w:t>
                        </w:r>
                        <w:r>
                          <w:rPr>
                            <w:rFonts w:ascii="宋体" w:hAnsi="宋体" w:cs="宋体" w:eastAsia="宋体" w:hint="default"/>
                            <w:sz w:val="21"/>
                            <w:szCs w:val="21"/>
                          </w:rPr>
                          <w:t>会议室</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现场</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机构投资者</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10"/>
                            <w:sz w:val="21"/>
                            <w:szCs w:val="21"/>
                          </w:rPr>
                          <w:t>海通证券、中银国际、长</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城基金等</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51"/>
                          <w:jc w:val="left"/>
                          <w:rPr>
                            <w:rFonts w:ascii="宋体" w:hAnsi="宋体" w:cs="宋体" w:eastAsia="宋体" w:hint="default"/>
                            <w:sz w:val="21"/>
                            <w:szCs w:val="21"/>
                          </w:rPr>
                        </w:pPr>
                        <w:r>
                          <w:rPr>
                            <w:rFonts w:ascii="宋体" w:hAnsi="宋体" w:cs="宋体" w:eastAsia="宋体" w:hint="default"/>
                            <w:sz w:val="21"/>
                            <w:szCs w:val="21"/>
                          </w:rPr>
                          <w:t>公司情况、行业状况</w:t>
                        </w:r>
                        <w:r>
                          <w:rPr>
                            <w:rFonts w:ascii="宋体" w:hAnsi="宋体" w:cs="宋体" w:eastAsia="宋体" w:hint="default"/>
                            <w:w w:val="100"/>
                            <w:sz w:val="21"/>
                            <w:szCs w:val="21"/>
                          </w:rPr>
                          <w:t> </w:t>
                        </w:r>
                        <w:r>
                          <w:rPr>
                            <w:rFonts w:ascii="宋体" w:hAnsi="宋体" w:cs="宋体" w:eastAsia="宋体" w:hint="default"/>
                            <w:sz w:val="21"/>
                            <w:szCs w:val="21"/>
                          </w:rPr>
                          <w:t>发展趋势等内容</w:t>
                        </w:r>
                      </w:p>
                    </w:tc>
                  </w:tr>
                  <w:tr>
                    <w:trPr>
                      <w:trHeight w:val="63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31"/>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302 </w:t>
                        </w:r>
                        <w:r>
                          <w:rPr>
                            <w:rFonts w:ascii="宋体" w:hAnsi="宋体" w:cs="宋体" w:eastAsia="宋体" w:hint="default"/>
                            <w:sz w:val="21"/>
                            <w:szCs w:val="21"/>
                          </w:rPr>
                          <w:t>会议室</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现场</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机构投资者</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10"/>
                            <w:sz w:val="21"/>
                            <w:szCs w:val="21"/>
                          </w:rPr>
                          <w:t>银河证券、天相投顾、长</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城证券、宏源证券</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51"/>
                          <w:jc w:val="left"/>
                          <w:rPr>
                            <w:rFonts w:ascii="宋体" w:hAnsi="宋体" w:cs="宋体" w:eastAsia="宋体" w:hint="default"/>
                            <w:sz w:val="21"/>
                            <w:szCs w:val="21"/>
                          </w:rPr>
                        </w:pPr>
                        <w:r>
                          <w:rPr>
                            <w:rFonts w:ascii="宋体" w:hAnsi="宋体" w:cs="宋体" w:eastAsia="宋体" w:hint="default"/>
                            <w:sz w:val="21"/>
                            <w:szCs w:val="21"/>
                          </w:rPr>
                          <w:t>公司情况、行业状况</w:t>
                        </w:r>
                        <w:r>
                          <w:rPr>
                            <w:rFonts w:ascii="宋体" w:hAnsi="宋体" w:cs="宋体" w:eastAsia="宋体" w:hint="default"/>
                            <w:w w:val="100"/>
                            <w:sz w:val="21"/>
                            <w:szCs w:val="21"/>
                          </w:rPr>
                          <w:t> </w:t>
                        </w:r>
                        <w:r>
                          <w:rPr>
                            <w:rFonts w:ascii="宋体" w:hAnsi="宋体" w:cs="宋体" w:eastAsia="宋体" w:hint="default"/>
                            <w:sz w:val="21"/>
                            <w:szCs w:val="21"/>
                          </w:rPr>
                          <w:t>发展趋势等内容</w:t>
                        </w:r>
                      </w:p>
                    </w:tc>
                  </w:tr>
                  <w:tr>
                    <w:trPr>
                      <w:trHeight w:val="63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4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31"/>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302 </w:t>
                        </w:r>
                        <w:r>
                          <w:rPr>
                            <w:rFonts w:ascii="宋体" w:hAnsi="宋体" w:cs="宋体" w:eastAsia="宋体" w:hint="default"/>
                            <w:sz w:val="21"/>
                            <w:szCs w:val="21"/>
                          </w:rPr>
                          <w:t>会议室</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现场</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机构投资者</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10"/>
                            <w:sz w:val="21"/>
                            <w:szCs w:val="21"/>
                          </w:rPr>
                          <w:t>长城证券、民族证券、瑞</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0"/>
                            <w:w w:val="100"/>
                            <w:sz w:val="21"/>
                            <w:szCs w:val="21"/>
                          </w:rPr>
                          <w:t>银证券、民生加银基金等</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51"/>
                          <w:jc w:val="left"/>
                          <w:rPr>
                            <w:rFonts w:ascii="宋体" w:hAnsi="宋体" w:cs="宋体" w:eastAsia="宋体" w:hint="default"/>
                            <w:sz w:val="21"/>
                            <w:szCs w:val="21"/>
                          </w:rPr>
                        </w:pPr>
                        <w:r>
                          <w:rPr>
                            <w:rFonts w:ascii="宋体" w:hAnsi="宋体" w:cs="宋体" w:eastAsia="宋体" w:hint="default"/>
                            <w:sz w:val="21"/>
                            <w:szCs w:val="21"/>
                          </w:rPr>
                          <w:t>公司情况、行业状况</w:t>
                        </w:r>
                        <w:r>
                          <w:rPr>
                            <w:rFonts w:ascii="宋体" w:hAnsi="宋体" w:cs="宋体" w:eastAsia="宋体" w:hint="default"/>
                            <w:w w:val="100"/>
                            <w:sz w:val="21"/>
                            <w:szCs w:val="21"/>
                          </w:rPr>
                          <w:t> </w:t>
                        </w:r>
                        <w:r>
                          <w:rPr>
                            <w:rFonts w:ascii="宋体" w:hAnsi="宋体" w:cs="宋体" w:eastAsia="宋体" w:hint="default"/>
                            <w:sz w:val="21"/>
                            <w:szCs w:val="21"/>
                          </w:rPr>
                          <w:t>发展趋势等内容</w:t>
                        </w:r>
                      </w:p>
                    </w:tc>
                  </w:tr>
                  <w:tr>
                    <w:trPr>
                      <w:trHeight w:val="946"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4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31"/>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302 </w:t>
                        </w:r>
                        <w:r>
                          <w:rPr>
                            <w:rFonts w:ascii="宋体" w:hAnsi="宋体" w:cs="宋体" w:eastAsia="宋体" w:hint="default"/>
                            <w:sz w:val="21"/>
                            <w:szCs w:val="21"/>
                          </w:rPr>
                          <w:t>会议室</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现场</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机构投资者</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both"/>
                          <w:rPr>
                            <w:rFonts w:ascii="宋体" w:hAnsi="宋体" w:cs="宋体" w:eastAsia="宋体" w:hint="default"/>
                            <w:sz w:val="21"/>
                            <w:szCs w:val="21"/>
                          </w:rPr>
                        </w:pPr>
                        <w:r>
                          <w:rPr>
                            <w:rFonts w:ascii="宋体" w:hAnsi="宋体" w:cs="宋体" w:eastAsia="宋体" w:hint="default"/>
                            <w:spacing w:val="-10"/>
                            <w:sz w:val="21"/>
                            <w:szCs w:val="21"/>
                          </w:rPr>
                          <w:t>东方证券、国金证券、国</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0"/>
                            <w:w w:val="100"/>
                            <w:sz w:val="21"/>
                            <w:szCs w:val="21"/>
                          </w:rPr>
                          <w:t>投瑞银基金、航天科工财</w:t>
                        </w:r>
                        <w:r>
                          <w:rPr>
                            <w:rFonts w:ascii="宋体" w:hAnsi="宋体" w:cs="宋体" w:eastAsia="宋体" w:hint="default"/>
                            <w:w w:val="100"/>
                            <w:sz w:val="21"/>
                            <w:szCs w:val="21"/>
                          </w:rPr>
                          <w:t> </w:t>
                        </w:r>
                        <w:r>
                          <w:rPr>
                            <w:rFonts w:ascii="宋体" w:hAnsi="宋体" w:cs="宋体" w:eastAsia="宋体" w:hint="default"/>
                            <w:sz w:val="21"/>
                            <w:szCs w:val="21"/>
                          </w:rPr>
                          <w:t>务有限公司等</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51"/>
                          <w:jc w:val="left"/>
                          <w:rPr>
                            <w:rFonts w:ascii="宋体" w:hAnsi="宋体" w:cs="宋体" w:eastAsia="宋体" w:hint="default"/>
                            <w:sz w:val="21"/>
                            <w:szCs w:val="21"/>
                          </w:rPr>
                        </w:pPr>
                        <w:r>
                          <w:rPr>
                            <w:rFonts w:ascii="宋体" w:hAnsi="宋体" w:cs="宋体" w:eastAsia="宋体" w:hint="default"/>
                            <w:sz w:val="21"/>
                            <w:szCs w:val="21"/>
                          </w:rPr>
                          <w:t>公司情况、行业状况</w:t>
                        </w:r>
                        <w:r>
                          <w:rPr>
                            <w:rFonts w:ascii="宋体" w:hAnsi="宋体" w:cs="宋体" w:eastAsia="宋体" w:hint="default"/>
                            <w:w w:val="100"/>
                            <w:sz w:val="21"/>
                            <w:szCs w:val="21"/>
                          </w:rPr>
                          <w:t> </w:t>
                        </w:r>
                        <w:r>
                          <w:rPr>
                            <w:rFonts w:ascii="宋体" w:hAnsi="宋体" w:cs="宋体" w:eastAsia="宋体" w:hint="default"/>
                            <w:sz w:val="21"/>
                            <w:szCs w:val="21"/>
                          </w:rPr>
                          <w:t>发展趋势等内容</w:t>
                        </w:r>
                      </w:p>
                    </w:tc>
                  </w:tr>
                  <w:tr>
                    <w:trPr>
                      <w:trHeight w:val="32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4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31"/>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302 </w:t>
                        </w:r>
                        <w:r>
                          <w:rPr>
                            <w:rFonts w:ascii="宋体" w:hAnsi="宋体" w:cs="宋体" w:eastAsia="宋体" w:hint="default"/>
                            <w:sz w:val="21"/>
                            <w:szCs w:val="21"/>
                          </w:rPr>
                          <w:t>会议室</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现场</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机构投资者</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10"/>
                          <w:jc w:val="center"/>
                          <w:rPr>
                            <w:rFonts w:ascii="宋体" w:hAnsi="宋体" w:cs="宋体" w:eastAsia="宋体" w:hint="default"/>
                            <w:sz w:val="21"/>
                            <w:szCs w:val="21"/>
                          </w:rPr>
                        </w:pPr>
                        <w:r>
                          <w:rPr>
                            <w:rFonts w:ascii="宋体" w:hAnsi="宋体" w:cs="宋体" w:eastAsia="宋体" w:hint="default"/>
                            <w:sz w:val="21"/>
                            <w:szCs w:val="21"/>
                          </w:rPr>
                          <w:t>国瑞汇金、东北证券等</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公司情况、行业状况</w:t>
                        </w:r>
                      </w:p>
                    </w:tc>
                  </w:tr>
                </w:tbl>
                <w:p>
                  <w:pPr/>
                </w:p>
              </w:txbxContent>
            </v:textbox>
            <w10:wrap type="none"/>
          </v:shape>
        </w:pict>
      </w:r>
      <w:r>
        <w:rPr>
          <w:rFonts w:ascii="宋体" w:hAnsi="宋体" w:cs="宋体" w:eastAsia="宋体" w:hint="default"/>
          <w:w w:val="100"/>
          <w:sz w:val="21"/>
          <w:szCs w:val="21"/>
        </w:rPr>
        <w:t>、</w:t>
      </w:r>
    </w:p>
    <w:p>
      <w:pPr>
        <w:spacing w:line="240" w:lineRule="auto" w:before="9"/>
        <w:rPr>
          <w:rFonts w:ascii="宋体" w:hAnsi="宋体" w:cs="宋体" w:eastAsia="宋体" w:hint="default"/>
          <w:sz w:val="24"/>
          <w:szCs w:val="24"/>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9"/>
        <w:rPr>
          <w:rFonts w:ascii="宋体" w:hAnsi="宋体" w:cs="宋体" w:eastAsia="宋体" w:hint="default"/>
          <w:sz w:val="24"/>
          <w:szCs w:val="24"/>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9"/>
        <w:rPr>
          <w:rFonts w:ascii="宋体" w:hAnsi="宋体" w:cs="宋体" w:eastAsia="宋体" w:hint="default"/>
          <w:sz w:val="24"/>
          <w:szCs w:val="24"/>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9"/>
        <w:rPr>
          <w:rFonts w:ascii="宋体" w:hAnsi="宋体" w:cs="宋体" w:eastAsia="宋体" w:hint="default"/>
          <w:sz w:val="24"/>
          <w:szCs w:val="24"/>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after="0"/>
        <w:jc w:val="right"/>
        <w:rPr>
          <w:rFonts w:ascii="宋体" w:hAnsi="宋体" w:cs="宋体" w:eastAsia="宋体" w:hint="default"/>
          <w:sz w:val="21"/>
          <w:szCs w:val="21"/>
        </w:rPr>
        <w:sectPr>
          <w:footerReference w:type="default" r:id="rId23"/>
          <w:pgSz w:w="11910" w:h="16840"/>
          <w:pgMar w:footer="1007" w:header="884" w:top="1140" w:bottom="1200" w:left="1140" w:right="900"/>
          <w:pgNumType w:start="44"/>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before="36"/>
        <w:ind w:left="0" w:right="112" w:firstLine="0"/>
        <w:jc w:val="right"/>
        <w:rPr>
          <w:rFonts w:ascii="宋体" w:hAnsi="宋体" w:cs="宋体" w:eastAsia="宋体" w:hint="default"/>
          <w:sz w:val="21"/>
          <w:szCs w:val="21"/>
        </w:rPr>
      </w:pPr>
      <w:r>
        <w:rPr/>
        <w:pict>
          <v:shape style="position:absolute;margin-left:62.16pt;margin-top:-14.156316pt;width:478.45pt;height:80.1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3"/>
                    <w:gridCol w:w="1561"/>
                    <w:gridCol w:w="650"/>
                    <w:gridCol w:w="1258"/>
                    <w:gridCol w:w="2273"/>
                    <w:gridCol w:w="2079"/>
                  </w:tblGrid>
                  <w:tr>
                    <w:trPr>
                      <w:trHeight w:val="322" w:hRule="exact"/>
                    </w:trPr>
                    <w:tc>
                      <w:tcPr>
                        <w:tcW w:w="1733"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2273" w:type="dxa"/>
                        <w:tcBorders>
                          <w:top w:val="single" w:sz="4" w:space="0" w:color="000000"/>
                          <w:left w:val="single" w:sz="4" w:space="0" w:color="000000"/>
                          <w:bottom w:val="single" w:sz="4" w:space="0" w:color="000000"/>
                          <w:right w:val="single" w:sz="4" w:space="0" w:color="000000"/>
                        </w:tcBorders>
                      </w:tcPr>
                      <w:p>
                        <w:pP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发展趋势等内容</w:t>
                        </w:r>
                      </w:p>
                    </w:tc>
                  </w:tr>
                  <w:tr>
                    <w:trPr>
                      <w:trHeight w:val="63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31"/>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302 </w:t>
                        </w:r>
                        <w:r>
                          <w:rPr>
                            <w:rFonts w:ascii="宋体" w:hAnsi="宋体" w:cs="宋体" w:eastAsia="宋体" w:hint="default"/>
                            <w:sz w:val="21"/>
                            <w:szCs w:val="21"/>
                          </w:rPr>
                          <w:t>会议室</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现场</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机构投资者</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10"/>
                            <w:sz w:val="21"/>
                            <w:szCs w:val="21"/>
                          </w:rPr>
                          <w:t>鹏华基金、宝盈基金、华</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厦基金、上投摩根等</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51"/>
                          <w:jc w:val="left"/>
                          <w:rPr>
                            <w:rFonts w:ascii="宋体" w:hAnsi="宋体" w:cs="宋体" w:eastAsia="宋体" w:hint="default"/>
                            <w:sz w:val="21"/>
                            <w:szCs w:val="21"/>
                          </w:rPr>
                        </w:pPr>
                        <w:r>
                          <w:rPr>
                            <w:rFonts w:ascii="宋体" w:hAnsi="宋体" w:cs="宋体" w:eastAsia="宋体" w:hint="default"/>
                            <w:sz w:val="21"/>
                            <w:szCs w:val="21"/>
                          </w:rPr>
                          <w:t>公司情况、行业状况</w:t>
                        </w:r>
                        <w:r>
                          <w:rPr>
                            <w:rFonts w:ascii="宋体" w:hAnsi="宋体" w:cs="宋体" w:eastAsia="宋体" w:hint="default"/>
                            <w:w w:val="100"/>
                            <w:sz w:val="21"/>
                            <w:szCs w:val="21"/>
                          </w:rPr>
                          <w:t> </w:t>
                        </w:r>
                        <w:r>
                          <w:rPr>
                            <w:rFonts w:ascii="宋体" w:hAnsi="宋体" w:cs="宋体" w:eastAsia="宋体" w:hint="default"/>
                            <w:sz w:val="21"/>
                            <w:szCs w:val="21"/>
                          </w:rPr>
                          <w:t>发展趋势等内容</w:t>
                        </w:r>
                      </w:p>
                    </w:tc>
                  </w:tr>
                  <w:tr>
                    <w:trPr>
                      <w:trHeight w:val="636"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31"/>
                          <w:jc w:val="center"/>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302 </w:t>
                        </w:r>
                        <w:r>
                          <w:rPr>
                            <w:rFonts w:ascii="宋体" w:hAnsi="宋体" w:cs="宋体" w:eastAsia="宋体" w:hint="default"/>
                            <w:sz w:val="21"/>
                            <w:szCs w:val="21"/>
                          </w:rPr>
                          <w:t>会议室</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现场</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机构投资者</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10"/>
                            <w:sz w:val="21"/>
                            <w:szCs w:val="21"/>
                          </w:rPr>
                          <w:t>宏源证券、国瑞汇金、银</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河证券等</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51"/>
                          <w:jc w:val="left"/>
                          <w:rPr>
                            <w:rFonts w:ascii="宋体" w:hAnsi="宋体" w:cs="宋体" w:eastAsia="宋体" w:hint="default"/>
                            <w:sz w:val="21"/>
                            <w:szCs w:val="21"/>
                          </w:rPr>
                        </w:pPr>
                        <w:r>
                          <w:rPr>
                            <w:rFonts w:ascii="宋体" w:hAnsi="宋体" w:cs="宋体" w:eastAsia="宋体" w:hint="default"/>
                            <w:sz w:val="21"/>
                            <w:szCs w:val="21"/>
                          </w:rPr>
                          <w:t>公司情况、行业状况</w:t>
                        </w:r>
                        <w:r>
                          <w:rPr>
                            <w:rFonts w:ascii="宋体" w:hAnsi="宋体" w:cs="宋体" w:eastAsia="宋体" w:hint="default"/>
                            <w:w w:val="100"/>
                            <w:sz w:val="21"/>
                            <w:szCs w:val="21"/>
                          </w:rPr>
                          <w:t> </w:t>
                        </w:r>
                        <w:r>
                          <w:rPr>
                            <w:rFonts w:ascii="宋体" w:hAnsi="宋体" w:cs="宋体" w:eastAsia="宋体" w:hint="default"/>
                            <w:sz w:val="21"/>
                            <w:szCs w:val="21"/>
                          </w:rPr>
                          <w:t>发展趋势等内容</w:t>
                        </w:r>
                      </w:p>
                    </w:tc>
                  </w:tr>
                </w:tbl>
                <w:p>
                  <w:pPr/>
                </w:p>
              </w:txbxContent>
            </v:textbox>
            <w10:wrap type="none"/>
          </v:shape>
        </w:pict>
      </w:r>
      <w:r>
        <w:rPr>
          <w:rFonts w:ascii="宋体" w:hAnsi="宋体" w:cs="宋体" w:eastAsia="宋体" w:hint="default"/>
          <w:w w:val="100"/>
          <w:sz w:val="21"/>
          <w:szCs w:val="21"/>
        </w:rPr>
        <w:t>、</w:t>
      </w:r>
    </w:p>
    <w:p>
      <w:pPr>
        <w:spacing w:line="240" w:lineRule="auto" w:before="9"/>
        <w:rPr>
          <w:rFonts w:ascii="宋体" w:hAnsi="宋体" w:cs="宋体" w:eastAsia="宋体" w:hint="default"/>
          <w:sz w:val="24"/>
          <w:szCs w:val="24"/>
        </w:rPr>
      </w:pPr>
    </w:p>
    <w:p>
      <w:pPr>
        <w:spacing w:before="36"/>
        <w:ind w:left="0" w:right="112" w:firstLine="0"/>
        <w:jc w:val="right"/>
        <w:rPr>
          <w:rFonts w:ascii="宋体" w:hAnsi="宋体" w:cs="宋体" w:eastAsia="宋体" w:hint="default"/>
          <w:sz w:val="21"/>
          <w:szCs w:val="21"/>
        </w:rPr>
      </w:pPr>
      <w:r>
        <w:rPr>
          <w:rFonts w:ascii="宋体" w:hAnsi="宋体" w:cs="宋体" w:eastAsia="宋体" w:hint="default"/>
          <w:w w:val="100"/>
          <w:sz w:val="21"/>
          <w:szCs w:val="21"/>
        </w:rPr>
        <w:t>、</w:t>
      </w:r>
    </w:p>
    <w:p>
      <w:pPr>
        <w:spacing w:line="240" w:lineRule="auto" w:before="7"/>
        <w:rPr>
          <w:rFonts w:ascii="宋体" w:hAnsi="宋体" w:cs="宋体" w:eastAsia="宋体" w:hint="default"/>
          <w:sz w:val="29"/>
          <w:szCs w:val="29"/>
        </w:rPr>
      </w:pPr>
    </w:p>
    <w:p>
      <w:pPr>
        <w:pStyle w:val="BodyText"/>
        <w:spacing w:line="357" w:lineRule="auto" w:before="26"/>
        <w:ind w:left="137" w:right="183" w:firstLine="480"/>
        <w:jc w:val="left"/>
      </w:pPr>
      <w:r>
        <w:rPr>
          <w:spacing w:val="-3"/>
        </w:rPr>
        <w:t>除接待投资者实地调研以外，公司还通过投资者热线接待投资者（特别是广大中小投资</w:t>
      </w:r>
      <w:r>
        <w:rPr/>
        <w:t> 者）的来电来询，在此不一一列举所接待的个人投资者的电话来访。</w:t>
      </w:r>
    </w:p>
    <w:p>
      <w:pPr>
        <w:spacing w:after="0" w:line="357" w:lineRule="auto"/>
        <w:jc w:val="left"/>
        <w:sectPr>
          <w:pgSz w:w="11910" w:h="16840"/>
          <w:pgMar w:header="884" w:footer="1007" w:top="1140" w:bottom="1200" w:left="114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56"/>
        <w:ind w:left="3663" w:right="3675" w:firstLine="0"/>
        <w:jc w:val="center"/>
        <w:rPr>
          <w:rFonts w:ascii="宋体" w:hAnsi="宋体" w:cs="宋体" w:eastAsia="宋体" w:hint="default"/>
          <w:sz w:val="32"/>
          <w:szCs w:val="32"/>
        </w:rPr>
      </w:pPr>
      <w:bookmarkStart w:name="_bookmark37" w:id="38"/>
      <w:bookmarkEnd w:id="38"/>
      <w:r>
        <w:rPr/>
      </w:r>
      <w:r>
        <w:rPr>
          <w:rFonts w:ascii="宋体" w:hAnsi="宋体" w:cs="宋体" w:eastAsia="宋体" w:hint="default"/>
          <w:b/>
          <w:bCs/>
          <w:sz w:val="32"/>
          <w:szCs w:val="32"/>
        </w:rPr>
        <w:t>第五节</w:t>
      </w:r>
      <w:r>
        <w:rPr>
          <w:rFonts w:ascii="宋体" w:hAnsi="宋体" w:cs="宋体" w:eastAsia="宋体" w:hint="default"/>
          <w:b/>
          <w:bCs/>
          <w:spacing w:val="-2"/>
          <w:sz w:val="32"/>
          <w:szCs w:val="32"/>
        </w:rPr>
        <w:t> </w:t>
      </w:r>
      <w:r>
        <w:rPr>
          <w:rFonts w:ascii="宋体" w:hAnsi="宋体" w:cs="宋体" w:eastAsia="宋体" w:hint="default"/>
          <w:b/>
          <w:bCs/>
          <w:sz w:val="32"/>
          <w:szCs w:val="32"/>
        </w:rPr>
        <w:t>重要事项</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right="0"/>
        <w:jc w:val="left"/>
        <w:rPr>
          <w:b w:val="0"/>
          <w:bCs w:val="0"/>
        </w:rPr>
      </w:pPr>
      <w:bookmarkStart w:name="_bookmark38" w:id="39"/>
      <w:bookmarkEnd w:id="39"/>
      <w:r>
        <w:rPr>
          <w:b w:val="0"/>
          <w:bCs w:val="0"/>
        </w:rPr>
      </w:r>
      <w:r>
        <w:rPr/>
        <w:t>一、重大诉讼仲裁事项</w:t>
      </w:r>
      <w:r>
        <w:rPr>
          <w:b w:val="0"/>
          <w:bCs w:val="0"/>
        </w:rPr>
      </w:r>
    </w:p>
    <w:p>
      <w:pPr>
        <w:spacing w:line="240" w:lineRule="auto" w:before="11"/>
        <w:rPr>
          <w:rFonts w:ascii="宋体" w:hAnsi="宋体" w:cs="宋体" w:eastAsia="宋体" w:hint="default"/>
          <w:b/>
          <w:bCs/>
          <w:sz w:val="28"/>
          <w:szCs w:val="28"/>
        </w:rPr>
      </w:pPr>
    </w:p>
    <w:p>
      <w:pPr>
        <w:pStyle w:val="BodyText"/>
        <w:spacing w:line="338" w:lineRule="auto"/>
        <w:ind w:left="562" w:right="536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本年度公司无重大诉讼、仲裁事项。</w:t>
      </w:r>
    </w:p>
    <w:p>
      <w:pPr>
        <w:spacing w:line="240" w:lineRule="auto" w:before="5"/>
        <w:rPr>
          <w:rFonts w:ascii="宋体" w:hAnsi="宋体" w:cs="宋体" w:eastAsia="宋体" w:hint="default"/>
          <w:sz w:val="21"/>
          <w:szCs w:val="21"/>
        </w:rPr>
      </w:pPr>
    </w:p>
    <w:p>
      <w:pPr>
        <w:pStyle w:val="Heading4"/>
        <w:spacing w:line="240" w:lineRule="auto"/>
        <w:ind w:right="0"/>
        <w:jc w:val="left"/>
        <w:rPr>
          <w:b w:val="0"/>
          <w:bCs w:val="0"/>
        </w:rPr>
      </w:pPr>
      <w:bookmarkStart w:name="_bookmark39" w:id="40"/>
      <w:bookmarkEnd w:id="40"/>
      <w:r>
        <w:rPr>
          <w:b w:val="0"/>
          <w:bCs w:val="0"/>
        </w:rPr>
      </w:r>
      <w:r>
        <w:rPr/>
        <w:t>二、上市公司发生控股股东及其关联方非经营性占用资金情况</w:t>
      </w:r>
      <w:r>
        <w:rPr>
          <w:b w:val="0"/>
          <w:bCs w:val="0"/>
        </w:rPr>
      </w:r>
    </w:p>
    <w:p>
      <w:pPr>
        <w:spacing w:line="240" w:lineRule="auto" w:before="8"/>
        <w:rPr>
          <w:rFonts w:ascii="宋体" w:hAnsi="宋体" w:cs="宋体" w:eastAsia="宋体" w:hint="default"/>
          <w:b/>
          <w:bCs/>
          <w:sz w:val="28"/>
          <w:szCs w:val="28"/>
        </w:rPr>
      </w:pPr>
    </w:p>
    <w:p>
      <w:pPr>
        <w:pStyle w:val="BodyText"/>
        <w:spacing w:line="338" w:lineRule="auto"/>
        <w:ind w:left="562" w:right="44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详见会计师事务所对资金占用的专项审核意见</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_bookmark40" w:id="41"/>
      <w:bookmarkEnd w:id="41"/>
      <w:r>
        <w:rPr>
          <w:b w:val="0"/>
          <w:bCs w:val="0"/>
        </w:rPr>
      </w:r>
      <w:r>
        <w:rPr/>
        <w:t>三、破产重整相关事项</w:t>
      </w:r>
      <w:r>
        <w:rPr>
          <w:b w:val="0"/>
          <w:bCs w:val="0"/>
        </w:rPr>
      </w:r>
    </w:p>
    <w:p>
      <w:pPr>
        <w:spacing w:line="240" w:lineRule="auto" w:before="11"/>
        <w:rPr>
          <w:rFonts w:ascii="宋体" w:hAnsi="宋体" w:cs="宋体" w:eastAsia="宋体" w:hint="default"/>
          <w:b/>
          <w:bCs/>
          <w:sz w:val="28"/>
          <w:szCs w:val="28"/>
        </w:rPr>
      </w:pPr>
    </w:p>
    <w:p>
      <w:pPr>
        <w:pStyle w:val="BodyText"/>
        <w:spacing w:line="338" w:lineRule="auto"/>
        <w:ind w:left="617" w:right="143" w:hanging="5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w:t>
      </w:r>
      <w:r>
        <w:rPr>
          <w:spacing w:val="-3"/>
        </w:rPr>
        <w:t>报告期内，公司未发生如向法院申请重整、和解或破产清算，法院受理重整、和解或破</w:t>
      </w:r>
    </w:p>
    <w:p>
      <w:pPr>
        <w:spacing w:line="528" w:lineRule="auto" w:before="55"/>
        <w:ind w:left="137" w:right="6509" w:firstLine="0"/>
        <w:jc w:val="left"/>
        <w:rPr>
          <w:rFonts w:ascii="宋体" w:hAnsi="宋体" w:cs="宋体" w:eastAsia="宋体" w:hint="default"/>
          <w:sz w:val="24"/>
          <w:szCs w:val="24"/>
        </w:rPr>
      </w:pPr>
      <w:r>
        <w:rPr>
          <w:rFonts w:ascii="宋体" w:hAnsi="宋体" w:cs="宋体" w:eastAsia="宋体" w:hint="default"/>
          <w:sz w:val="24"/>
          <w:szCs w:val="24"/>
        </w:rPr>
        <w:t>产清算等破产重整相关事项。 </w:t>
      </w:r>
      <w:bookmarkStart w:name="_bookmark41" w:id="42"/>
      <w:bookmarkEnd w:id="42"/>
      <w:r>
        <w:rPr>
          <w:rFonts w:ascii="宋体" w:hAnsi="宋体" w:cs="宋体" w:eastAsia="宋体" w:hint="default"/>
          <w:sz w:val="24"/>
          <w:szCs w:val="24"/>
        </w:rPr>
      </w:r>
      <w:r>
        <w:rPr>
          <w:rFonts w:ascii="宋体" w:hAnsi="宋体" w:cs="宋体" w:eastAsia="宋体" w:hint="default"/>
          <w:b/>
          <w:bCs/>
          <w:sz w:val="24"/>
          <w:szCs w:val="24"/>
        </w:rPr>
        <w:t>四、资产交易事项</w:t>
      </w:r>
      <w:r>
        <w:rPr>
          <w:rFonts w:ascii="宋体" w:hAnsi="宋体" w:cs="宋体" w:eastAsia="宋体" w:hint="default"/>
          <w:sz w:val="24"/>
          <w:szCs w:val="24"/>
        </w:rPr>
      </w:r>
    </w:p>
    <w:p>
      <w:pPr>
        <w:spacing w:line="451" w:lineRule="auto" w:before="10"/>
        <w:ind w:left="137" w:right="5549" w:firstLine="0"/>
        <w:jc w:val="left"/>
        <w:rPr>
          <w:rFonts w:ascii="宋体" w:hAnsi="宋体" w:cs="宋体" w:eastAsia="宋体" w:hint="default"/>
          <w:sz w:val="24"/>
          <w:szCs w:val="24"/>
        </w:rPr>
      </w:pPr>
      <w:bookmarkStart w:name="_bookmark42" w:id="43"/>
      <w:bookmarkEnd w:id="43"/>
      <w:r>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、收购资产情况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报告期内，公司未发生收购资产情况。 </w:t>
      </w:r>
      <w:bookmarkStart w:name="_bookmark43" w:id="44"/>
      <w:bookmarkEnd w:id="44"/>
      <w:r>
        <w:rPr>
          <w:rFonts w:ascii="宋体" w:hAnsi="宋体" w:cs="宋体" w:eastAsia="宋体" w:hint="default"/>
          <w:sz w:val="24"/>
          <w:szCs w:val="24"/>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、出售资产情况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报告期内，公司未发生出售资产情况。</w:t>
      </w:r>
    </w:p>
    <w:p>
      <w:pPr>
        <w:spacing w:line="554" w:lineRule="auto" w:before="166"/>
        <w:ind w:left="137" w:right="5549" w:firstLine="0"/>
        <w:jc w:val="left"/>
        <w:rPr>
          <w:rFonts w:ascii="宋体" w:hAnsi="宋体" w:cs="宋体" w:eastAsia="宋体" w:hint="default"/>
          <w:sz w:val="24"/>
          <w:szCs w:val="24"/>
        </w:rPr>
      </w:pPr>
      <w:bookmarkStart w:name="_bookmark44" w:id="45"/>
      <w:bookmarkEnd w:id="45"/>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、企业合并情况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报告期内，公司未发生企业合并情况。</w:t>
      </w:r>
    </w:p>
    <w:p>
      <w:pPr>
        <w:spacing w:after="0" w:line="554" w:lineRule="auto"/>
        <w:jc w:val="left"/>
        <w:rPr>
          <w:rFonts w:ascii="宋体" w:hAnsi="宋体" w:cs="宋体" w:eastAsia="宋体" w:hint="default"/>
          <w:sz w:val="24"/>
          <w:szCs w:val="24"/>
        </w:rPr>
        <w:sectPr>
          <w:pgSz w:w="11910" w:h="16840"/>
          <w:pgMar w:header="884" w:footer="1007" w:top="1140" w:bottom="1200" w:left="1140" w:right="980"/>
        </w:sectPr>
      </w:pPr>
    </w:p>
    <w:p>
      <w:pPr>
        <w:spacing w:line="240" w:lineRule="auto" w:before="6"/>
        <w:rPr>
          <w:rFonts w:ascii="宋体" w:hAnsi="宋体" w:cs="宋体" w:eastAsia="宋体" w:hint="default"/>
          <w:sz w:val="22"/>
          <w:szCs w:val="22"/>
        </w:rPr>
      </w:pPr>
    </w:p>
    <w:p>
      <w:pPr>
        <w:pStyle w:val="Heading4"/>
        <w:spacing w:line="338" w:lineRule="auto" w:before="26"/>
        <w:ind w:right="0"/>
        <w:jc w:val="left"/>
        <w:rPr>
          <w:b w:val="0"/>
          <w:bCs w:val="0"/>
        </w:rPr>
      </w:pPr>
      <w:bookmarkStart w:name="_bookmark45" w:id="46"/>
      <w:bookmarkEnd w:id="46"/>
      <w:r>
        <w:rPr>
          <w:b w:val="0"/>
          <w:bCs w:val="0"/>
        </w:rPr>
      </w:r>
      <w:r>
        <w:rPr>
          <w:rFonts w:ascii="Times New Roman" w:hAnsi="Times New Roman" w:cs="Times New Roman" w:eastAsia="Times New Roman" w:hint="default"/>
          <w:w w:val="95"/>
        </w:rPr>
        <w:t>4</w:t>
      </w:r>
      <w:r>
        <w:rPr>
          <w:w w:val="95"/>
        </w:rPr>
        <w:t>、自资产重组报告书或收购出售资产公告刊登后，该事项的进展情况及对报告期经营成果</w:t>
      </w:r>
      <w:r>
        <w:rPr>
          <w:spacing w:val="104"/>
          <w:w w:val="95"/>
        </w:rPr>
        <w:t> </w:t>
      </w:r>
      <w:r>
        <w:rPr>
          <w:spacing w:val="104"/>
          <w:w w:val="95"/>
        </w:rPr>
      </w:r>
      <w:r>
        <w:rPr/>
        <w:t>与财务状况的影响</w:t>
      </w:r>
      <w:r>
        <w:rPr>
          <w:b w:val="0"/>
          <w:bCs w:val="0"/>
        </w:rPr>
      </w:r>
    </w:p>
    <w:p>
      <w:pPr>
        <w:spacing w:line="240" w:lineRule="auto" w:before="2"/>
        <w:rPr>
          <w:rFonts w:ascii="宋体" w:hAnsi="宋体" w:cs="宋体" w:eastAsia="宋体" w:hint="default"/>
          <w:b/>
          <w:bCs/>
          <w:sz w:val="27"/>
          <w:szCs w:val="27"/>
        </w:rPr>
      </w:pPr>
    </w:p>
    <w:p>
      <w:pPr>
        <w:spacing w:line="528" w:lineRule="auto" w:before="0"/>
        <w:ind w:left="137" w:right="5533" w:firstLine="0"/>
        <w:jc w:val="left"/>
        <w:rPr>
          <w:rFonts w:ascii="宋体" w:hAnsi="宋体" w:cs="宋体" w:eastAsia="宋体" w:hint="default"/>
          <w:sz w:val="24"/>
          <w:szCs w:val="24"/>
        </w:rPr>
      </w:pPr>
      <w:r>
        <w:rPr>
          <w:rFonts w:ascii="宋体" w:hAnsi="宋体" w:cs="宋体" w:eastAsia="宋体" w:hint="default"/>
          <w:sz w:val="24"/>
          <w:szCs w:val="24"/>
        </w:rPr>
        <w:t>报告期内，公司未发生资产重组情况。 </w:t>
      </w:r>
      <w:bookmarkStart w:name="_bookmark46" w:id="47"/>
      <w:bookmarkEnd w:id="47"/>
      <w:r>
        <w:rPr>
          <w:rFonts w:ascii="宋体" w:hAnsi="宋体" w:cs="宋体" w:eastAsia="宋体" w:hint="default"/>
          <w:sz w:val="24"/>
          <w:szCs w:val="24"/>
        </w:rPr>
      </w:r>
      <w:r>
        <w:rPr>
          <w:rFonts w:ascii="宋体" w:hAnsi="宋体" w:cs="宋体" w:eastAsia="宋体" w:hint="default"/>
          <w:b/>
          <w:bCs/>
          <w:sz w:val="24"/>
          <w:szCs w:val="24"/>
        </w:rPr>
        <w:t>五、公司股权激励的实施情况及其影响</w:t>
      </w:r>
      <w:r>
        <w:rPr>
          <w:rFonts w:ascii="宋体" w:hAnsi="宋体" w:cs="宋体" w:eastAsia="宋体" w:hint="default"/>
          <w:sz w:val="24"/>
          <w:szCs w:val="24"/>
        </w:rPr>
      </w:r>
    </w:p>
    <w:p>
      <w:pPr>
        <w:pStyle w:val="BodyText"/>
        <w:spacing w:line="338" w:lineRule="auto" w:before="89"/>
        <w:ind w:left="137" w:right="151" w:firstLine="48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24</w:t>
      </w:r>
      <w:r>
        <w:rPr/>
        <w:t>日，公司第一届董事会第十七次会议和第一届监事会第九次会议，审议通 过了《北京超图软件股份有限公司股票期权激励计划（草案）》及其摘要，拟向</w:t>
      </w:r>
      <w:r>
        <w:rPr>
          <w:rFonts w:ascii="Times New Roman" w:hAnsi="Times New Roman" w:cs="Times New Roman" w:eastAsia="Times New Roman" w:hint="default"/>
        </w:rPr>
        <w:t>125</w:t>
      </w:r>
      <w:r>
        <w:rPr/>
        <w:t>名激励</w:t>
      </w:r>
      <w:r>
        <w:rPr>
          <w:spacing w:val="-107"/>
        </w:rPr>
        <w:t> </w:t>
      </w:r>
      <w:r>
        <w:rPr>
          <w:spacing w:val="-3"/>
        </w:rPr>
        <w:t>对象（包括一名高管人员以及其他核心技术（业务）人员</w:t>
      </w:r>
      <w:r>
        <w:rPr>
          <w:rFonts w:ascii="Times New Roman" w:hAnsi="Times New Roman" w:cs="Times New Roman" w:eastAsia="Times New Roman" w:hint="default"/>
          <w:spacing w:val="-3"/>
        </w:rPr>
        <w:t>124</w:t>
      </w:r>
      <w:r>
        <w:rPr>
          <w:spacing w:val="-3"/>
        </w:rPr>
        <w:t>名）授予</w:t>
      </w:r>
      <w:r>
        <w:rPr>
          <w:rFonts w:ascii="Times New Roman" w:hAnsi="Times New Roman" w:cs="Times New Roman" w:eastAsia="Times New Roman" w:hint="default"/>
          <w:spacing w:val="-3"/>
        </w:rPr>
        <w:t>200</w:t>
      </w:r>
      <w:r>
        <w:rPr>
          <w:spacing w:val="-3"/>
        </w:rPr>
        <w:t>万份股票期权。前</w:t>
      </w:r>
      <w:r>
        <w:rPr>
          <w:spacing w:val="-99"/>
        </w:rPr>
        <w:t> </w:t>
      </w:r>
      <w:r>
        <w:rPr>
          <w:spacing w:val="-99"/>
        </w:rPr>
      </w:r>
      <w:r>
        <w:rPr>
          <w:spacing w:val="-3"/>
        </w:rPr>
        <w:t>述股权激励计划（草案）上报中国证监会备案无异议后，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8</w:t>
      </w:r>
      <w:r>
        <w:rPr>
          <w:spacing w:val="-3"/>
        </w:rPr>
        <w:t>日，公司召开</w:t>
      </w:r>
      <w:r>
        <w:rPr>
          <w:rFonts w:ascii="Times New Roman" w:hAnsi="Times New Roman" w:cs="Times New Roman" w:eastAsia="Times New Roman" w:hint="default"/>
          <w:spacing w:val="-3"/>
        </w:rPr>
        <w:t>2011</w:t>
      </w:r>
      <w:r>
        <w:rPr>
          <w:spacing w:val="-3"/>
        </w:rPr>
        <w:t>年第</w:t>
      </w:r>
      <w:r>
        <w:rPr>
          <w:spacing w:val="-92"/>
        </w:rPr>
        <w:t> </w:t>
      </w:r>
      <w:r>
        <w:rPr/>
        <w:t>一次临时股东大会审议通过了《股票期权激励计划》并授权董事会办理相关事宜。</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47"/>
        </w:rPr>
        <w:t> </w:t>
      </w:r>
      <w:r>
        <w:rPr/>
        <w:t>月</w:t>
      </w:r>
      <w:r>
        <w:rPr>
          <w:rFonts w:ascii="Times New Roman" w:hAnsi="Times New Roman" w:cs="Times New Roman" w:eastAsia="Times New Roman" w:hint="default"/>
        </w:rPr>
        <w:t>10</w:t>
      </w:r>
      <w:r>
        <w:rPr/>
        <w:t>日，召开董事会、监事会，同意向</w:t>
      </w:r>
      <w:r>
        <w:rPr>
          <w:rFonts w:ascii="Times New Roman" w:hAnsi="Times New Roman" w:cs="Times New Roman" w:eastAsia="Times New Roman" w:hint="default"/>
        </w:rPr>
        <w:t>114</w:t>
      </w:r>
      <w:r>
        <w:rPr/>
        <w:t>名激励对象授予</w:t>
      </w:r>
      <w:r>
        <w:rPr>
          <w:rFonts w:ascii="Times New Roman" w:hAnsi="Times New Roman" w:cs="Times New Roman" w:eastAsia="Times New Roman" w:hint="default"/>
        </w:rPr>
        <w:t>314.88</w:t>
      </w:r>
      <w:r>
        <w:rPr/>
        <w:t>万份股票期权。</w:t>
      </w:r>
    </w:p>
    <w:p>
      <w:pPr>
        <w:pStyle w:val="BodyText"/>
        <w:spacing w:line="343" w:lineRule="auto" w:before="27"/>
        <w:ind w:left="137" w:right="147" w:firstLine="480"/>
        <w:jc w:val="both"/>
      </w:pPr>
      <w:r>
        <w:rPr>
          <w:spacing w:val="-3"/>
        </w:rPr>
        <w:t>鉴于自公司</w:t>
      </w:r>
      <w:r>
        <w:rPr>
          <w:rFonts w:ascii="Times New Roman" w:hAnsi="Times New Roman" w:cs="Times New Roman" w:eastAsia="Times New Roman" w:hint="default"/>
          <w:spacing w:val="-3"/>
        </w:rPr>
        <w:t>2011</w:t>
      </w:r>
      <w:r>
        <w:rPr>
          <w:spacing w:val="-3"/>
        </w:rPr>
        <w:t>年推出股权激励计划以来，国内证券市场环境发生较大变化，市场价值</w:t>
      </w:r>
      <w:r>
        <w:rPr/>
        <w:t> </w:t>
      </w:r>
      <w:r>
        <w:rPr>
          <w:spacing w:val="-3"/>
        </w:rPr>
        <w:t>持续低迷，若继续实施股票期权激励计划，将很难真正达到预期的激励效果，因此公司董事</w:t>
      </w:r>
      <w:r>
        <w:rPr>
          <w:spacing w:val="-102"/>
        </w:rPr>
        <w:t> </w:t>
      </w:r>
      <w:r>
        <w:rPr>
          <w:spacing w:val="-102"/>
        </w:rPr>
      </w:r>
      <w:r>
        <w:rPr>
          <w:spacing w:val="-3"/>
        </w:rPr>
        <w:t>会于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w:t>
      </w:r>
      <w:r>
        <w:rPr>
          <w:spacing w:val="-3"/>
        </w:rPr>
        <w:t>日召开第二届第十二次会议，审议通过了《关于终止实施</w:t>
      </w:r>
      <w:r>
        <w:rPr>
          <w:rFonts w:ascii="Times New Roman" w:hAnsi="Times New Roman" w:cs="Times New Roman" w:eastAsia="Times New Roman" w:hint="default"/>
          <w:spacing w:val="-3"/>
        </w:rPr>
        <w:t>&lt;</w:t>
      </w:r>
      <w:r>
        <w:rPr>
          <w:spacing w:val="-3"/>
        </w:rPr>
        <w:t>北京超图软件股</w:t>
      </w:r>
      <w:r>
        <w:rPr>
          <w:spacing w:val="-109"/>
        </w:rPr>
        <w:t> </w:t>
      </w:r>
      <w:r>
        <w:rPr/>
        <w:t>份有限公司股票期权激励计划</w:t>
      </w:r>
      <w:r>
        <w:rPr>
          <w:rFonts w:ascii="Times New Roman" w:hAnsi="Times New Roman" w:cs="Times New Roman" w:eastAsia="Times New Roman" w:hint="default"/>
        </w:rPr>
        <w:t>&gt;</w:t>
      </w:r>
      <w:r>
        <w:rPr/>
        <w:t>的议案》，决定终止正在实施的股票期权激励计划，因公司 </w:t>
      </w:r>
      <w:r>
        <w:rPr>
          <w:spacing w:val="-1"/>
        </w:rPr>
        <w:t>终止实施而涉及激励对象</w:t>
      </w:r>
      <w:r>
        <w:rPr>
          <w:rFonts w:ascii="Times New Roman" w:hAnsi="Times New Roman" w:cs="Times New Roman" w:eastAsia="Times New Roman" w:hint="default"/>
          <w:spacing w:val="-1"/>
        </w:rPr>
        <w:t>92</w:t>
      </w:r>
      <w:r>
        <w:rPr>
          <w:spacing w:val="-1"/>
        </w:rPr>
        <w:t>人、股票期权份数</w:t>
      </w:r>
      <w:r>
        <w:rPr>
          <w:rFonts w:ascii="Times New Roman" w:hAnsi="Times New Roman" w:cs="Times New Roman" w:eastAsia="Times New Roman" w:hint="default"/>
          <w:spacing w:val="-1"/>
        </w:rPr>
        <w:t>259.52</w:t>
      </w:r>
      <w:r>
        <w:rPr>
          <w:spacing w:val="-1"/>
        </w:rPr>
        <w:t>万份。</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22</w:t>
      </w:r>
      <w:r>
        <w:rPr>
          <w:spacing w:val="-1"/>
        </w:rPr>
        <w:t>日，公司将已授予</w:t>
      </w:r>
      <w:r>
        <w:rPr>
          <w:spacing w:val="-117"/>
        </w:rPr>
        <w:t> </w:t>
      </w:r>
      <w:r>
        <w:rPr>
          <w:spacing w:val="-117"/>
        </w:rPr>
      </w:r>
      <w:r>
        <w:rPr/>
        <w:t>股票期权进行了注销。</w:t>
      </w:r>
    </w:p>
    <w:p>
      <w:pPr>
        <w:pStyle w:val="BodyText"/>
        <w:spacing w:line="357" w:lineRule="auto" w:before="48"/>
        <w:ind w:left="137" w:right="150" w:firstLine="480"/>
        <w:jc w:val="both"/>
      </w:pPr>
      <w:r>
        <w:rPr>
          <w:spacing w:val="-3"/>
        </w:rPr>
        <w:t>有关公司股权激励计划注销相关事宜详见公司披露于巨潮资讯网的相关公告，具体公告</w:t>
      </w:r>
      <w:r>
        <w:rPr/>
        <w:t> 有：</w:t>
      </w:r>
    </w:p>
    <w:tbl>
      <w:tblPr>
        <w:tblW w:w="0" w:type="auto"/>
        <w:jc w:val="left"/>
        <w:tblInd w:w="103" w:type="dxa"/>
        <w:tblLayout w:type="fixed"/>
        <w:tblCellMar>
          <w:top w:w="0" w:type="dxa"/>
          <w:left w:w="0" w:type="dxa"/>
          <w:bottom w:w="0" w:type="dxa"/>
          <w:right w:w="0" w:type="dxa"/>
        </w:tblCellMar>
        <w:tblLook w:val="01E0"/>
      </w:tblPr>
      <w:tblGrid>
        <w:gridCol w:w="4861"/>
        <w:gridCol w:w="2516"/>
        <w:gridCol w:w="2177"/>
      </w:tblGrid>
      <w:tr>
        <w:trPr>
          <w:trHeight w:val="323" w:hRule="exact"/>
        </w:trPr>
        <w:tc>
          <w:tcPr>
            <w:tcW w:w="4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临时公告名称</w:t>
            </w:r>
            <w:r>
              <w:rPr>
                <w:rFonts w:ascii="宋体" w:hAnsi="宋体" w:cs="宋体" w:eastAsia="宋体" w:hint="default"/>
                <w:sz w:val="21"/>
                <w:szCs w:val="21"/>
              </w:rPr>
            </w:r>
          </w:p>
        </w:tc>
        <w:tc>
          <w:tcPr>
            <w:tcW w:w="2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08" w:right="0"/>
              <w:jc w:val="left"/>
              <w:rPr>
                <w:rFonts w:ascii="宋体" w:hAnsi="宋体" w:cs="宋体" w:eastAsia="宋体" w:hint="default"/>
                <w:sz w:val="21"/>
                <w:szCs w:val="21"/>
              </w:rPr>
            </w:pPr>
            <w:r>
              <w:rPr>
                <w:rFonts w:ascii="宋体" w:hAnsi="宋体" w:cs="宋体" w:eastAsia="宋体" w:hint="default"/>
                <w:b/>
                <w:bCs/>
                <w:sz w:val="21"/>
                <w:szCs w:val="21"/>
              </w:rPr>
              <w:t>临时公告披露日期</w:t>
            </w:r>
            <w:r>
              <w:rPr>
                <w:rFonts w:ascii="宋体" w:hAnsi="宋体" w:cs="宋体" w:eastAsia="宋体" w:hint="default"/>
                <w:sz w:val="21"/>
                <w:szCs w:val="21"/>
              </w:rPr>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b/>
                <w:bCs/>
                <w:sz w:val="21"/>
                <w:szCs w:val="21"/>
              </w:rPr>
              <w:t>临时公告披露索引</w:t>
            </w:r>
            <w:r>
              <w:rPr>
                <w:rFonts w:ascii="宋体" w:hAnsi="宋体" w:cs="宋体" w:eastAsia="宋体" w:hint="default"/>
                <w:sz w:val="21"/>
                <w:szCs w:val="21"/>
              </w:rPr>
            </w: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第二届董事会第十二次会议决议公告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2012-033</w:t>
            </w: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4" w:right="0"/>
              <w:jc w:val="left"/>
              <w:rPr>
                <w:rFonts w:ascii="宋体" w:hAnsi="宋体" w:cs="宋体" w:eastAsia="宋体" w:hint="default"/>
                <w:sz w:val="21"/>
                <w:szCs w:val="21"/>
              </w:rPr>
            </w:pPr>
            <w:r>
              <w:rPr>
                <w:rFonts w:ascii="宋体" w:hAnsi="宋体" w:cs="宋体" w:eastAsia="宋体" w:hint="default"/>
                <w:sz w:val="21"/>
                <w:szCs w:val="21"/>
              </w:rPr>
              <w:t>第二届监事会第十一次会议决议公告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2012-034</w:t>
            </w: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关于股票期权激励计划注销事项的公告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2012-035</w:t>
            </w:r>
          </w:p>
        </w:tc>
      </w:tr>
      <w:tr>
        <w:trPr>
          <w:trHeight w:val="322"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独立董事关于股票期权相关事项的独立意见</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634"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9"/>
              <w:jc w:val="left"/>
              <w:rPr>
                <w:rFonts w:ascii="宋体" w:hAnsi="宋体" w:cs="宋体" w:eastAsia="宋体" w:hint="default"/>
                <w:sz w:val="21"/>
                <w:szCs w:val="21"/>
              </w:rPr>
            </w:pPr>
            <w:r>
              <w:rPr>
                <w:rFonts w:ascii="宋体" w:hAnsi="宋体" w:cs="宋体" w:eastAsia="宋体" w:hint="default"/>
                <w:spacing w:val="-2"/>
                <w:sz w:val="21"/>
                <w:szCs w:val="21"/>
              </w:rPr>
              <w:t>北京市天元律师事务所关于公司注销已授予股票期</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权事项的法律意见</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r>
      <w:tr>
        <w:trPr>
          <w:trHeight w:val="324" w:hRule="exact"/>
        </w:trPr>
        <w:tc>
          <w:tcPr>
            <w:tcW w:w="48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股权激励已授予股票期权注销完成公告</w:t>
            </w:r>
          </w:p>
        </w:tc>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sz w:val="21"/>
              </w:rPr>
              <w:t>2012-037</w:t>
            </w:r>
          </w:p>
        </w:tc>
      </w:tr>
    </w:tbl>
    <w:p>
      <w:pPr>
        <w:spacing w:line="240" w:lineRule="auto" w:before="1"/>
        <w:rPr>
          <w:rFonts w:ascii="宋体" w:hAnsi="宋体" w:cs="宋体" w:eastAsia="宋体" w:hint="default"/>
          <w:sz w:val="18"/>
          <w:szCs w:val="18"/>
        </w:rPr>
      </w:pPr>
    </w:p>
    <w:p>
      <w:pPr>
        <w:spacing w:line="465" w:lineRule="auto" w:before="26"/>
        <w:ind w:left="137" w:right="5549" w:firstLine="0"/>
        <w:jc w:val="left"/>
        <w:rPr>
          <w:rFonts w:ascii="宋体" w:hAnsi="宋体" w:cs="宋体" w:eastAsia="宋体" w:hint="default"/>
          <w:sz w:val="24"/>
          <w:szCs w:val="24"/>
        </w:rPr>
      </w:pPr>
      <w:bookmarkStart w:name="_bookmark47" w:id="48"/>
      <w:bookmarkEnd w:id="48"/>
      <w:r>
        <w:rPr/>
      </w:r>
      <w:r>
        <w:rPr>
          <w:rFonts w:ascii="宋体" w:hAnsi="宋体" w:cs="宋体" w:eastAsia="宋体" w:hint="default"/>
          <w:b/>
          <w:bCs/>
          <w:sz w:val="24"/>
          <w:szCs w:val="24"/>
        </w:rPr>
        <w:t>六、重大关联交易</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报告期内，公司未发生重大关联交易。</w:t>
      </w:r>
    </w:p>
    <w:p>
      <w:pPr>
        <w:spacing w:after="0" w:line="465" w:lineRule="auto"/>
        <w:jc w:val="left"/>
        <w:rPr>
          <w:rFonts w:ascii="宋体" w:hAnsi="宋体" w:cs="宋体" w:eastAsia="宋体" w:hint="default"/>
          <w:sz w:val="24"/>
          <w:szCs w:val="24"/>
        </w:rPr>
        <w:sectPr>
          <w:pgSz w:w="11910" w:h="16840"/>
          <w:pgMar w:header="884" w:footer="1007" w:top="1140" w:bottom="1200" w:left="1140" w:right="980"/>
        </w:sectPr>
      </w:pPr>
    </w:p>
    <w:p>
      <w:pPr>
        <w:spacing w:line="240" w:lineRule="auto" w:before="6"/>
        <w:rPr>
          <w:rFonts w:ascii="宋体" w:hAnsi="宋体" w:cs="宋体" w:eastAsia="宋体" w:hint="default"/>
          <w:sz w:val="22"/>
          <w:szCs w:val="22"/>
        </w:rPr>
      </w:pPr>
    </w:p>
    <w:p>
      <w:pPr>
        <w:pStyle w:val="Heading4"/>
        <w:spacing w:line="240" w:lineRule="auto" w:before="26"/>
        <w:ind w:left="157" w:right="272"/>
        <w:jc w:val="left"/>
        <w:rPr>
          <w:b w:val="0"/>
          <w:bCs w:val="0"/>
        </w:rPr>
      </w:pPr>
      <w:bookmarkStart w:name="_bookmark48" w:id="49"/>
      <w:bookmarkEnd w:id="4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0"/>
          <w:szCs w:val="10"/>
        </w:rPr>
      </w:pPr>
    </w:p>
    <w:tbl>
      <w:tblPr>
        <w:tblW w:w="0" w:type="auto"/>
        <w:jc w:val="left"/>
        <w:tblInd w:w="123" w:type="dxa"/>
        <w:tblLayout w:type="fixed"/>
        <w:tblCellMar>
          <w:top w:w="0" w:type="dxa"/>
          <w:left w:w="0" w:type="dxa"/>
          <w:bottom w:w="0" w:type="dxa"/>
          <w:right w:w="0" w:type="dxa"/>
        </w:tblCellMar>
        <w:tblLook w:val="01E0"/>
      </w:tblPr>
      <w:tblGrid>
        <w:gridCol w:w="792"/>
        <w:gridCol w:w="794"/>
        <w:gridCol w:w="794"/>
        <w:gridCol w:w="814"/>
        <w:gridCol w:w="794"/>
        <w:gridCol w:w="859"/>
        <w:gridCol w:w="735"/>
        <w:gridCol w:w="797"/>
        <w:gridCol w:w="794"/>
        <w:gridCol w:w="797"/>
        <w:gridCol w:w="794"/>
        <w:gridCol w:w="787"/>
      </w:tblGrid>
      <w:tr>
        <w:trPr>
          <w:trHeight w:val="1882"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73" w:lineRule="auto"/>
              <w:ind w:left="180" w:right="72" w:hanging="106"/>
              <w:jc w:val="left"/>
              <w:rPr>
                <w:rFonts w:ascii="宋体" w:hAnsi="宋体" w:cs="宋体" w:eastAsia="宋体" w:hint="default"/>
                <w:sz w:val="21"/>
                <w:szCs w:val="21"/>
              </w:rPr>
            </w:pPr>
            <w:r>
              <w:rPr>
                <w:rFonts w:ascii="宋体" w:hAnsi="宋体" w:cs="宋体" w:eastAsia="宋体" w:hint="default"/>
                <w:b/>
                <w:bCs/>
                <w:sz w:val="21"/>
                <w:szCs w:val="21"/>
              </w:rPr>
              <w:t>关联交</w:t>
            </w:r>
            <w:r>
              <w:rPr>
                <w:rFonts w:ascii="宋体" w:hAnsi="宋体" w:cs="宋体" w:eastAsia="宋体" w:hint="default"/>
                <w:b/>
                <w:bCs/>
                <w:w w:val="100"/>
                <w:sz w:val="21"/>
                <w:szCs w:val="21"/>
              </w:rPr>
              <w:t> </w:t>
            </w:r>
            <w:r>
              <w:rPr>
                <w:rFonts w:ascii="宋体" w:hAnsi="宋体" w:cs="宋体" w:eastAsia="宋体" w:hint="default"/>
                <w:b/>
                <w:bCs/>
                <w:sz w:val="21"/>
                <w:szCs w:val="21"/>
              </w:rPr>
              <w:t>易方</w:t>
            </w:r>
            <w:r>
              <w:rPr>
                <w:rFonts w:ascii="宋体" w:hAnsi="宋体" w:cs="宋体" w:eastAsia="宋体" w:hint="default"/>
                <w:sz w:val="21"/>
                <w:szCs w:val="21"/>
              </w:rPr>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73" w:lineRule="auto"/>
              <w:ind w:left="285" w:right="74" w:hanging="212"/>
              <w:jc w:val="left"/>
              <w:rPr>
                <w:rFonts w:ascii="宋体" w:hAnsi="宋体" w:cs="宋体" w:eastAsia="宋体" w:hint="default"/>
                <w:sz w:val="21"/>
                <w:szCs w:val="21"/>
              </w:rPr>
            </w:pPr>
            <w:r>
              <w:rPr>
                <w:rFonts w:ascii="宋体" w:hAnsi="宋体" w:cs="宋体" w:eastAsia="宋体" w:hint="default"/>
                <w:b/>
                <w:bCs/>
                <w:sz w:val="21"/>
                <w:szCs w:val="21"/>
              </w:rPr>
              <w:t>关联关</w:t>
            </w:r>
            <w:r>
              <w:rPr>
                <w:rFonts w:ascii="宋体" w:hAnsi="宋体" w:cs="宋体" w:eastAsia="宋体" w:hint="default"/>
                <w:b/>
                <w:bCs/>
                <w:w w:val="100"/>
                <w:sz w:val="21"/>
                <w:szCs w:val="21"/>
              </w:rPr>
              <w:t> </w:t>
            </w:r>
            <w:r>
              <w:rPr>
                <w:rFonts w:ascii="宋体" w:hAnsi="宋体" w:cs="宋体" w:eastAsia="宋体" w:hint="default"/>
                <w:b/>
                <w:bCs/>
                <w:sz w:val="21"/>
                <w:szCs w:val="21"/>
              </w:rPr>
              <w:t>系</w:t>
            </w:r>
            <w:r>
              <w:rPr>
                <w:rFonts w:ascii="宋体" w:hAnsi="宋体" w:cs="宋体" w:eastAsia="宋体" w:hint="default"/>
                <w:sz w:val="21"/>
                <w:szCs w:val="21"/>
              </w:rPr>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73" w:lineRule="auto"/>
              <w:ind w:left="71" w:right="77"/>
              <w:jc w:val="left"/>
              <w:rPr>
                <w:rFonts w:ascii="宋体" w:hAnsi="宋体" w:cs="宋体" w:eastAsia="宋体" w:hint="default"/>
                <w:sz w:val="21"/>
                <w:szCs w:val="21"/>
              </w:rPr>
            </w:pPr>
            <w:r>
              <w:rPr>
                <w:rFonts w:ascii="宋体" w:hAnsi="宋体" w:cs="宋体" w:eastAsia="宋体" w:hint="default"/>
                <w:b/>
                <w:bCs/>
                <w:sz w:val="21"/>
                <w:szCs w:val="21"/>
              </w:rPr>
              <w:t>关联交</w:t>
            </w:r>
            <w:r>
              <w:rPr>
                <w:rFonts w:ascii="宋体" w:hAnsi="宋体" w:cs="宋体" w:eastAsia="宋体" w:hint="default"/>
                <w:b/>
                <w:bCs/>
                <w:w w:val="100"/>
                <w:sz w:val="21"/>
                <w:szCs w:val="21"/>
              </w:rPr>
              <w:t> </w:t>
            </w:r>
            <w:r>
              <w:rPr>
                <w:rFonts w:ascii="宋体" w:hAnsi="宋体" w:cs="宋体" w:eastAsia="宋体" w:hint="default"/>
                <w:b/>
                <w:bCs/>
                <w:sz w:val="21"/>
                <w:szCs w:val="21"/>
              </w:rPr>
              <w:t>易类型</w:t>
            </w:r>
            <w:r>
              <w:rPr>
                <w:rFonts w:ascii="宋体" w:hAnsi="宋体" w:cs="宋体" w:eastAsia="宋体" w:hint="default"/>
                <w:sz w:val="21"/>
                <w:szCs w:val="21"/>
              </w:rPr>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73" w:lineRule="auto"/>
              <w:ind w:left="84" w:right="86"/>
              <w:jc w:val="left"/>
              <w:rPr>
                <w:rFonts w:ascii="宋体" w:hAnsi="宋体" w:cs="宋体" w:eastAsia="宋体" w:hint="default"/>
                <w:sz w:val="21"/>
                <w:szCs w:val="21"/>
              </w:rPr>
            </w:pPr>
            <w:r>
              <w:rPr>
                <w:rFonts w:ascii="宋体" w:hAnsi="宋体" w:cs="宋体" w:eastAsia="宋体" w:hint="default"/>
                <w:b/>
                <w:bCs/>
                <w:sz w:val="21"/>
                <w:szCs w:val="21"/>
              </w:rPr>
              <w:t>关联交</w:t>
            </w:r>
            <w:r>
              <w:rPr>
                <w:rFonts w:ascii="宋体" w:hAnsi="宋体" w:cs="宋体" w:eastAsia="宋体" w:hint="default"/>
                <w:b/>
                <w:bCs/>
                <w:w w:val="100"/>
                <w:sz w:val="21"/>
                <w:szCs w:val="21"/>
              </w:rPr>
              <w:t> </w:t>
            </w:r>
            <w:r>
              <w:rPr>
                <w:rFonts w:ascii="宋体" w:hAnsi="宋体" w:cs="宋体" w:eastAsia="宋体" w:hint="default"/>
                <w:b/>
                <w:bCs/>
                <w:sz w:val="21"/>
                <w:szCs w:val="21"/>
              </w:rPr>
              <w:t>易内容</w:t>
            </w:r>
            <w:r>
              <w:rPr>
                <w:rFonts w:ascii="宋体" w:hAnsi="宋体" w:cs="宋体" w:eastAsia="宋体" w:hint="default"/>
                <w:sz w:val="21"/>
                <w:szCs w:val="21"/>
              </w:rPr>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73" w:lineRule="auto"/>
              <w:ind w:left="76" w:right="72"/>
              <w:jc w:val="both"/>
              <w:rPr>
                <w:rFonts w:ascii="宋体" w:hAnsi="宋体" w:cs="宋体" w:eastAsia="宋体" w:hint="default"/>
                <w:sz w:val="21"/>
                <w:szCs w:val="21"/>
              </w:rPr>
            </w:pPr>
            <w:r>
              <w:rPr>
                <w:rFonts w:ascii="宋体" w:hAnsi="宋体" w:cs="宋体" w:eastAsia="宋体" w:hint="default"/>
                <w:b/>
                <w:bCs/>
                <w:sz w:val="21"/>
                <w:szCs w:val="21"/>
              </w:rPr>
              <w:t>关联交</w:t>
            </w:r>
            <w:r>
              <w:rPr>
                <w:rFonts w:ascii="宋体" w:hAnsi="宋体" w:cs="宋体" w:eastAsia="宋体" w:hint="default"/>
                <w:b/>
                <w:bCs/>
                <w:w w:val="100"/>
                <w:sz w:val="21"/>
                <w:szCs w:val="21"/>
              </w:rPr>
              <w:t> </w:t>
            </w:r>
            <w:r>
              <w:rPr>
                <w:rFonts w:ascii="宋体" w:hAnsi="宋体" w:cs="宋体" w:eastAsia="宋体" w:hint="default"/>
                <w:b/>
                <w:bCs/>
                <w:sz w:val="21"/>
                <w:szCs w:val="21"/>
              </w:rPr>
              <w:t>易定价</w:t>
            </w:r>
            <w:r>
              <w:rPr>
                <w:rFonts w:ascii="宋体" w:hAnsi="宋体" w:cs="宋体" w:eastAsia="宋体" w:hint="default"/>
                <w:b/>
                <w:bCs/>
                <w:w w:val="100"/>
                <w:sz w:val="21"/>
                <w:szCs w:val="21"/>
              </w:rPr>
              <w:t> </w:t>
            </w:r>
            <w:r>
              <w:rPr>
                <w:rFonts w:ascii="宋体" w:hAnsi="宋体" w:cs="宋体" w:eastAsia="宋体" w:hint="default"/>
                <w:b/>
                <w:bCs/>
                <w:sz w:val="21"/>
                <w:szCs w:val="21"/>
              </w:rPr>
              <w:t>原则</w:t>
            </w:r>
            <w:r>
              <w:rPr>
                <w:rFonts w:ascii="宋体" w:hAnsi="宋体" w:cs="宋体" w:eastAsia="宋体" w:hint="default"/>
                <w:sz w:val="21"/>
                <w:szCs w:val="21"/>
              </w:rPr>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73" w:lineRule="auto"/>
              <w:ind w:left="108" w:right="107"/>
              <w:jc w:val="left"/>
              <w:rPr>
                <w:rFonts w:ascii="宋体" w:hAnsi="宋体" w:cs="宋体" w:eastAsia="宋体" w:hint="default"/>
                <w:sz w:val="21"/>
                <w:szCs w:val="21"/>
              </w:rPr>
            </w:pPr>
            <w:r>
              <w:rPr>
                <w:rFonts w:ascii="宋体" w:hAnsi="宋体" w:cs="宋体" w:eastAsia="宋体" w:hint="default"/>
                <w:b/>
                <w:bCs/>
                <w:sz w:val="21"/>
                <w:szCs w:val="21"/>
              </w:rPr>
              <w:t>关联交</w:t>
            </w:r>
            <w:r>
              <w:rPr>
                <w:rFonts w:ascii="宋体" w:hAnsi="宋体" w:cs="宋体" w:eastAsia="宋体" w:hint="default"/>
                <w:b/>
                <w:bCs/>
                <w:w w:val="100"/>
                <w:sz w:val="21"/>
                <w:szCs w:val="21"/>
              </w:rPr>
              <w:t> </w:t>
            </w:r>
            <w:r>
              <w:rPr>
                <w:rFonts w:ascii="宋体" w:hAnsi="宋体" w:cs="宋体" w:eastAsia="宋体" w:hint="default"/>
                <w:b/>
                <w:bCs/>
                <w:sz w:val="21"/>
                <w:szCs w:val="21"/>
              </w:rPr>
              <w:t>易价格</w:t>
            </w:r>
            <w:r>
              <w:rPr>
                <w:rFonts w:ascii="宋体" w:hAnsi="宋体" w:cs="宋体" w:eastAsia="宋体" w:hint="default"/>
                <w:sz w:val="21"/>
                <w:szCs w:val="21"/>
              </w:rPr>
            </w:r>
          </w:p>
          <w:p>
            <w:pPr>
              <w:pStyle w:val="TableParagraph"/>
              <w:spacing w:line="240" w:lineRule="auto" w:before="7"/>
              <w:ind w:left="24" w:right="-20"/>
              <w:jc w:val="left"/>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43" w:right="46"/>
              <w:jc w:val="center"/>
              <w:rPr>
                <w:rFonts w:ascii="宋体" w:hAnsi="宋体" w:cs="宋体" w:eastAsia="宋体" w:hint="default"/>
                <w:sz w:val="21"/>
                <w:szCs w:val="21"/>
              </w:rPr>
            </w:pPr>
            <w:r>
              <w:rPr>
                <w:rFonts w:ascii="宋体" w:hAnsi="宋体" w:cs="宋体" w:eastAsia="宋体" w:hint="default"/>
                <w:b/>
                <w:bCs/>
                <w:sz w:val="21"/>
                <w:szCs w:val="21"/>
              </w:rPr>
              <w:t>关联交</w:t>
            </w:r>
            <w:r>
              <w:rPr>
                <w:rFonts w:ascii="宋体" w:hAnsi="宋体" w:cs="宋体" w:eastAsia="宋体" w:hint="default"/>
                <w:b/>
                <w:bCs/>
                <w:w w:val="100"/>
                <w:sz w:val="21"/>
                <w:szCs w:val="21"/>
              </w:rPr>
              <w:t> </w:t>
            </w:r>
            <w:r>
              <w:rPr>
                <w:rFonts w:ascii="宋体" w:hAnsi="宋体" w:cs="宋体" w:eastAsia="宋体" w:hint="default"/>
                <w:b/>
                <w:bCs/>
                <w:sz w:val="21"/>
                <w:szCs w:val="21"/>
              </w:rPr>
              <w:t>易金额</w:t>
            </w:r>
            <w:r>
              <w:rPr>
                <w:rFonts w:ascii="宋体" w:hAnsi="宋体" w:cs="宋体" w:eastAsia="宋体" w:hint="default"/>
                <w:sz w:val="21"/>
                <w:szCs w:val="21"/>
              </w:rPr>
            </w:r>
          </w:p>
          <w:p>
            <w:pPr>
              <w:pStyle w:val="TableParagraph"/>
              <w:spacing w:line="273" w:lineRule="auto" w:before="7"/>
              <w:ind w:left="148" w:right="153"/>
              <w:jc w:val="center"/>
              <w:rPr>
                <w:rFonts w:ascii="宋体" w:hAnsi="宋体" w:cs="宋体" w:eastAsia="宋体" w:hint="default"/>
                <w:sz w:val="21"/>
                <w:szCs w:val="21"/>
              </w:rPr>
            </w:pPr>
            <w:r>
              <w:rPr>
                <w:rFonts w:ascii="宋体" w:hAnsi="宋体" w:cs="宋体" w:eastAsia="宋体" w:hint="default"/>
                <w:b/>
                <w:bCs/>
                <w:sz w:val="21"/>
                <w:szCs w:val="21"/>
              </w:rPr>
              <w:t>（万</w:t>
            </w:r>
            <w:r>
              <w:rPr>
                <w:rFonts w:ascii="宋体" w:hAnsi="宋体" w:cs="宋体" w:eastAsia="宋体" w:hint="default"/>
                <w:b/>
                <w:bCs/>
                <w:w w:val="100"/>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74" w:right="77"/>
              <w:jc w:val="both"/>
              <w:rPr>
                <w:rFonts w:ascii="Times New Roman" w:hAnsi="Times New Roman" w:cs="Times New Roman" w:eastAsia="Times New Roman" w:hint="default"/>
                <w:sz w:val="21"/>
                <w:szCs w:val="21"/>
              </w:rPr>
            </w:pPr>
            <w:r>
              <w:rPr>
                <w:rFonts w:ascii="宋体" w:hAnsi="宋体" w:cs="宋体" w:eastAsia="宋体" w:hint="default"/>
                <w:b/>
                <w:bCs/>
                <w:sz w:val="21"/>
                <w:szCs w:val="21"/>
              </w:rPr>
              <w:t>占同类</w:t>
            </w:r>
            <w:r>
              <w:rPr>
                <w:rFonts w:ascii="宋体" w:hAnsi="宋体" w:cs="宋体" w:eastAsia="宋体" w:hint="default"/>
                <w:b/>
                <w:bCs/>
                <w:w w:val="100"/>
                <w:sz w:val="21"/>
                <w:szCs w:val="21"/>
              </w:rPr>
              <w:t> </w:t>
            </w:r>
            <w:r>
              <w:rPr>
                <w:rFonts w:ascii="宋体" w:hAnsi="宋体" w:cs="宋体" w:eastAsia="宋体" w:hint="default"/>
                <w:b/>
                <w:bCs/>
                <w:sz w:val="21"/>
                <w:szCs w:val="21"/>
              </w:rPr>
              <w:t>交易金</w:t>
            </w:r>
            <w:r>
              <w:rPr>
                <w:rFonts w:ascii="宋体" w:hAnsi="宋体" w:cs="宋体" w:eastAsia="宋体" w:hint="default"/>
                <w:b/>
                <w:bCs/>
                <w:w w:val="100"/>
                <w:sz w:val="21"/>
                <w:szCs w:val="21"/>
              </w:rPr>
              <w:t> </w:t>
            </w:r>
            <w:r>
              <w:rPr>
                <w:rFonts w:ascii="宋体" w:hAnsi="宋体" w:cs="宋体" w:eastAsia="宋体" w:hint="default"/>
                <w:b/>
                <w:bCs/>
                <w:sz w:val="21"/>
                <w:szCs w:val="21"/>
              </w:rPr>
              <w:t>额的比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73" w:lineRule="auto"/>
              <w:ind w:left="74" w:right="74"/>
              <w:jc w:val="both"/>
              <w:rPr>
                <w:rFonts w:ascii="宋体" w:hAnsi="宋体" w:cs="宋体" w:eastAsia="宋体" w:hint="default"/>
                <w:sz w:val="21"/>
                <w:szCs w:val="21"/>
              </w:rPr>
            </w:pPr>
            <w:r>
              <w:rPr>
                <w:rFonts w:ascii="宋体" w:hAnsi="宋体" w:cs="宋体" w:eastAsia="宋体" w:hint="default"/>
                <w:b/>
                <w:bCs/>
                <w:sz w:val="21"/>
                <w:szCs w:val="21"/>
              </w:rPr>
              <w:t>关联交</w:t>
            </w:r>
            <w:r>
              <w:rPr>
                <w:rFonts w:ascii="宋体" w:hAnsi="宋体" w:cs="宋体" w:eastAsia="宋体" w:hint="default"/>
                <w:b/>
                <w:bCs/>
                <w:w w:val="100"/>
                <w:sz w:val="21"/>
                <w:szCs w:val="21"/>
              </w:rPr>
              <w:t> </w:t>
            </w:r>
            <w:r>
              <w:rPr>
                <w:rFonts w:ascii="宋体" w:hAnsi="宋体" w:cs="宋体" w:eastAsia="宋体" w:hint="default"/>
                <w:b/>
                <w:bCs/>
                <w:sz w:val="21"/>
                <w:szCs w:val="21"/>
              </w:rPr>
              <w:t>易结算</w:t>
            </w:r>
            <w:r>
              <w:rPr>
                <w:rFonts w:ascii="宋体" w:hAnsi="宋体" w:cs="宋体" w:eastAsia="宋体" w:hint="default"/>
                <w:b/>
                <w:bCs/>
                <w:w w:val="100"/>
                <w:sz w:val="21"/>
                <w:szCs w:val="21"/>
              </w:rPr>
              <w:t> </w:t>
            </w:r>
            <w:r>
              <w:rPr>
                <w:rFonts w:ascii="宋体" w:hAnsi="宋体" w:cs="宋体" w:eastAsia="宋体" w:hint="default"/>
                <w:b/>
                <w:bCs/>
                <w:sz w:val="21"/>
                <w:szCs w:val="21"/>
              </w:rPr>
              <w:t>方式</w:t>
            </w:r>
            <w:r>
              <w:rPr>
                <w:rFonts w:ascii="宋体" w:hAnsi="宋体" w:cs="宋体" w:eastAsia="宋体" w:hint="default"/>
                <w:sz w:val="21"/>
                <w:szCs w:val="21"/>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73" w:lineRule="auto"/>
              <w:ind w:left="74" w:right="77"/>
              <w:jc w:val="both"/>
              <w:rPr>
                <w:rFonts w:ascii="宋体" w:hAnsi="宋体" w:cs="宋体" w:eastAsia="宋体" w:hint="default"/>
                <w:sz w:val="21"/>
                <w:szCs w:val="21"/>
              </w:rPr>
            </w:pPr>
            <w:r>
              <w:rPr>
                <w:rFonts w:ascii="宋体" w:hAnsi="宋体" w:cs="宋体" w:eastAsia="宋体" w:hint="default"/>
                <w:b/>
                <w:bCs/>
                <w:sz w:val="21"/>
                <w:szCs w:val="21"/>
              </w:rPr>
              <w:t>对公司</w:t>
            </w:r>
            <w:r>
              <w:rPr>
                <w:rFonts w:ascii="宋体" w:hAnsi="宋体" w:cs="宋体" w:eastAsia="宋体" w:hint="default"/>
                <w:b/>
                <w:bCs/>
                <w:w w:val="100"/>
                <w:sz w:val="21"/>
                <w:szCs w:val="21"/>
              </w:rPr>
              <w:t> </w:t>
            </w:r>
            <w:r>
              <w:rPr>
                <w:rFonts w:ascii="宋体" w:hAnsi="宋体" w:cs="宋体" w:eastAsia="宋体" w:hint="default"/>
                <w:b/>
                <w:bCs/>
                <w:sz w:val="21"/>
                <w:szCs w:val="21"/>
              </w:rPr>
              <w:t>利润的</w:t>
            </w:r>
            <w:r>
              <w:rPr>
                <w:rFonts w:ascii="宋体" w:hAnsi="宋体" w:cs="宋体" w:eastAsia="宋体" w:hint="default"/>
                <w:b/>
                <w:bCs/>
                <w:w w:val="100"/>
                <w:sz w:val="21"/>
                <w:szCs w:val="21"/>
              </w:rPr>
              <w:t> </w:t>
            </w:r>
            <w:r>
              <w:rPr>
                <w:rFonts w:ascii="宋体" w:hAnsi="宋体" w:cs="宋体" w:eastAsia="宋体" w:hint="default"/>
                <w:b/>
                <w:bCs/>
                <w:sz w:val="21"/>
                <w:szCs w:val="21"/>
              </w:rPr>
              <w:t>影响</w:t>
            </w:r>
            <w:r>
              <w:rPr>
                <w:rFonts w:ascii="宋体" w:hAnsi="宋体" w:cs="宋体" w:eastAsia="宋体" w:hint="default"/>
                <w:sz w:val="21"/>
                <w:szCs w:val="21"/>
              </w:rPr>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73" w:lineRule="auto"/>
              <w:ind w:left="76" w:right="72"/>
              <w:jc w:val="both"/>
              <w:rPr>
                <w:rFonts w:ascii="宋体" w:hAnsi="宋体" w:cs="宋体" w:eastAsia="宋体" w:hint="default"/>
                <w:sz w:val="21"/>
                <w:szCs w:val="21"/>
              </w:rPr>
            </w:pPr>
            <w:r>
              <w:rPr>
                <w:rFonts w:ascii="宋体" w:hAnsi="宋体" w:cs="宋体" w:eastAsia="宋体" w:hint="default"/>
                <w:b/>
                <w:bCs/>
                <w:sz w:val="21"/>
                <w:szCs w:val="21"/>
              </w:rPr>
              <w:t>市场价</w:t>
            </w:r>
            <w:r>
              <w:rPr>
                <w:rFonts w:ascii="宋体" w:hAnsi="宋体" w:cs="宋体" w:eastAsia="宋体" w:hint="default"/>
                <w:b/>
                <w:bCs/>
                <w:w w:val="100"/>
                <w:sz w:val="21"/>
                <w:szCs w:val="21"/>
              </w:rPr>
              <w:t> </w:t>
            </w:r>
            <w:r>
              <w:rPr>
                <w:rFonts w:ascii="宋体" w:hAnsi="宋体" w:cs="宋体" w:eastAsia="宋体" w:hint="default"/>
                <w:b/>
                <w:bCs/>
                <w:sz w:val="21"/>
                <w:szCs w:val="21"/>
              </w:rPr>
              <w:t>格（万</w:t>
            </w:r>
            <w:r>
              <w:rPr>
                <w:rFonts w:ascii="宋体" w:hAnsi="宋体" w:cs="宋体" w:eastAsia="宋体" w:hint="default"/>
                <w:b/>
                <w:bCs/>
                <w:w w:val="100"/>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71" w:right="71"/>
              <w:jc w:val="both"/>
              <w:rPr>
                <w:rFonts w:ascii="宋体" w:hAnsi="宋体" w:cs="宋体" w:eastAsia="宋体" w:hint="default"/>
                <w:sz w:val="21"/>
                <w:szCs w:val="21"/>
              </w:rPr>
            </w:pPr>
            <w:r>
              <w:rPr>
                <w:rFonts w:ascii="宋体" w:hAnsi="宋体" w:cs="宋体" w:eastAsia="宋体" w:hint="default"/>
                <w:b/>
                <w:bCs/>
                <w:sz w:val="21"/>
                <w:szCs w:val="21"/>
              </w:rPr>
              <w:t>交易价</w:t>
            </w:r>
            <w:r>
              <w:rPr>
                <w:rFonts w:ascii="宋体" w:hAnsi="宋体" w:cs="宋体" w:eastAsia="宋体" w:hint="default"/>
                <w:b/>
                <w:bCs/>
                <w:w w:val="100"/>
                <w:sz w:val="21"/>
                <w:szCs w:val="21"/>
              </w:rPr>
              <w:t> </w:t>
            </w:r>
            <w:r>
              <w:rPr>
                <w:rFonts w:ascii="宋体" w:hAnsi="宋体" w:cs="宋体" w:eastAsia="宋体" w:hint="default"/>
                <w:b/>
                <w:bCs/>
                <w:sz w:val="21"/>
                <w:szCs w:val="21"/>
              </w:rPr>
              <w:t>格与市</w:t>
            </w:r>
            <w:r>
              <w:rPr>
                <w:rFonts w:ascii="宋体" w:hAnsi="宋体" w:cs="宋体" w:eastAsia="宋体" w:hint="default"/>
                <w:b/>
                <w:bCs/>
                <w:w w:val="100"/>
                <w:sz w:val="21"/>
                <w:szCs w:val="21"/>
              </w:rPr>
              <w:t> </w:t>
            </w:r>
            <w:r>
              <w:rPr>
                <w:rFonts w:ascii="宋体" w:hAnsi="宋体" w:cs="宋体" w:eastAsia="宋体" w:hint="default"/>
                <w:b/>
                <w:bCs/>
                <w:sz w:val="21"/>
                <w:szCs w:val="21"/>
              </w:rPr>
              <w:t>场参考</w:t>
            </w:r>
            <w:r>
              <w:rPr>
                <w:rFonts w:ascii="宋体" w:hAnsi="宋体" w:cs="宋体" w:eastAsia="宋体" w:hint="default"/>
                <w:b/>
                <w:bCs/>
                <w:w w:val="100"/>
                <w:sz w:val="21"/>
                <w:szCs w:val="21"/>
              </w:rPr>
              <w:t> </w:t>
            </w:r>
            <w:r>
              <w:rPr>
                <w:rFonts w:ascii="宋体" w:hAnsi="宋体" w:cs="宋体" w:eastAsia="宋体" w:hint="default"/>
                <w:b/>
                <w:bCs/>
                <w:sz w:val="21"/>
                <w:szCs w:val="21"/>
              </w:rPr>
              <w:t>价格差</w:t>
            </w:r>
            <w:r>
              <w:rPr>
                <w:rFonts w:ascii="宋体" w:hAnsi="宋体" w:cs="宋体" w:eastAsia="宋体" w:hint="default"/>
                <w:b/>
                <w:bCs/>
                <w:w w:val="100"/>
                <w:sz w:val="21"/>
                <w:szCs w:val="21"/>
              </w:rPr>
              <w:t> </w:t>
            </w:r>
            <w:r>
              <w:rPr>
                <w:rFonts w:ascii="宋体" w:hAnsi="宋体" w:cs="宋体" w:eastAsia="宋体" w:hint="default"/>
                <w:b/>
                <w:bCs/>
                <w:sz w:val="21"/>
                <w:szCs w:val="21"/>
              </w:rPr>
              <w:t>异较大</w:t>
            </w:r>
            <w:r>
              <w:rPr>
                <w:rFonts w:ascii="宋体" w:hAnsi="宋体" w:cs="宋体" w:eastAsia="宋体" w:hint="default"/>
                <w:b/>
                <w:bCs/>
                <w:w w:val="100"/>
                <w:sz w:val="21"/>
                <w:szCs w:val="21"/>
              </w:rPr>
              <w:t> </w:t>
            </w:r>
            <w:r>
              <w:rPr>
                <w:rFonts w:ascii="宋体" w:hAnsi="宋体" w:cs="宋体" w:eastAsia="宋体" w:hint="default"/>
                <w:b/>
                <w:bCs/>
                <w:sz w:val="21"/>
                <w:szCs w:val="21"/>
              </w:rPr>
              <w:t>的原因</w:t>
            </w:r>
            <w:r>
              <w:rPr>
                <w:rFonts w:ascii="宋体" w:hAnsi="宋体" w:cs="宋体" w:eastAsia="宋体" w:hint="default"/>
                <w:sz w:val="21"/>
                <w:szCs w:val="21"/>
              </w:rPr>
            </w:r>
          </w:p>
        </w:tc>
      </w:tr>
      <w:tr>
        <w:trPr>
          <w:trHeight w:val="97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07"/>
              <w:ind w:left="24" w:right="19"/>
              <w:jc w:val="left"/>
              <w:rPr>
                <w:rFonts w:ascii="宋体" w:hAnsi="宋体" w:cs="宋体" w:eastAsia="宋体" w:hint="default"/>
                <w:sz w:val="21"/>
                <w:szCs w:val="21"/>
              </w:rPr>
            </w:pPr>
            <w:r>
              <w:rPr>
                <w:rFonts w:ascii="宋体" w:hAnsi="宋体" w:cs="宋体" w:eastAsia="宋体" w:hint="default"/>
                <w:sz w:val="21"/>
                <w:szCs w:val="21"/>
              </w:rPr>
              <w:t>浙</w:t>
            </w:r>
            <w:r>
              <w:rPr>
                <w:rFonts w:ascii="宋体" w:hAnsi="宋体" w:cs="宋体" w:eastAsia="宋体" w:hint="default"/>
                <w:spacing w:val="-54"/>
                <w:sz w:val="21"/>
                <w:szCs w:val="21"/>
              </w:rPr>
              <w:t> </w:t>
            </w:r>
            <w:r>
              <w:rPr>
                <w:rFonts w:ascii="宋体" w:hAnsi="宋体" w:cs="宋体" w:eastAsia="宋体" w:hint="default"/>
                <w:sz w:val="21"/>
                <w:szCs w:val="21"/>
              </w:rPr>
              <w:t>江</w:t>
            </w:r>
            <w:r>
              <w:rPr>
                <w:rFonts w:ascii="宋体" w:hAnsi="宋体" w:cs="宋体" w:eastAsia="宋体" w:hint="default"/>
                <w:spacing w:val="-52"/>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21" w:right="127"/>
              <w:jc w:val="left"/>
              <w:rPr>
                <w:rFonts w:ascii="宋体" w:hAnsi="宋体" w:cs="宋体" w:eastAsia="宋体" w:hint="default"/>
                <w:sz w:val="21"/>
                <w:szCs w:val="21"/>
              </w:rPr>
            </w:pPr>
            <w:r>
              <w:rPr>
                <w:rFonts w:ascii="宋体" w:hAnsi="宋体" w:cs="宋体" w:eastAsia="宋体" w:hint="default"/>
                <w:sz w:val="21"/>
                <w:szCs w:val="21"/>
              </w:rPr>
              <w:t>公司参</w:t>
            </w:r>
            <w:r>
              <w:rPr>
                <w:rFonts w:ascii="宋体" w:hAnsi="宋体" w:cs="宋体" w:eastAsia="宋体" w:hint="default"/>
                <w:spacing w:val="-102"/>
                <w:sz w:val="21"/>
                <w:szCs w:val="21"/>
              </w:rPr>
              <w:t> </w:t>
            </w:r>
            <w:r>
              <w:rPr>
                <w:rFonts w:ascii="宋体" w:hAnsi="宋体" w:cs="宋体" w:eastAsia="宋体" w:hint="default"/>
                <w:sz w:val="21"/>
                <w:szCs w:val="21"/>
              </w:rPr>
              <w:t>股公司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z w:val="21"/>
                <w:szCs w:val="21"/>
              </w:rPr>
              <w:t>采购商</w:t>
            </w:r>
            <w:r>
              <w:rPr>
                <w:rFonts w:ascii="宋体" w:hAnsi="宋体" w:cs="宋体" w:eastAsia="宋体" w:hint="default"/>
                <w:spacing w:val="-102"/>
                <w:sz w:val="21"/>
                <w:szCs w:val="21"/>
              </w:rPr>
              <w:t> </w:t>
            </w:r>
            <w:r>
              <w:rPr>
                <w:rFonts w:ascii="宋体" w:hAnsi="宋体" w:cs="宋体" w:eastAsia="宋体" w:hint="default"/>
                <w:spacing w:val="-26"/>
                <w:w w:val="100"/>
                <w:sz w:val="21"/>
                <w:szCs w:val="21"/>
              </w:rPr>
              <w:t>品、接受</w:t>
            </w:r>
            <w:r>
              <w:rPr>
                <w:rFonts w:ascii="宋体" w:hAnsi="宋体" w:cs="宋体" w:eastAsia="宋体" w:hint="default"/>
                <w:w w:val="100"/>
                <w:sz w:val="21"/>
                <w:szCs w:val="21"/>
              </w:rPr>
              <w:t> </w:t>
            </w:r>
            <w:r>
              <w:rPr>
                <w:rFonts w:ascii="宋体" w:hAnsi="宋体" w:cs="宋体" w:eastAsia="宋体" w:hint="default"/>
                <w:sz w:val="21"/>
                <w:szCs w:val="21"/>
              </w:rPr>
              <w:t>劳务</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21" w:right="146"/>
              <w:jc w:val="left"/>
              <w:rPr>
                <w:rFonts w:ascii="宋体" w:hAnsi="宋体" w:cs="宋体" w:eastAsia="宋体" w:hint="default"/>
                <w:sz w:val="21"/>
                <w:szCs w:val="21"/>
              </w:rPr>
            </w:pPr>
            <w:r>
              <w:rPr>
                <w:rFonts w:ascii="宋体" w:hAnsi="宋体" w:cs="宋体" w:eastAsia="宋体" w:hint="default"/>
                <w:sz w:val="21"/>
                <w:szCs w:val="21"/>
              </w:rPr>
              <w:t>软件技</w:t>
            </w:r>
            <w:r>
              <w:rPr>
                <w:rFonts w:ascii="宋体" w:hAnsi="宋体" w:cs="宋体" w:eastAsia="宋体" w:hint="default"/>
                <w:spacing w:val="-102"/>
                <w:sz w:val="21"/>
                <w:szCs w:val="21"/>
              </w:rPr>
              <w:t> </w:t>
            </w:r>
            <w:r>
              <w:rPr>
                <w:rFonts w:ascii="宋体" w:hAnsi="宋体" w:cs="宋体" w:eastAsia="宋体" w:hint="default"/>
                <w:sz w:val="21"/>
                <w:szCs w:val="21"/>
              </w:rPr>
              <w:t>术开发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19"/>
              <w:jc w:val="both"/>
              <w:rPr>
                <w:rFonts w:ascii="宋体" w:hAnsi="宋体" w:cs="宋体" w:eastAsia="宋体" w:hint="default"/>
                <w:sz w:val="21"/>
                <w:szCs w:val="21"/>
              </w:rPr>
            </w:pPr>
            <w:r>
              <w:rPr>
                <w:rFonts w:ascii="宋体" w:hAnsi="宋体" w:cs="宋体" w:eastAsia="宋体" w:hint="default"/>
                <w:spacing w:val="-51"/>
                <w:w w:val="100"/>
                <w:sz w:val="21"/>
                <w:szCs w:val="21"/>
              </w:rPr>
              <w:t>市价；董</w:t>
            </w:r>
            <w:r>
              <w:rPr>
                <w:rFonts w:ascii="宋体" w:hAnsi="宋体" w:cs="宋体" w:eastAsia="宋体" w:hint="default"/>
                <w:spacing w:val="-101"/>
                <w:w w:val="100"/>
                <w:sz w:val="21"/>
                <w:szCs w:val="21"/>
              </w:rPr>
              <w:t> </w:t>
            </w:r>
            <w:r>
              <w:rPr>
                <w:rFonts w:ascii="宋体" w:hAnsi="宋体" w:cs="宋体" w:eastAsia="宋体" w:hint="default"/>
                <w:sz w:val="21"/>
                <w:szCs w:val="21"/>
              </w:rPr>
              <w:t>事会批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准</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98.05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98.05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1.01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55"/>
              <w:ind w:left="21" w:right="127"/>
              <w:jc w:val="left"/>
              <w:rPr>
                <w:rFonts w:ascii="宋体" w:hAnsi="宋体" w:cs="宋体" w:eastAsia="宋体" w:hint="default"/>
                <w:sz w:val="21"/>
                <w:szCs w:val="21"/>
              </w:rPr>
            </w:pPr>
            <w:r>
              <w:rPr>
                <w:rFonts w:ascii="宋体" w:hAnsi="宋体" w:cs="宋体" w:eastAsia="宋体" w:hint="default"/>
                <w:sz w:val="21"/>
                <w:szCs w:val="21"/>
              </w:rPr>
              <w:t>按合同</w:t>
            </w:r>
            <w:r>
              <w:rPr>
                <w:rFonts w:ascii="宋体" w:hAnsi="宋体" w:cs="宋体" w:eastAsia="宋体" w:hint="default"/>
                <w:spacing w:val="-102"/>
                <w:sz w:val="21"/>
                <w:szCs w:val="21"/>
              </w:rPr>
              <w:t> </w:t>
            </w:r>
            <w:r>
              <w:rPr>
                <w:rFonts w:ascii="宋体" w:hAnsi="宋体" w:cs="宋体" w:eastAsia="宋体" w:hint="default"/>
                <w:sz w:val="21"/>
                <w:szCs w:val="21"/>
              </w:rPr>
              <w:t>结算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341"/>
              <w:jc w:val="right"/>
              <w:rPr>
                <w:rFonts w:ascii="宋体" w:hAnsi="宋体" w:cs="宋体" w:eastAsia="宋体" w:hint="default"/>
                <w:sz w:val="21"/>
                <w:szCs w:val="21"/>
              </w:rPr>
            </w:pPr>
            <w:r>
              <w:rPr>
                <w:rFonts w:ascii="宋体" w:hAnsi="宋体" w:cs="宋体" w:eastAsia="宋体" w:hint="default"/>
                <w:sz w:val="21"/>
                <w:szCs w:val="21"/>
              </w:rPr>
              <w:t>较小</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98.05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46"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4" w:right="0"/>
              <w:jc w:val="left"/>
              <w:rPr>
                <w:rFonts w:ascii="宋体" w:hAnsi="宋体" w:cs="宋体" w:eastAsia="宋体" w:hint="default"/>
                <w:sz w:val="21"/>
                <w:szCs w:val="21"/>
              </w:rPr>
            </w:pPr>
            <w:r>
              <w:rPr>
                <w:rFonts w:ascii="宋体" w:hAnsi="宋体" w:cs="宋体" w:eastAsia="宋体" w:hint="default"/>
                <w:sz w:val="21"/>
                <w:szCs w:val="21"/>
              </w:rPr>
              <w:t>国遥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1" w:right="127"/>
              <w:jc w:val="left"/>
              <w:rPr>
                <w:rFonts w:ascii="宋体" w:hAnsi="宋体" w:cs="宋体" w:eastAsia="宋体" w:hint="default"/>
                <w:sz w:val="21"/>
                <w:szCs w:val="21"/>
              </w:rPr>
            </w:pPr>
            <w:r>
              <w:rPr>
                <w:rFonts w:ascii="宋体" w:hAnsi="宋体" w:cs="宋体" w:eastAsia="宋体" w:hint="default"/>
                <w:sz w:val="21"/>
                <w:szCs w:val="21"/>
              </w:rPr>
              <w:t>公司参</w:t>
            </w:r>
            <w:r>
              <w:rPr>
                <w:rFonts w:ascii="宋体" w:hAnsi="宋体" w:cs="宋体" w:eastAsia="宋体" w:hint="default"/>
                <w:spacing w:val="-102"/>
                <w:sz w:val="21"/>
                <w:szCs w:val="21"/>
              </w:rPr>
              <w:t> </w:t>
            </w:r>
            <w:r>
              <w:rPr>
                <w:rFonts w:ascii="宋体" w:hAnsi="宋体" w:cs="宋体" w:eastAsia="宋体" w:hint="default"/>
                <w:sz w:val="21"/>
                <w:szCs w:val="21"/>
              </w:rPr>
              <w:t>股公司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z w:val="21"/>
                <w:szCs w:val="21"/>
              </w:rPr>
              <w:t>出售商</w:t>
            </w:r>
            <w:r>
              <w:rPr>
                <w:rFonts w:ascii="宋体" w:hAnsi="宋体" w:cs="宋体" w:eastAsia="宋体" w:hint="default"/>
                <w:spacing w:val="-102"/>
                <w:sz w:val="21"/>
                <w:szCs w:val="21"/>
              </w:rPr>
              <w:t> </w:t>
            </w:r>
            <w:r>
              <w:rPr>
                <w:rFonts w:ascii="宋体" w:hAnsi="宋体" w:cs="宋体" w:eastAsia="宋体" w:hint="default"/>
                <w:spacing w:val="-26"/>
                <w:w w:val="100"/>
                <w:sz w:val="21"/>
                <w:szCs w:val="21"/>
              </w:rPr>
              <w:t>品、提供</w:t>
            </w:r>
            <w:r>
              <w:rPr>
                <w:rFonts w:ascii="宋体" w:hAnsi="宋体" w:cs="宋体" w:eastAsia="宋体" w:hint="default"/>
                <w:w w:val="100"/>
                <w:sz w:val="21"/>
                <w:szCs w:val="21"/>
              </w:rPr>
              <w:t> </w:t>
            </w:r>
            <w:r>
              <w:rPr>
                <w:rFonts w:ascii="宋体" w:hAnsi="宋体" w:cs="宋体" w:eastAsia="宋体" w:hint="default"/>
                <w:sz w:val="21"/>
                <w:szCs w:val="21"/>
              </w:rPr>
              <w:t>劳务</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1" w:right="147"/>
              <w:jc w:val="left"/>
              <w:rPr>
                <w:rFonts w:ascii="宋体" w:hAnsi="宋体" w:cs="宋体" w:eastAsia="宋体" w:hint="default"/>
                <w:sz w:val="21"/>
                <w:szCs w:val="21"/>
              </w:rPr>
            </w:pPr>
            <w:r>
              <w:rPr>
                <w:rFonts w:ascii="宋体" w:hAnsi="宋体" w:cs="宋体" w:eastAsia="宋体" w:hint="default"/>
                <w:sz w:val="21"/>
                <w:szCs w:val="21"/>
              </w:rPr>
              <w:t>软件销</w:t>
            </w:r>
            <w:r>
              <w:rPr>
                <w:rFonts w:ascii="宋体" w:hAnsi="宋体" w:cs="宋体" w:eastAsia="宋体" w:hint="default"/>
                <w:spacing w:val="-102"/>
                <w:sz w:val="21"/>
                <w:szCs w:val="21"/>
              </w:rPr>
              <w:t> </w:t>
            </w:r>
            <w:r>
              <w:rPr>
                <w:rFonts w:ascii="宋体" w:hAnsi="宋体" w:cs="宋体" w:eastAsia="宋体" w:hint="default"/>
                <w:sz w:val="21"/>
                <w:szCs w:val="21"/>
              </w:rPr>
              <w:t>售</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336"/>
              <w:jc w:val="right"/>
              <w:rPr>
                <w:rFonts w:ascii="宋体" w:hAnsi="宋体" w:cs="宋体" w:eastAsia="宋体" w:hint="default"/>
                <w:sz w:val="21"/>
                <w:szCs w:val="21"/>
              </w:rPr>
            </w:pPr>
            <w:r>
              <w:rPr>
                <w:rFonts w:ascii="宋体" w:hAnsi="宋体" w:cs="宋体" w:eastAsia="宋体" w:hint="default"/>
                <w:sz w:val="21"/>
                <w:szCs w:val="21"/>
              </w:rPr>
              <w:t>市价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3.34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sz w:val="21"/>
              </w:rPr>
              <w:t>3.34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0.02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1" w:right="127"/>
              <w:jc w:val="left"/>
              <w:rPr>
                <w:rFonts w:ascii="宋体" w:hAnsi="宋体" w:cs="宋体" w:eastAsia="宋体" w:hint="default"/>
                <w:sz w:val="21"/>
                <w:szCs w:val="21"/>
              </w:rPr>
            </w:pPr>
            <w:r>
              <w:rPr>
                <w:rFonts w:ascii="宋体" w:hAnsi="宋体" w:cs="宋体" w:eastAsia="宋体" w:hint="default"/>
                <w:sz w:val="21"/>
                <w:szCs w:val="21"/>
              </w:rPr>
              <w:t>按合同</w:t>
            </w:r>
            <w:r>
              <w:rPr>
                <w:rFonts w:ascii="宋体" w:hAnsi="宋体" w:cs="宋体" w:eastAsia="宋体" w:hint="default"/>
                <w:spacing w:val="-102"/>
                <w:sz w:val="21"/>
                <w:szCs w:val="21"/>
              </w:rPr>
              <w:t> </w:t>
            </w:r>
            <w:r>
              <w:rPr>
                <w:rFonts w:ascii="宋体" w:hAnsi="宋体" w:cs="宋体" w:eastAsia="宋体" w:hint="default"/>
                <w:sz w:val="21"/>
                <w:szCs w:val="21"/>
              </w:rPr>
              <w:t>结算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341"/>
              <w:jc w:val="right"/>
              <w:rPr>
                <w:rFonts w:ascii="宋体" w:hAnsi="宋体" w:cs="宋体" w:eastAsia="宋体" w:hint="default"/>
                <w:sz w:val="21"/>
                <w:szCs w:val="21"/>
              </w:rPr>
            </w:pPr>
            <w:r>
              <w:rPr>
                <w:rFonts w:ascii="宋体" w:hAnsi="宋体" w:cs="宋体" w:eastAsia="宋体" w:hint="default"/>
                <w:sz w:val="21"/>
                <w:szCs w:val="21"/>
              </w:rPr>
              <w:t>较小</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3.34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48"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 w:right="0"/>
              <w:jc w:val="left"/>
              <w:rPr>
                <w:rFonts w:ascii="宋体" w:hAnsi="宋体" w:cs="宋体" w:eastAsia="宋体" w:hint="default"/>
                <w:sz w:val="21"/>
                <w:szCs w:val="21"/>
              </w:rPr>
            </w:pPr>
            <w:r>
              <w:rPr>
                <w:rFonts w:ascii="宋体" w:hAnsi="宋体" w:cs="宋体" w:eastAsia="宋体" w:hint="default"/>
                <w:sz w:val="21"/>
                <w:szCs w:val="21"/>
              </w:rPr>
              <w:t>国遥</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1" w:right="127"/>
              <w:jc w:val="left"/>
              <w:rPr>
                <w:rFonts w:ascii="宋体" w:hAnsi="宋体" w:cs="宋体" w:eastAsia="宋体" w:hint="default"/>
                <w:sz w:val="21"/>
                <w:szCs w:val="21"/>
              </w:rPr>
            </w:pPr>
            <w:r>
              <w:rPr>
                <w:rFonts w:ascii="宋体" w:hAnsi="宋体" w:cs="宋体" w:eastAsia="宋体" w:hint="default"/>
                <w:sz w:val="21"/>
                <w:szCs w:val="21"/>
              </w:rPr>
              <w:t>公司参</w:t>
            </w:r>
            <w:r>
              <w:rPr>
                <w:rFonts w:ascii="宋体" w:hAnsi="宋体" w:cs="宋体" w:eastAsia="宋体" w:hint="default"/>
                <w:spacing w:val="-102"/>
                <w:sz w:val="21"/>
                <w:szCs w:val="21"/>
              </w:rPr>
              <w:t> </w:t>
            </w:r>
            <w:r>
              <w:rPr>
                <w:rFonts w:ascii="宋体" w:hAnsi="宋体" w:cs="宋体" w:eastAsia="宋体" w:hint="default"/>
                <w:sz w:val="21"/>
                <w:szCs w:val="21"/>
              </w:rPr>
              <w:t>股公司</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z w:val="21"/>
                <w:szCs w:val="21"/>
              </w:rPr>
              <w:t>采购商</w:t>
            </w:r>
            <w:r>
              <w:rPr>
                <w:rFonts w:ascii="宋体" w:hAnsi="宋体" w:cs="宋体" w:eastAsia="宋体" w:hint="default"/>
                <w:spacing w:val="-102"/>
                <w:sz w:val="21"/>
                <w:szCs w:val="21"/>
              </w:rPr>
              <w:t> </w:t>
            </w:r>
            <w:r>
              <w:rPr>
                <w:rFonts w:ascii="宋体" w:hAnsi="宋体" w:cs="宋体" w:eastAsia="宋体" w:hint="default"/>
                <w:spacing w:val="-26"/>
                <w:w w:val="100"/>
                <w:sz w:val="21"/>
                <w:szCs w:val="21"/>
              </w:rPr>
              <w:t>品、接受</w:t>
            </w:r>
            <w:r>
              <w:rPr>
                <w:rFonts w:ascii="宋体" w:hAnsi="宋体" w:cs="宋体" w:eastAsia="宋体" w:hint="default"/>
                <w:w w:val="100"/>
                <w:sz w:val="21"/>
                <w:szCs w:val="21"/>
              </w:rPr>
              <w:t> </w:t>
            </w:r>
            <w:r>
              <w:rPr>
                <w:rFonts w:ascii="宋体" w:hAnsi="宋体" w:cs="宋体" w:eastAsia="宋体" w:hint="default"/>
                <w:sz w:val="21"/>
                <w:szCs w:val="21"/>
              </w:rPr>
              <w:t>劳务</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1" w:right="146"/>
              <w:jc w:val="left"/>
              <w:rPr>
                <w:rFonts w:ascii="宋体" w:hAnsi="宋体" w:cs="宋体" w:eastAsia="宋体" w:hint="default"/>
                <w:sz w:val="21"/>
                <w:szCs w:val="21"/>
              </w:rPr>
            </w:pPr>
            <w:r>
              <w:rPr>
                <w:rFonts w:ascii="宋体" w:hAnsi="宋体" w:cs="宋体" w:eastAsia="宋体" w:hint="default"/>
                <w:sz w:val="21"/>
                <w:szCs w:val="21"/>
              </w:rPr>
              <w:t>软件技</w:t>
            </w:r>
            <w:r>
              <w:rPr>
                <w:rFonts w:ascii="宋体" w:hAnsi="宋体" w:cs="宋体" w:eastAsia="宋体" w:hint="default"/>
                <w:spacing w:val="-102"/>
                <w:sz w:val="21"/>
                <w:szCs w:val="21"/>
              </w:rPr>
              <w:t> </w:t>
            </w:r>
            <w:r>
              <w:rPr>
                <w:rFonts w:ascii="宋体" w:hAnsi="宋体" w:cs="宋体" w:eastAsia="宋体" w:hint="default"/>
                <w:sz w:val="21"/>
                <w:szCs w:val="21"/>
              </w:rPr>
              <w:t>术开发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336"/>
              <w:jc w:val="right"/>
              <w:rPr>
                <w:rFonts w:ascii="宋体" w:hAnsi="宋体" w:cs="宋体" w:eastAsia="宋体" w:hint="default"/>
                <w:sz w:val="21"/>
                <w:szCs w:val="21"/>
              </w:rPr>
            </w:pPr>
            <w:r>
              <w:rPr>
                <w:rFonts w:ascii="宋体" w:hAnsi="宋体" w:cs="宋体" w:eastAsia="宋体" w:hint="default"/>
                <w:sz w:val="21"/>
                <w:szCs w:val="21"/>
              </w:rPr>
              <w:t>市价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42.37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42.37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0.44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6"/>
              <w:ind w:left="21" w:right="127"/>
              <w:jc w:val="left"/>
              <w:rPr>
                <w:rFonts w:ascii="宋体" w:hAnsi="宋体" w:cs="宋体" w:eastAsia="宋体" w:hint="default"/>
                <w:sz w:val="21"/>
                <w:szCs w:val="21"/>
              </w:rPr>
            </w:pPr>
            <w:r>
              <w:rPr>
                <w:rFonts w:ascii="宋体" w:hAnsi="宋体" w:cs="宋体" w:eastAsia="宋体" w:hint="default"/>
                <w:sz w:val="21"/>
                <w:szCs w:val="21"/>
              </w:rPr>
              <w:t>按合同</w:t>
            </w:r>
            <w:r>
              <w:rPr>
                <w:rFonts w:ascii="宋体" w:hAnsi="宋体" w:cs="宋体" w:eastAsia="宋体" w:hint="default"/>
                <w:spacing w:val="-102"/>
                <w:sz w:val="21"/>
                <w:szCs w:val="21"/>
              </w:rPr>
              <w:t> </w:t>
            </w:r>
            <w:r>
              <w:rPr>
                <w:rFonts w:ascii="宋体" w:hAnsi="宋体" w:cs="宋体" w:eastAsia="宋体" w:hint="default"/>
                <w:sz w:val="21"/>
                <w:szCs w:val="21"/>
              </w:rPr>
              <w:t>结算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341"/>
              <w:jc w:val="right"/>
              <w:rPr>
                <w:rFonts w:ascii="宋体" w:hAnsi="宋体" w:cs="宋体" w:eastAsia="宋体" w:hint="default"/>
                <w:sz w:val="21"/>
                <w:szCs w:val="21"/>
              </w:rPr>
            </w:pPr>
            <w:r>
              <w:rPr>
                <w:rFonts w:ascii="宋体" w:hAnsi="宋体" w:cs="宋体" w:eastAsia="宋体" w:hint="default"/>
                <w:sz w:val="21"/>
                <w:szCs w:val="21"/>
              </w:rPr>
              <w:t>较小</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z w:val="21"/>
              </w:rPr>
              <w:t>42.37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46"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地理所</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1" w:right="19"/>
              <w:jc w:val="left"/>
              <w:rPr>
                <w:rFonts w:ascii="宋体" w:hAnsi="宋体" w:cs="宋体" w:eastAsia="宋体" w:hint="default"/>
                <w:sz w:val="21"/>
                <w:szCs w:val="21"/>
              </w:rPr>
            </w:pPr>
            <w:r>
              <w:rPr>
                <w:rFonts w:ascii="宋体" w:hAnsi="宋体" w:cs="宋体" w:eastAsia="宋体" w:hint="default"/>
                <w:sz w:val="21"/>
                <w:szCs w:val="21"/>
              </w:rPr>
              <w:t>公司持</w:t>
            </w:r>
            <w:r>
              <w:rPr>
                <w:rFonts w:ascii="宋体" w:hAnsi="宋体" w:cs="宋体" w:eastAsia="宋体" w:hint="default"/>
                <w:spacing w:val="-102"/>
                <w:sz w:val="21"/>
                <w:szCs w:val="21"/>
              </w:rPr>
              <w:t> </w:t>
            </w:r>
            <w:r>
              <w:rPr>
                <w:rFonts w:ascii="宋体" w:hAnsi="宋体" w:cs="宋体" w:eastAsia="宋体" w:hint="default"/>
                <w:sz w:val="21"/>
                <w:szCs w:val="21"/>
              </w:rPr>
              <w:t>股</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w:t>
            </w:r>
            <w:r>
              <w:rPr>
                <w:rFonts w:ascii="宋体" w:hAnsi="宋体" w:cs="宋体" w:eastAsia="宋体" w:hint="default"/>
                <w:w w:val="100"/>
                <w:sz w:val="21"/>
                <w:szCs w:val="21"/>
              </w:rPr>
              <w:t> </w:t>
            </w:r>
            <w:r>
              <w:rPr>
                <w:rFonts w:ascii="宋体" w:hAnsi="宋体" w:cs="宋体" w:eastAsia="宋体" w:hint="default"/>
                <w:sz w:val="21"/>
                <w:szCs w:val="21"/>
              </w:rPr>
              <w:t>上股东</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z w:val="21"/>
                <w:szCs w:val="21"/>
              </w:rPr>
              <w:t>出售商</w:t>
            </w:r>
            <w:r>
              <w:rPr>
                <w:rFonts w:ascii="宋体" w:hAnsi="宋体" w:cs="宋体" w:eastAsia="宋体" w:hint="default"/>
                <w:spacing w:val="-102"/>
                <w:sz w:val="21"/>
                <w:szCs w:val="21"/>
              </w:rPr>
              <w:t> </w:t>
            </w:r>
            <w:r>
              <w:rPr>
                <w:rFonts w:ascii="宋体" w:hAnsi="宋体" w:cs="宋体" w:eastAsia="宋体" w:hint="default"/>
                <w:spacing w:val="-26"/>
                <w:w w:val="100"/>
                <w:sz w:val="21"/>
                <w:szCs w:val="21"/>
              </w:rPr>
              <w:t>品、提供</w:t>
            </w:r>
            <w:r>
              <w:rPr>
                <w:rFonts w:ascii="宋体" w:hAnsi="宋体" w:cs="宋体" w:eastAsia="宋体" w:hint="default"/>
                <w:w w:val="100"/>
                <w:sz w:val="21"/>
                <w:szCs w:val="21"/>
              </w:rPr>
              <w:t> </w:t>
            </w:r>
            <w:r>
              <w:rPr>
                <w:rFonts w:ascii="宋体" w:hAnsi="宋体" w:cs="宋体" w:eastAsia="宋体" w:hint="default"/>
                <w:sz w:val="21"/>
                <w:szCs w:val="21"/>
              </w:rPr>
              <w:t>劳务</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1" w:right="147"/>
              <w:jc w:val="left"/>
              <w:rPr>
                <w:rFonts w:ascii="宋体" w:hAnsi="宋体" w:cs="宋体" w:eastAsia="宋体" w:hint="default"/>
                <w:sz w:val="21"/>
                <w:szCs w:val="21"/>
              </w:rPr>
            </w:pPr>
            <w:r>
              <w:rPr>
                <w:rFonts w:ascii="宋体" w:hAnsi="宋体" w:cs="宋体" w:eastAsia="宋体" w:hint="default"/>
                <w:sz w:val="21"/>
                <w:szCs w:val="21"/>
              </w:rPr>
              <w:t>技术开</w:t>
            </w:r>
            <w:r>
              <w:rPr>
                <w:rFonts w:ascii="宋体" w:hAnsi="宋体" w:cs="宋体" w:eastAsia="宋体" w:hint="default"/>
                <w:spacing w:val="-102"/>
                <w:sz w:val="21"/>
                <w:szCs w:val="21"/>
              </w:rPr>
              <w:t> </w:t>
            </w:r>
            <w:r>
              <w:rPr>
                <w:rFonts w:ascii="宋体" w:hAnsi="宋体" w:cs="宋体" w:eastAsia="宋体" w:hint="default"/>
                <w:sz w:val="21"/>
                <w:szCs w:val="21"/>
              </w:rPr>
              <w:t>发</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336"/>
              <w:jc w:val="right"/>
              <w:rPr>
                <w:rFonts w:ascii="宋体" w:hAnsi="宋体" w:cs="宋体" w:eastAsia="宋体" w:hint="default"/>
                <w:sz w:val="21"/>
                <w:szCs w:val="21"/>
              </w:rPr>
            </w:pPr>
            <w:r>
              <w:rPr>
                <w:rFonts w:ascii="宋体" w:hAnsi="宋体" w:cs="宋体" w:eastAsia="宋体" w:hint="default"/>
                <w:sz w:val="21"/>
                <w:szCs w:val="21"/>
              </w:rPr>
              <w:t>市价</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117.00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2"/>
                <w:sz w:val="21"/>
              </w:rPr>
              <w:t>117.00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0.44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1" w:right="127"/>
              <w:jc w:val="left"/>
              <w:rPr>
                <w:rFonts w:ascii="宋体" w:hAnsi="宋体" w:cs="宋体" w:eastAsia="宋体" w:hint="default"/>
                <w:sz w:val="21"/>
                <w:szCs w:val="21"/>
              </w:rPr>
            </w:pPr>
            <w:r>
              <w:rPr>
                <w:rFonts w:ascii="宋体" w:hAnsi="宋体" w:cs="宋体" w:eastAsia="宋体" w:hint="default"/>
                <w:sz w:val="21"/>
                <w:szCs w:val="21"/>
              </w:rPr>
              <w:t>按合同</w:t>
            </w:r>
            <w:r>
              <w:rPr>
                <w:rFonts w:ascii="宋体" w:hAnsi="宋体" w:cs="宋体" w:eastAsia="宋体" w:hint="default"/>
                <w:spacing w:val="-102"/>
                <w:sz w:val="21"/>
                <w:szCs w:val="21"/>
              </w:rPr>
              <w:t> </w:t>
            </w:r>
            <w:r>
              <w:rPr>
                <w:rFonts w:ascii="宋体" w:hAnsi="宋体" w:cs="宋体" w:eastAsia="宋体" w:hint="default"/>
                <w:sz w:val="21"/>
                <w:szCs w:val="21"/>
              </w:rPr>
              <w:t>结算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341"/>
              <w:jc w:val="right"/>
              <w:rPr>
                <w:rFonts w:ascii="宋体" w:hAnsi="宋体" w:cs="宋体" w:eastAsia="宋体" w:hint="default"/>
                <w:sz w:val="21"/>
                <w:szCs w:val="21"/>
              </w:rPr>
            </w:pPr>
            <w:r>
              <w:rPr>
                <w:rFonts w:ascii="宋体" w:hAnsi="宋体" w:cs="宋体" w:eastAsia="宋体" w:hint="default"/>
                <w:sz w:val="21"/>
                <w:szCs w:val="21"/>
              </w:rPr>
              <w:t>较小</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2"/>
                <w:sz w:val="21"/>
              </w:rPr>
              <w:t>117.00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319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319"/>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69" w:right="0"/>
              <w:jc w:val="left"/>
              <w:rPr>
                <w:rFonts w:ascii="Times New Roman" w:hAnsi="Times New Roman" w:cs="Times New Roman" w:eastAsia="Times New Roman" w:hint="default"/>
                <w:sz w:val="21"/>
                <w:szCs w:val="21"/>
              </w:rPr>
            </w:pPr>
            <w:r>
              <w:rPr>
                <w:rFonts w:ascii="Times New Roman"/>
                <w:sz w:val="21"/>
              </w:rPr>
              <w:t>260.76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08" w:right="0"/>
              <w:jc w:val="left"/>
              <w:rPr>
                <w:rFonts w:ascii="Times New Roman" w:hAnsi="Times New Roman" w:cs="Times New Roman" w:eastAsia="Times New Roman" w:hint="default"/>
                <w:sz w:val="21"/>
                <w:szCs w:val="21"/>
              </w:rPr>
            </w:pPr>
            <w:r>
              <w:rPr>
                <w:rFonts w:ascii="Times New Roman"/>
                <w:sz w:val="21"/>
              </w:rPr>
              <w:t>1.91</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325"/>
              <w:jc w:val="right"/>
              <w:rPr>
                <w:rFonts w:ascii="Times New Roman" w:hAnsi="Times New Roman" w:cs="Times New Roman" w:eastAsia="Times New Roman" w:hint="default"/>
                <w:sz w:val="21"/>
                <w:szCs w:val="21"/>
              </w:rPr>
            </w:pPr>
            <w:r>
              <w:rPr>
                <w:rFonts w:ascii="Times New Roman"/>
                <w:spacing w:val="-1"/>
                <w:sz w:val="21"/>
              </w:rPr>
              <w:t>--</w:t>
            </w:r>
            <w:r>
              <w:rPr>
                <w:rFonts w:ascii="Times New Roman"/>
                <w:sz w:val="21"/>
              </w:rPr>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r>
      <w:tr>
        <w:trPr>
          <w:trHeight w:val="322" w:hRule="exact"/>
        </w:trPr>
        <w:tc>
          <w:tcPr>
            <w:tcW w:w="484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47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484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pacing w:val="-4"/>
                <w:sz w:val="21"/>
                <w:szCs w:val="21"/>
              </w:rPr>
              <w:t>关联交易的必要性、持续性、选择与关联方（而非市</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z w:val="21"/>
                <w:szCs w:val="21"/>
              </w:rPr>
              <w:t>场其他交易方）进行交易的原因</w:t>
            </w:r>
          </w:p>
        </w:tc>
        <w:tc>
          <w:tcPr>
            <w:tcW w:w="47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3" w:hRule="exact"/>
        </w:trPr>
        <w:tc>
          <w:tcPr>
            <w:tcW w:w="484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关联交易对上市公司独立性的影响</w:t>
            </w:r>
          </w:p>
        </w:tc>
        <w:tc>
          <w:tcPr>
            <w:tcW w:w="47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3" w:hRule="exact"/>
        </w:trPr>
        <w:tc>
          <w:tcPr>
            <w:tcW w:w="484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公司对关联方的依赖程度，以及相关解决措施（如有</w:t>
            </w:r>
          </w:p>
        </w:tc>
        <w:tc>
          <w:tcPr>
            <w:tcW w:w="47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484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87"/>
              <w:jc w:val="left"/>
              <w:rPr>
                <w:rFonts w:ascii="宋体" w:hAnsi="宋体" w:cs="宋体" w:eastAsia="宋体" w:hint="default"/>
                <w:sz w:val="21"/>
                <w:szCs w:val="21"/>
              </w:rPr>
            </w:pPr>
            <w:r>
              <w:rPr>
                <w:rFonts w:ascii="宋体" w:hAnsi="宋体" w:cs="宋体" w:eastAsia="宋体" w:hint="default"/>
                <w:spacing w:val="-2"/>
                <w:sz w:val="21"/>
                <w:szCs w:val="21"/>
              </w:rPr>
              <w:t>按类别对本期将发生的日常关联交易进行总金额预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计的，在报告期内的实际履行情况</w:t>
            </w:r>
          </w:p>
        </w:tc>
        <w:tc>
          <w:tcPr>
            <w:tcW w:w="47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484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关联交易的说明</w:t>
            </w:r>
          </w:p>
        </w:tc>
        <w:tc>
          <w:tcPr>
            <w:tcW w:w="4705" w:type="dxa"/>
            <w:gridSpan w:val="6"/>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报告期内公司无重大关联交易事项</w:t>
            </w:r>
          </w:p>
        </w:tc>
      </w:tr>
    </w:tbl>
    <w:p>
      <w:pPr>
        <w:spacing w:line="240" w:lineRule="auto" w:before="10"/>
        <w:rPr>
          <w:rFonts w:ascii="宋体" w:hAnsi="宋体" w:cs="宋体" w:eastAsia="宋体" w:hint="default"/>
          <w:b/>
          <w:bCs/>
          <w:sz w:val="18"/>
          <w:szCs w:val="18"/>
        </w:rPr>
      </w:pPr>
    </w:p>
    <w:p>
      <w:pPr>
        <w:pStyle w:val="BodyText"/>
        <w:spacing w:line="240" w:lineRule="auto" w:before="26"/>
        <w:ind w:left="157" w:right="272"/>
        <w:jc w:val="left"/>
      </w:pPr>
      <w:r>
        <w:rPr/>
        <w:pict>
          <v:shape style="position:absolute;margin-left:298.264343pt;margin-top:-76.124374pt;width:240.4pt;height:15.6pt;mso-position-horizontal-relative:page;mso-position-vertical-relative:paragraph;z-index:-918424"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r>
        <w:rPr/>
        <w:pict>
          <v:group style="position:absolute;margin-left:305.089996pt;margin-top:-76.664375pt;width:233.6pt;height:16.7pt;mso-position-horizontal-relative:page;mso-position-vertical-relative:paragraph;z-index:-918400" coordorigin="6102,-1533" coordsize="4672,334">
            <v:group style="position:absolute;left:6113;top:-1522;width:2;height:312" coordorigin="6113,-1522" coordsize="2,312">
              <v:shape style="position:absolute;left:6113;top:-1522;width:2;height:312" coordorigin="6113,-1522" coordsize="0,312" path="m6113,-1522l6113,-1210e" filled="false" stroked="true" strokeweight="1.08pt" strokecolor="#ffffff">
                <v:path arrowok="t"/>
              </v:shape>
            </v:group>
            <v:group style="position:absolute;left:6123;top:-1522;width:4650;height:312" coordorigin="6123,-1522" coordsize="4650,312">
              <v:shape style="position:absolute;left:6123;top:-1522;width:4650;height:312" coordorigin="6123,-1522" coordsize="4650,312" path="m6123,-1210l10773,-1210,10773,-1522,6123,-1522,6123,-1210xe" filled="true" fillcolor="#ffffff" stroked="false">
                <v:path arrowok="t"/>
                <v:fill type="solid"/>
              </v:shape>
            </v:group>
            <w10:wrap type="none"/>
          </v:group>
        </w:pict>
      </w:r>
      <w:r>
        <w:rPr/>
        <w:t>报告期内公司向关联方销售（采购）产品和提供（接受）劳务的情况</w:t>
      </w:r>
    </w:p>
    <w:p>
      <w:pPr>
        <w:spacing w:line="240" w:lineRule="auto" w:before="12"/>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199"/>
        <w:gridCol w:w="1858"/>
        <w:gridCol w:w="1856"/>
        <w:gridCol w:w="1827"/>
        <w:gridCol w:w="1829"/>
      </w:tblGrid>
      <w:tr>
        <w:trPr>
          <w:trHeight w:val="322" w:hRule="exact"/>
        </w:trPr>
        <w:tc>
          <w:tcPr>
            <w:tcW w:w="2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3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80" w:right="0"/>
              <w:jc w:val="left"/>
              <w:rPr>
                <w:rFonts w:ascii="宋体" w:hAnsi="宋体" w:cs="宋体" w:eastAsia="宋体" w:hint="default"/>
                <w:sz w:val="21"/>
                <w:szCs w:val="21"/>
              </w:rPr>
            </w:pPr>
            <w:r>
              <w:rPr>
                <w:rFonts w:ascii="宋体" w:hAnsi="宋体" w:cs="宋体" w:eastAsia="宋体" w:hint="default"/>
                <w:b/>
                <w:bCs/>
                <w:sz w:val="21"/>
                <w:szCs w:val="21"/>
              </w:rPr>
              <w:t>向关联方销售产品和提供劳务</w:t>
            </w:r>
            <w:r>
              <w:rPr>
                <w:rFonts w:ascii="宋体" w:hAnsi="宋体" w:cs="宋体" w:eastAsia="宋体" w:hint="default"/>
                <w:sz w:val="21"/>
                <w:szCs w:val="21"/>
              </w:rPr>
            </w:r>
          </w:p>
        </w:tc>
        <w:tc>
          <w:tcPr>
            <w:tcW w:w="36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51" w:right="0"/>
              <w:jc w:val="left"/>
              <w:rPr>
                <w:rFonts w:ascii="宋体" w:hAnsi="宋体" w:cs="宋体" w:eastAsia="宋体" w:hint="default"/>
                <w:sz w:val="21"/>
                <w:szCs w:val="21"/>
              </w:rPr>
            </w:pPr>
            <w:r>
              <w:rPr>
                <w:rFonts w:ascii="宋体" w:hAnsi="宋体" w:cs="宋体" w:eastAsia="宋体" w:hint="default"/>
                <w:b/>
                <w:bCs/>
                <w:sz w:val="21"/>
                <w:szCs w:val="21"/>
              </w:rPr>
              <w:t>向关联方采购产品和接受劳务</w:t>
            </w:r>
            <w:r>
              <w:rPr>
                <w:rFonts w:ascii="宋体" w:hAnsi="宋体" w:cs="宋体" w:eastAsia="宋体" w:hint="default"/>
                <w:sz w:val="21"/>
                <w:szCs w:val="21"/>
              </w:rPr>
            </w:r>
          </w:p>
        </w:tc>
      </w:tr>
      <w:tr>
        <w:trPr>
          <w:trHeight w:val="634" w:hRule="exact"/>
        </w:trPr>
        <w:tc>
          <w:tcPr>
            <w:tcW w:w="2199" w:type="dxa"/>
            <w:vMerge/>
            <w:tcBorders>
              <w:left w:val="single" w:sz="4" w:space="0" w:color="000000"/>
              <w:bottom w:val="single" w:sz="4" w:space="0" w:color="000000"/>
              <w:right w:val="single" w:sz="4" w:space="0" w:color="000000"/>
            </w:tcBorders>
            <w:shd w:val="clear" w:color="auto" w:fill="D2D2D2"/>
          </w:tcPr>
          <w:p>
            <w:pP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交易金额（万元）</w:t>
            </w:r>
            <w:r>
              <w:rPr>
                <w:rFonts w:ascii="宋体" w:hAnsi="宋体" w:cs="宋体" w:eastAsia="宋体" w:hint="default"/>
                <w:sz w:val="21"/>
                <w:szCs w:val="21"/>
              </w:rPr>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35" w:right="77" w:hanging="459"/>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占同类交易金额的</w:t>
            </w:r>
            <w:r>
              <w:rPr>
                <w:rFonts w:ascii="宋体" w:hAnsi="宋体" w:cs="宋体" w:eastAsia="宋体" w:hint="default"/>
                <w:b/>
                <w:bCs/>
                <w:spacing w:val="-103"/>
                <w:sz w:val="21"/>
                <w:szCs w:val="21"/>
              </w:rPr>
              <w:t> </w:t>
            </w: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b/>
                <w:bCs/>
                <w:sz w:val="21"/>
                <w:szCs w:val="21"/>
              </w:rPr>
              <w:t>交易金额（万元）</w:t>
            </w:r>
            <w:r>
              <w:rPr>
                <w:rFonts w:ascii="宋体" w:hAnsi="宋体" w:cs="宋体" w:eastAsia="宋体" w:hint="default"/>
                <w:sz w:val="21"/>
                <w:szCs w:val="21"/>
              </w:rPr>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25" w:right="60" w:hanging="459"/>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占同类交易金额的</w:t>
            </w:r>
            <w:r>
              <w:rPr>
                <w:rFonts w:ascii="宋体" w:hAnsi="宋体" w:cs="宋体" w:eastAsia="宋体" w:hint="default"/>
                <w:b/>
                <w:bCs/>
                <w:spacing w:val="-103"/>
                <w:sz w:val="21"/>
                <w:szCs w:val="21"/>
              </w:rPr>
              <w:t> </w:t>
            </w:r>
            <w:r>
              <w:rPr>
                <w:rFonts w:ascii="宋体" w:hAnsi="宋体" w:cs="宋体" w:eastAsia="宋体" w:hint="default"/>
                <w:b/>
                <w:bCs/>
                <w:sz w:val="21"/>
                <w:szCs w:val="21"/>
              </w:rPr>
              <w:t>比例</w:t>
            </w:r>
            <w:r>
              <w:rPr>
                <w:rFonts w:ascii="Times New Roman" w:hAnsi="Times New Roman" w:cs="Times New Roman" w:eastAsia="Times New Roman" w:hint="default"/>
                <w:b/>
                <w:bCs/>
                <w:sz w:val="21"/>
                <w:szCs w:val="21"/>
              </w:rPr>
              <w:t>(%)</w:t>
            </w:r>
            <w:r>
              <w:rPr>
                <w:rFonts w:ascii="Times New Roman" w:hAnsi="Times New Roman" w:cs="Times New Roman" w:eastAsia="Times New Roman" w:hint="default"/>
                <w:sz w:val="21"/>
                <w:szCs w:val="21"/>
              </w:rPr>
            </w:r>
          </w:p>
        </w:tc>
      </w:tr>
      <w:tr>
        <w:trPr>
          <w:trHeight w:val="660"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1" w:right="0"/>
              <w:jc w:val="left"/>
              <w:rPr>
                <w:rFonts w:ascii="宋体" w:hAnsi="宋体" w:cs="宋体" w:eastAsia="宋体" w:hint="default"/>
                <w:sz w:val="21"/>
                <w:szCs w:val="21"/>
              </w:rPr>
            </w:pPr>
            <w:r>
              <w:rPr>
                <w:rFonts w:ascii="宋体" w:hAnsi="宋体" w:cs="宋体" w:eastAsia="宋体" w:hint="default"/>
                <w:sz w:val="21"/>
                <w:szCs w:val="21"/>
              </w:rPr>
              <w:t>浙江中科</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w w:val="100"/>
                <w:sz w:val="21"/>
              </w:rPr>
              <w:t>-</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98.05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1.01</w:t>
            </w:r>
          </w:p>
        </w:tc>
      </w:tr>
      <w:tr>
        <w:trPr>
          <w:trHeight w:val="658"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1" w:right="0"/>
              <w:jc w:val="left"/>
              <w:rPr>
                <w:rFonts w:ascii="宋体" w:hAnsi="宋体" w:cs="宋体" w:eastAsia="宋体" w:hint="default"/>
                <w:sz w:val="21"/>
                <w:szCs w:val="21"/>
              </w:rPr>
            </w:pPr>
            <w:r>
              <w:rPr>
                <w:rFonts w:ascii="宋体" w:hAnsi="宋体" w:cs="宋体" w:eastAsia="宋体" w:hint="default"/>
                <w:sz w:val="21"/>
                <w:szCs w:val="21"/>
              </w:rPr>
              <w:t>国遥</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3.34</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0.02</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42.37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0.44</w:t>
            </w:r>
          </w:p>
        </w:tc>
      </w:tr>
      <w:tr>
        <w:trPr>
          <w:trHeight w:val="322"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地理所</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117.00</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0.44</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322" w:hRule="exact"/>
        </w:trPr>
        <w:tc>
          <w:tcPr>
            <w:tcW w:w="2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120.34</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0.46</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140.42</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1.45</w:t>
            </w:r>
          </w:p>
        </w:tc>
      </w:tr>
    </w:tbl>
    <w:p>
      <w:pPr>
        <w:spacing w:line="278" w:lineRule="exact" w:before="0"/>
        <w:ind w:left="157" w:right="272" w:firstLine="0"/>
        <w:jc w:val="left"/>
        <w:rPr>
          <w:rFonts w:ascii="宋体" w:hAnsi="宋体" w:cs="宋体" w:eastAsia="宋体" w:hint="default"/>
          <w:sz w:val="21"/>
          <w:szCs w:val="21"/>
        </w:rPr>
      </w:pPr>
      <w:r>
        <w:rPr>
          <w:rFonts w:ascii="宋体" w:hAnsi="宋体" w:cs="宋体" w:eastAsia="宋体" w:hint="default"/>
          <w:sz w:val="21"/>
          <w:szCs w:val="21"/>
        </w:rPr>
        <w:t>其中：报告期内公司向控股股东及其子公司销售产品或提供劳务的关联交易金额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万元。</w:t>
      </w:r>
    </w:p>
    <w:p>
      <w:pPr>
        <w:spacing w:after="0" w:line="278" w:lineRule="exact"/>
        <w:jc w:val="left"/>
        <w:rPr>
          <w:rFonts w:ascii="宋体" w:hAnsi="宋体" w:cs="宋体" w:eastAsia="宋体" w:hint="default"/>
          <w:sz w:val="21"/>
          <w:szCs w:val="21"/>
        </w:rPr>
        <w:sectPr>
          <w:pgSz w:w="11910" w:h="16840"/>
          <w:pgMar w:header="884" w:footer="1007" w:top="1140" w:bottom="1200" w:left="1120" w:right="980"/>
        </w:sectPr>
      </w:pPr>
    </w:p>
    <w:p>
      <w:pPr>
        <w:spacing w:line="240" w:lineRule="auto" w:before="6"/>
        <w:rPr>
          <w:rFonts w:ascii="宋体" w:hAnsi="宋体" w:cs="宋体" w:eastAsia="宋体" w:hint="default"/>
          <w:sz w:val="22"/>
          <w:szCs w:val="22"/>
        </w:rPr>
      </w:pPr>
      <w:r>
        <w:rPr/>
        <w:pict>
          <v:shape style="position:absolute;margin-left:198.292801pt;margin-top:558.315979pt;width:342.8pt;height:15.65pt;mso-position-horizontal-relative:page;mso-position-vertical-relative:page;z-index:-918376"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万元）</w:t>
                  </w:r>
                </w:p>
              </w:txbxContent>
            </v:textbox>
            <w10:wrap type="none"/>
          </v:shape>
        </w:pict>
      </w:r>
      <w:r>
        <w:rPr/>
        <w:pict>
          <v:group style="position:absolute;margin-left:226.25pt;margin-top:557.716003pt;width:314.850pt;height:16.850pt;mso-position-horizontal-relative:page;mso-position-vertical-relative:page;z-index:-918352" coordorigin="4525,11154" coordsize="6297,337">
            <v:group style="position:absolute;left:4537;top:11166;width:2;height:313" coordorigin="4537,11166" coordsize="2,313">
              <v:shape style="position:absolute;left:4537;top:11166;width:2;height:313" coordorigin="4537,11166" coordsize="0,313" path="m4537,11166l4537,11479e" filled="false" stroked="true" strokeweight="1.2pt" strokecolor="#ffffff">
                <v:path arrowok="t"/>
              </v:shape>
            </v:group>
            <v:group style="position:absolute;left:4549;top:11166;width:6273;height:313" coordorigin="4549,11166" coordsize="6273,313">
              <v:shape style="position:absolute;left:4549;top:11166;width:6273;height:313" coordorigin="4549,11166" coordsize="6273,313" path="m4549,11479l10821,11479,10821,11166,4549,11166,4549,11479xe" filled="true" fillcolor="#ffffff" stroked="false">
                <v:path arrowok="t"/>
                <v:fill type="solid"/>
              </v:shape>
            </v:group>
            <w10:wrap type="none"/>
          </v:group>
        </w:pict>
      </w:r>
    </w:p>
    <w:p>
      <w:pPr>
        <w:pStyle w:val="Heading4"/>
        <w:spacing w:line="240" w:lineRule="auto" w:before="26"/>
        <w:ind w:right="183"/>
        <w:jc w:val="left"/>
        <w:rPr>
          <w:b w:val="0"/>
          <w:bCs w:val="0"/>
        </w:rPr>
      </w:pPr>
      <w:bookmarkStart w:name="_bookmark49" w:id="50"/>
      <w:bookmarkEnd w:id="50"/>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137" w:right="1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6"/>
        <w:rPr>
          <w:rFonts w:ascii="宋体" w:hAnsi="宋体" w:cs="宋体" w:eastAsia="宋体" w:hint="default"/>
          <w:sz w:val="27"/>
          <w:szCs w:val="27"/>
        </w:rPr>
      </w:pPr>
    </w:p>
    <w:p>
      <w:pPr>
        <w:spacing w:line="456" w:lineRule="auto" w:before="0"/>
        <w:ind w:left="137" w:right="3429" w:firstLine="0"/>
        <w:jc w:val="left"/>
        <w:rPr>
          <w:rFonts w:ascii="宋体" w:hAnsi="宋体" w:cs="宋体" w:eastAsia="宋体" w:hint="default"/>
          <w:sz w:val="24"/>
          <w:szCs w:val="24"/>
        </w:rPr>
      </w:pPr>
      <w:bookmarkStart w:name="_bookmark50" w:id="51"/>
      <w:bookmarkEnd w:id="51"/>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、共同对外投资的重大关联交易</w:t>
      </w:r>
      <w:r>
        <w:rPr>
          <w:rFonts w:ascii="宋体" w:hAnsi="宋体" w:cs="宋体" w:eastAsia="宋体" w:hint="default"/>
          <w:b/>
          <w:bCs/>
          <w:w w:val="99"/>
          <w:sz w:val="24"/>
          <w:szCs w:val="24"/>
        </w:rPr>
        <w:t> </w:t>
      </w:r>
      <w:r>
        <w:rPr>
          <w:rFonts w:ascii="宋体" w:hAnsi="宋体" w:cs="宋体" w:eastAsia="宋体" w:hint="default"/>
          <w:sz w:val="24"/>
          <w:szCs w:val="24"/>
        </w:rPr>
        <w:t>报告期内，公司未发生共同对外投资的重大关联交易情况。 </w:t>
      </w:r>
      <w:bookmarkStart w:name="_bookmark51" w:id="52"/>
      <w:bookmarkEnd w:id="52"/>
      <w:r>
        <w:rPr>
          <w:rFonts w:ascii="宋体" w:hAnsi="宋体" w:cs="宋体" w:eastAsia="宋体" w:hint="default"/>
          <w:sz w:val="24"/>
          <w:szCs w:val="24"/>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、关联债权债务往来</w:t>
      </w:r>
      <w:r>
        <w:rPr>
          <w:rFonts w:ascii="宋体" w:hAnsi="宋体" w:cs="宋体" w:eastAsia="宋体" w:hint="default"/>
          <w:sz w:val="24"/>
          <w:szCs w:val="24"/>
        </w:rPr>
      </w:r>
    </w:p>
    <w:p>
      <w:pPr>
        <w:pStyle w:val="BodyText"/>
        <w:spacing w:line="313" w:lineRule="exact" w:before="38"/>
        <w:ind w:left="137" w:right="183"/>
        <w:jc w:val="left"/>
      </w:pPr>
      <w:r>
        <w:rPr/>
        <w:t>是否存在非经营性关联债权债务往来</w:t>
      </w:r>
    </w:p>
    <w:p>
      <w:pPr>
        <w:pStyle w:val="BodyText"/>
        <w:spacing w:line="331" w:lineRule="exact"/>
        <w:ind w:left="137" w:right="18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240" w:lineRule="auto" w:before="5"/>
        <w:rPr>
          <w:rFonts w:ascii="宋体" w:hAnsi="宋体" w:cs="宋体" w:eastAsia="宋体" w:hint="default"/>
          <w:sz w:val="25"/>
          <w:szCs w:val="25"/>
        </w:rPr>
      </w:pPr>
    </w:p>
    <w:tbl>
      <w:tblPr>
        <w:tblW w:w="0" w:type="auto"/>
        <w:jc w:val="left"/>
        <w:tblInd w:w="132" w:type="dxa"/>
        <w:tblLayout w:type="fixed"/>
        <w:tblCellMar>
          <w:top w:w="0" w:type="dxa"/>
          <w:left w:w="0" w:type="dxa"/>
          <w:bottom w:w="0" w:type="dxa"/>
          <w:right w:w="0" w:type="dxa"/>
        </w:tblCellMar>
        <w:tblLook w:val="01E0"/>
      </w:tblPr>
      <w:tblGrid>
        <w:gridCol w:w="1560"/>
        <w:gridCol w:w="1677"/>
        <w:gridCol w:w="733"/>
        <w:gridCol w:w="708"/>
        <w:gridCol w:w="711"/>
        <w:gridCol w:w="708"/>
        <w:gridCol w:w="425"/>
        <w:gridCol w:w="425"/>
        <w:gridCol w:w="566"/>
        <w:gridCol w:w="428"/>
        <w:gridCol w:w="425"/>
        <w:gridCol w:w="425"/>
        <w:gridCol w:w="425"/>
        <w:gridCol w:w="358"/>
      </w:tblGrid>
      <w:tr>
        <w:trPr>
          <w:trHeight w:val="634" w:hRule="exact"/>
        </w:trPr>
        <w:tc>
          <w:tcPr>
            <w:tcW w:w="15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55"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6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21"/>
                <w:szCs w:val="21"/>
              </w:rPr>
            </w:pPr>
            <w:r>
              <w:rPr>
                <w:rFonts w:ascii="宋体" w:hAnsi="宋体" w:cs="宋体" w:eastAsia="宋体" w:hint="default"/>
                <w:b/>
                <w:bCs/>
                <w:sz w:val="21"/>
                <w:szCs w:val="21"/>
              </w:rPr>
              <w:t>关联关系</w:t>
            </w:r>
            <w:r>
              <w:rPr>
                <w:rFonts w:ascii="宋体" w:hAnsi="宋体" w:cs="宋体" w:eastAsia="宋体" w:hint="default"/>
                <w:sz w:val="21"/>
                <w:szCs w:val="21"/>
              </w:rPr>
            </w:r>
          </w:p>
        </w:tc>
        <w:tc>
          <w:tcPr>
            <w:tcW w:w="370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588" w:right="0"/>
              <w:jc w:val="left"/>
              <w:rPr>
                <w:rFonts w:ascii="宋体" w:hAnsi="宋体" w:cs="宋体" w:eastAsia="宋体" w:hint="default"/>
                <w:sz w:val="21"/>
                <w:szCs w:val="21"/>
              </w:rPr>
            </w:pPr>
            <w:r>
              <w:rPr>
                <w:rFonts w:ascii="宋体" w:hAnsi="宋体" w:cs="宋体" w:eastAsia="宋体" w:hint="default"/>
                <w:b/>
                <w:bCs/>
                <w:sz w:val="21"/>
                <w:szCs w:val="21"/>
              </w:rPr>
              <w:t>向关联方提供资金（万元）</w:t>
            </w:r>
            <w:r>
              <w:rPr>
                <w:rFonts w:ascii="宋体" w:hAnsi="宋体" w:cs="宋体" w:eastAsia="宋体" w:hint="default"/>
                <w:sz w:val="21"/>
                <w:szCs w:val="21"/>
              </w:rPr>
            </w:r>
          </w:p>
        </w:tc>
        <w:tc>
          <w:tcPr>
            <w:tcW w:w="262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关联方向上市公司提供资金</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r>
      <w:tr>
        <w:trPr>
          <w:trHeight w:val="1258"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677" w:type="dxa"/>
            <w:vMerge/>
            <w:tcBorders>
              <w:left w:val="single" w:sz="4" w:space="0" w:color="000000"/>
              <w:bottom w:val="single" w:sz="4" w:space="0" w:color="000000"/>
              <w:right w:val="single" w:sz="4" w:space="0" w:color="000000"/>
            </w:tcBorders>
            <w:shd w:val="clear" w:color="auto" w:fill="D2D2D2"/>
          </w:tcPr>
          <w:p>
            <w:pP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57" w:right="41" w:hanging="212"/>
              <w:jc w:val="left"/>
              <w:rPr>
                <w:rFonts w:ascii="宋体" w:hAnsi="宋体" w:cs="宋体" w:eastAsia="宋体" w:hint="default"/>
                <w:sz w:val="21"/>
                <w:szCs w:val="21"/>
              </w:rPr>
            </w:pPr>
            <w:r>
              <w:rPr>
                <w:rFonts w:ascii="宋体" w:hAnsi="宋体" w:cs="宋体" w:eastAsia="宋体" w:hint="default"/>
                <w:b/>
                <w:bCs/>
                <w:sz w:val="21"/>
                <w:szCs w:val="21"/>
              </w:rPr>
              <w:t>期初余</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b/>
                <w:bCs/>
                <w:sz w:val="21"/>
                <w:szCs w:val="21"/>
              </w:rPr>
              <w:t>发生额</w:t>
            </w:r>
            <w:r>
              <w:rPr>
                <w:rFonts w:ascii="宋体" w:hAnsi="宋体" w:cs="宋体" w:eastAsia="宋体" w:hint="default"/>
                <w:sz w:val="21"/>
                <w:szCs w:val="21"/>
              </w:rPr>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34"/>
              <w:jc w:val="right"/>
              <w:rPr>
                <w:rFonts w:ascii="宋体" w:hAnsi="宋体" w:cs="宋体" w:eastAsia="宋体" w:hint="default"/>
                <w:sz w:val="21"/>
                <w:szCs w:val="21"/>
              </w:rPr>
            </w:pPr>
            <w:r>
              <w:rPr>
                <w:rFonts w:ascii="宋体" w:hAnsi="宋体" w:cs="宋体" w:eastAsia="宋体" w:hint="default"/>
                <w:b/>
                <w:bCs/>
                <w:sz w:val="21"/>
                <w:szCs w:val="21"/>
              </w:rPr>
              <w:t>偿还额</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2" w:right="31" w:hanging="212"/>
              <w:jc w:val="left"/>
              <w:rPr>
                <w:rFonts w:ascii="宋体" w:hAnsi="宋体" w:cs="宋体" w:eastAsia="宋体" w:hint="default"/>
                <w:sz w:val="21"/>
                <w:szCs w:val="21"/>
              </w:rPr>
            </w:pPr>
            <w:r>
              <w:rPr>
                <w:rFonts w:ascii="宋体" w:hAnsi="宋体" w:cs="宋体" w:eastAsia="宋体" w:hint="default"/>
                <w:b/>
                <w:bCs/>
                <w:sz w:val="21"/>
                <w:szCs w:val="21"/>
              </w:rPr>
              <w:t>期末余</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b/>
                <w:bCs/>
                <w:sz w:val="21"/>
                <w:szCs w:val="21"/>
              </w:rPr>
              <w:t>利</w:t>
            </w:r>
            <w:r>
              <w:rPr>
                <w:rFonts w:ascii="宋体" w:hAnsi="宋体" w:cs="宋体" w:eastAsia="宋体" w:hint="default"/>
                <w:b/>
                <w:bCs/>
                <w:w w:val="100"/>
                <w:sz w:val="21"/>
                <w:szCs w:val="21"/>
              </w:rPr>
              <w:t> </w:t>
            </w:r>
            <w:r>
              <w:rPr>
                <w:rFonts w:ascii="宋体" w:hAnsi="宋体" w:cs="宋体" w:eastAsia="宋体" w:hint="default"/>
                <w:b/>
                <w:bCs/>
                <w:sz w:val="21"/>
                <w:szCs w:val="21"/>
              </w:rPr>
              <w:t>息</w:t>
            </w:r>
            <w:r>
              <w:rPr>
                <w:rFonts w:ascii="宋体" w:hAnsi="宋体" w:cs="宋体" w:eastAsia="宋体" w:hint="default"/>
                <w:b/>
                <w:bCs/>
                <w:w w:val="100"/>
                <w:sz w:val="21"/>
                <w:szCs w:val="21"/>
              </w:rPr>
              <w:t> </w:t>
            </w:r>
            <w:r>
              <w:rPr>
                <w:rFonts w:ascii="宋体" w:hAnsi="宋体" w:cs="宋体" w:eastAsia="宋体" w:hint="default"/>
                <w:b/>
                <w:bCs/>
                <w:sz w:val="21"/>
                <w:szCs w:val="21"/>
              </w:rPr>
              <w:t>收</w:t>
            </w:r>
            <w:r>
              <w:rPr>
                <w:rFonts w:ascii="宋体" w:hAnsi="宋体" w:cs="宋体" w:eastAsia="宋体" w:hint="default"/>
                <w:b/>
                <w:bCs/>
                <w:w w:val="100"/>
                <w:sz w:val="21"/>
                <w:szCs w:val="21"/>
              </w:rPr>
              <w:t> </w:t>
            </w:r>
            <w:r>
              <w:rPr>
                <w:rFonts w:ascii="宋体" w:hAnsi="宋体" w:cs="宋体" w:eastAsia="宋体" w:hint="default"/>
                <w:b/>
                <w:bCs/>
                <w:sz w:val="21"/>
                <w:szCs w:val="21"/>
              </w:rPr>
              <w:t>入</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b/>
                <w:bCs/>
                <w:sz w:val="21"/>
                <w:szCs w:val="21"/>
              </w:rPr>
              <w:t>利</w:t>
            </w:r>
            <w:r>
              <w:rPr>
                <w:rFonts w:ascii="宋体" w:hAnsi="宋体" w:cs="宋体" w:eastAsia="宋体" w:hint="default"/>
                <w:b/>
                <w:bCs/>
                <w:w w:val="100"/>
                <w:sz w:val="21"/>
                <w:szCs w:val="21"/>
              </w:rPr>
              <w:t> </w:t>
            </w:r>
            <w:r>
              <w:rPr>
                <w:rFonts w:ascii="宋体" w:hAnsi="宋体" w:cs="宋体" w:eastAsia="宋体" w:hint="default"/>
                <w:b/>
                <w:bCs/>
                <w:sz w:val="21"/>
                <w:szCs w:val="21"/>
              </w:rPr>
              <w:t>息</w:t>
            </w:r>
            <w:r>
              <w:rPr>
                <w:rFonts w:ascii="宋体" w:hAnsi="宋体" w:cs="宋体" w:eastAsia="宋体" w:hint="default"/>
                <w:b/>
                <w:bCs/>
                <w:w w:val="100"/>
                <w:sz w:val="21"/>
                <w:szCs w:val="21"/>
              </w:rPr>
              <w:t> </w:t>
            </w:r>
            <w:r>
              <w:rPr>
                <w:rFonts w:ascii="宋体" w:hAnsi="宋体" w:cs="宋体" w:eastAsia="宋体" w:hint="default"/>
                <w:b/>
                <w:bCs/>
                <w:sz w:val="21"/>
                <w:szCs w:val="21"/>
              </w:rPr>
              <w:t>支</w:t>
            </w:r>
            <w:r>
              <w:rPr>
                <w:rFonts w:ascii="宋体" w:hAnsi="宋体" w:cs="宋体" w:eastAsia="宋体" w:hint="default"/>
                <w:b/>
                <w:bCs/>
                <w:w w:val="100"/>
                <w:sz w:val="21"/>
                <w:szCs w:val="21"/>
              </w:rPr>
              <w:t> </w:t>
            </w:r>
            <w:r>
              <w:rPr>
                <w:rFonts w:ascii="宋体" w:hAnsi="宋体" w:cs="宋体" w:eastAsia="宋体" w:hint="default"/>
                <w:b/>
                <w:bCs/>
                <w:sz w:val="21"/>
                <w:szCs w:val="21"/>
              </w:rPr>
              <w:t>出</w:t>
            </w:r>
            <w:r>
              <w:rPr>
                <w:rFonts w:ascii="宋体" w:hAnsi="宋体" w:cs="宋体" w:eastAsia="宋体" w:hint="default"/>
                <w:sz w:val="21"/>
                <w:szCs w:val="21"/>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67" w:right="65"/>
              <w:jc w:val="left"/>
              <w:rPr>
                <w:rFonts w:ascii="宋体" w:hAnsi="宋体" w:cs="宋体" w:eastAsia="宋体" w:hint="default"/>
                <w:sz w:val="21"/>
                <w:szCs w:val="21"/>
              </w:rPr>
            </w:pPr>
            <w:r>
              <w:rPr>
                <w:rFonts w:ascii="宋体" w:hAnsi="宋体" w:cs="宋体" w:eastAsia="宋体" w:hint="default"/>
                <w:b/>
                <w:bCs/>
                <w:sz w:val="21"/>
                <w:szCs w:val="21"/>
              </w:rPr>
              <w:t>期初</w:t>
            </w:r>
            <w:r>
              <w:rPr>
                <w:rFonts w:ascii="宋体" w:hAnsi="宋体" w:cs="宋体" w:eastAsia="宋体" w:hint="default"/>
                <w:b/>
                <w:bCs/>
                <w:w w:val="100"/>
                <w:sz w:val="21"/>
                <w:szCs w:val="21"/>
              </w:rPr>
              <w:t> </w:t>
            </w:r>
            <w:r>
              <w:rPr>
                <w:rFonts w:ascii="宋体" w:hAnsi="宋体" w:cs="宋体" w:eastAsia="宋体" w:hint="default"/>
                <w:b/>
                <w:bCs/>
                <w:sz w:val="21"/>
                <w:szCs w:val="21"/>
              </w:rPr>
              <w:t>余额</w:t>
            </w:r>
            <w:r>
              <w:rPr>
                <w:rFonts w:ascii="宋体" w:hAnsi="宋体" w:cs="宋体" w:eastAsia="宋体" w:hint="default"/>
                <w:sz w:val="21"/>
                <w:szCs w:val="21"/>
              </w:rPr>
            </w:r>
          </w:p>
        </w:tc>
        <w:tc>
          <w:tcPr>
            <w:tcW w:w="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103" w:right="101"/>
              <w:jc w:val="both"/>
              <w:rPr>
                <w:rFonts w:ascii="宋体" w:hAnsi="宋体" w:cs="宋体" w:eastAsia="宋体" w:hint="default"/>
                <w:sz w:val="21"/>
                <w:szCs w:val="21"/>
              </w:rPr>
            </w:pPr>
            <w:r>
              <w:rPr>
                <w:rFonts w:ascii="宋体" w:hAnsi="宋体" w:cs="宋体" w:eastAsia="宋体" w:hint="default"/>
                <w:b/>
                <w:bCs/>
                <w:sz w:val="21"/>
                <w:szCs w:val="21"/>
              </w:rPr>
              <w:t>发</w:t>
            </w:r>
            <w:r>
              <w:rPr>
                <w:rFonts w:ascii="宋体" w:hAnsi="宋体" w:cs="宋体" w:eastAsia="宋体" w:hint="default"/>
                <w:b/>
                <w:bCs/>
                <w:w w:val="100"/>
                <w:sz w:val="21"/>
                <w:szCs w:val="21"/>
              </w:rPr>
              <w:t> </w:t>
            </w:r>
            <w:r>
              <w:rPr>
                <w:rFonts w:ascii="宋体" w:hAnsi="宋体" w:cs="宋体" w:eastAsia="宋体" w:hint="default"/>
                <w:b/>
                <w:bCs/>
                <w:sz w:val="21"/>
                <w:szCs w:val="21"/>
              </w:rPr>
              <w:t>生</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100" w:right="101"/>
              <w:jc w:val="both"/>
              <w:rPr>
                <w:rFonts w:ascii="宋体" w:hAnsi="宋体" w:cs="宋体" w:eastAsia="宋体" w:hint="default"/>
                <w:sz w:val="21"/>
                <w:szCs w:val="21"/>
              </w:rPr>
            </w:pPr>
            <w:r>
              <w:rPr>
                <w:rFonts w:ascii="宋体" w:hAnsi="宋体" w:cs="宋体" w:eastAsia="宋体" w:hint="default"/>
                <w:b/>
                <w:bCs/>
                <w:sz w:val="21"/>
                <w:szCs w:val="21"/>
              </w:rPr>
              <w:t>偿</w:t>
            </w:r>
            <w:r>
              <w:rPr>
                <w:rFonts w:ascii="宋体" w:hAnsi="宋体" w:cs="宋体" w:eastAsia="宋体" w:hint="default"/>
                <w:b/>
                <w:bCs/>
                <w:w w:val="100"/>
                <w:sz w:val="21"/>
                <w:szCs w:val="21"/>
              </w:rPr>
              <w:t> </w:t>
            </w:r>
            <w:r>
              <w:rPr>
                <w:rFonts w:ascii="宋体" w:hAnsi="宋体" w:cs="宋体" w:eastAsia="宋体" w:hint="default"/>
                <w:b/>
                <w:bCs/>
                <w:sz w:val="21"/>
                <w:szCs w:val="21"/>
              </w:rPr>
              <w:t>还</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b/>
                <w:bCs/>
                <w:sz w:val="21"/>
                <w:szCs w:val="21"/>
              </w:rPr>
              <w:t>期</w:t>
            </w:r>
            <w:r>
              <w:rPr>
                <w:rFonts w:ascii="宋体" w:hAnsi="宋体" w:cs="宋体" w:eastAsia="宋体" w:hint="default"/>
                <w:b/>
                <w:bCs/>
                <w:w w:val="100"/>
                <w:sz w:val="21"/>
                <w:szCs w:val="21"/>
              </w:rPr>
              <w:t> </w:t>
            </w:r>
            <w:r>
              <w:rPr>
                <w:rFonts w:ascii="宋体" w:hAnsi="宋体" w:cs="宋体" w:eastAsia="宋体" w:hint="default"/>
                <w:b/>
                <w:bCs/>
                <w:sz w:val="21"/>
                <w:szCs w:val="21"/>
              </w:rPr>
              <w:t>末</w:t>
            </w:r>
            <w:r>
              <w:rPr>
                <w:rFonts w:ascii="宋体" w:hAnsi="宋体" w:cs="宋体" w:eastAsia="宋体" w:hint="default"/>
                <w:b/>
                <w:bCs/>
                <w:w w:val="100"/>
                <w:sz w:val="21"/>
                <w:szCs w:val="21"/>
              </w:rPr>
              <w:t> </w:t>
            </w:r>
            <w:r>
              <w:rPr>
                <w:rFonts w:ascii="宋体" w:hAnsi="宋体" w:cs="宋体" w:eastAsia="宋体" w:hint="default"/>
                <w:b/>
                <w:bCs/>
                <w:sz w:val="21"/>
                <w:szCs w:val="21"/>
              </w:rPr>
              <w:t>余</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b/>
                <w:bCs/>
                <w:sz w:val="21"/>
                <w:szCs w:val="21"/>
              </w:rPr>
              <w:t>利</w:t>
            </w:r>
            <w:r>
              <w:rPr>
                <w:rFonts w:ascii="宋体" w:hAnsi="宋体" w:cs="宋体" w:eastAsia="宋体" w:hint="default"/>
                <w:b/>
                <w:bCs/>
                <w:w w:val="100"/>
                <w:sz w:val="21"/>
                <w:szCs w:val="21"/>
              </w:rPr>
              <w:t> </w:t>
            </w:r>
            <w:r>
              <w:rPr>
                <w:rFonts w:ascii="宋体" w:hAnsi="宋体" w:cs="宋体" w:eastAsia="宋体" w:hint="default"/>
                <w:b/>
                <w:bCs/>
                <w:sz w:val="21"/>
                <w:szCs w:val="21"/>
              </w:rPr>
              <w:t>息</w:t>
            </w:r>
            <w:r>
              <w:rPr>
                <w:rFonts w:ascii="宋体" w:hAnsi="宋体" w:cs="宋体" w:eastAsia="宋体" w:hint="default"/>
                <w:b/>
                <w:bCs/>
                <w:w w:val="100"/>
                <w:sz w:val="21"/>
                <w:szCs w:val="21"/>
              </w:rPr>
              <w:t> </w:t>
            </w:r>
            <w:r>
              <w:rPr>
                <w:rFonts w:ascii="宋体" w:hAnsi="宋体" w:cs="宋体" w:eastAsia="宋体" w:hint="default"/>
                <w:b/>
                <w:bCs/>
                <w:sz w:val="21"/>
                <w:szCs w:val="21"/>
              </w:rPr>
              <w:t>收</w:t>
            </w:r>
            <w:r>
              <w:rPr>
                <w:rFonts w:ascii="宋体" w:hAnsi="宋体" w:cs="宋体" w:eastAsia="宋体" w:hint="default"/>
                <w:b/>
                <w:bCs/>
                <w:w w:val="100"/>
                <w:sz w:val="21"/>
                <w:szCs w:val="21"/>
              </w:rPr>
              <w:t> </w:t>
            </w:r>
            <w:r>
              <w:rPr>
                <w:rFonts w:ascii="宋体" w:hAnsi="宋体" w:cs="宋体" w:eastAsia="宋体" w:hint="default"/>
                <w:b/>
                <w:bCs/>
                <w:sz w:val="21"/>
                <w:szCs w:val="21"/>
              </w:rPr>
              <w:t>入</w:t>
            </w:r>
            <w:r>
              <w:rPr>
                <w:rFonts w:ascii="宋体" w:hAnsi="宋体" w:cs="宋体" w:eastAsia="宋体" w:hint="default"/>
                <w:sz w:val="21"/>
                <w:szCs w:val="21"/>
              </w:rPr>
            </w:r>
          </w:p>
        </w:tc>
        <w:tc>
          <w:tcPr>
            <w:tcW w:w="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4" w:right="71"/>
              <w:jc w:val="both"/>
              <w:rPr>
                <w:rFonts w:ascii="宋体" w:hAnsi="宋体" w:cs="宋体" w:eastAsia="宋体" w:hint="default"/>
                <w:sz w:val="21"/>
                <w:szCs w:val="21"/>
              </w:rPr>
            </w:pPr>
            <w:r>
              <w:rPr>
                <w:rFonts w:ascii="宋体" w:hAnsi="宋体" w:cs="宋体" w:eastAsia="宋体" w:hint="default"/>
                <w:b/>
                <w:bCs/>
                <w:sz w:val="21"/>
                <w:szCs w:val="21"/>
              </w:rPr>
              <w:t>利</w:t>
            </w:r>
            <w:r>
              <w:rPr>
                <w:rFonts w:ascii="宋体" w:hAnsi="宋体" w:cs="宋体" w:eastAsia="宋体" w:hint="default"/>
                <w:b/>
                <w:bCs/>
                <w:w w:val="100"/>
                <w:sz w:val="21"/>
                <w:szCs w:val="21"/>
              </w:rPr>
              <w:t> </w:t>
            </w:r>
            <w:r>
              <w:rPr>
                <w:rFonts w:ascii="宋体" w:hAnsi="宋体" w:cs="宋体" w:eastAsia="宋体" w:hint="default"/>
                <w:b/>
                <w:bCs/>
                <w:sz w:val="21"/>
                <w:szCs w:val="21"/>
              </w:rPr>
              <w:t>息</w:t>
            </w:r>
            <w:r>
              <w:rPr>
                <w:rFonts w:ascii="宋体" w:hAnsi="宋体" w:cs="宋体" w:eastAsia="宋体" w:hint="default"/>
                <w:b/>
                <w:bCs/>
                <w:w w:val="100"/>
                <w:sz w:val="21"/>
                <w:szCs w:val="21"/>
              </w:rPr>
              <w:t> </w:t>
            </w:r>
            <w:r>
              <w:rPr>
                <w:rFonts w:ascii="宋体" w:hAnsi="宋体" w:cs="宋体" w:eastAsia="宋体" w:hint="default"/>
                <w:b/>
                <w:bCs/>
                <w:sz w:val="21"/>
                <w:szCs w:val="21"/>
              </w:rPr>
              <w:t>支</w:t>
            </w:r>
            <w:r>
              <w:rPr>
                <w:rFonts w:ascii="宋体" w:hAnsi="宋体" w:cs="宋体" w:eastAsia="宋体" w:hint="default"/>
                <w:b/>
                <w:bCs/>
                <w:w w:val="100"/>
                <w:sz w:val="21"/>
                <w:szCs w:val="21"/>
              </w:rPr>
              <w:t> </w:t>
            </w:r>
            <w:r>
              <w:rPr>
                <w:rFonts w:ascii="宋体" w:hAnsi="宋体" w:cs="宋体" w:eastAsia="宋体" w:hint="default"/>
                <w:b/>
                <w:bCs/>
                <w:sz w:val="21"/>
                <w:szCs w:val="21"/>
              </w:rPr>
              <w:t>出</w:t>
            </w:r>
            <w:r>
              <w:rPr>
                <w:rFonts w:ascii="宋体" w:hAnsi="宋体" w:cs="宋体" w:eastAsia="宋体" w:hint="default"/>
                <w:sz w:val="21"/>
                <w:szCs w:val="21"/>
              </w:rPr>
            </w:r>
          </w:p>
        </w:tc>
      </w:tr>
      <w:tr>
        <w:trPr>
          <w:trHeight w:val="324" w:hRule="exact"/>
        </w:trPr>
        <w:tc>
          <w:tcPr>
            <w:tcW w:w="9573"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非经营性</w:t>
            </w:r>
            <w:r>
              <w:rPr>
                <w:rFonts w:ascii="宋体" w:hAnsi="宋体" w:cs="宋体" w:eastAsia="宋体" w:hint="default"/>
                <w:sz w:val="21"/>
                <w:szCs w:val="21"/>
              </w:rPr>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1" w:right="0"/>
              <w:jc w:val="left"/>
              <w:rPr>
                <w:rFonts w:ascii="宋体" w:hAnsi="宋体" w:cs="宋体" w:eastAsia="宋体" w:hint="default"/>
                <w:sz w:val="21"/>
                <w:szCs w:val="21"/>
              </w:rPr>
            </w:pPr>
            <w:r>
              <w:rPr>
                <w:rFonts w:ascii="宋体" w:hAnsi="宋体" w:cs="宋体" w:eastAsia="宋体" w:hint="default"/>
                <w:sz w:val="21"/>
                <w:szCs w:val="21"/>
              </w:rPr>
              <w:t>超图信息</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70"/>
              <w:jc w:val="left"/>
              <w:rPr>
                <w:rFonts w:ascii="宋体" w:hAnsi="宋体" w:cs="宋体" w:eastAsia="宋体" w:hint="default"/>
                <w:sz w:val="21"/>
                <w:szCs w:val="21"/>
              </w:rPr>
            </w:pPr>
            <w:r>
              <w:rPr>
                <w:rFonts w:ascii="宋体" w:hAnsi="宋体" w:cs="宋体" w:eastAsia="宋体" w:hint="default"/>
                <w:sz w:val="21"/>
                <w:szCs w:val="21"/>
              </w:rPr>
              <w:t>本公司全资子公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521.31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91.72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2"/>
                <w:sz w:val="21"/>
              </w:rPr>
              <w:t>611.17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521.31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91.72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611.17</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9573"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b/>
                <w:bCs/>
                <w:sz w:val="21"/>
                <w:szCs w:val="21"/>
              </w:rPr>
              <w:t>经营性</w:t>
            </w:r>
            <w:r>
              <w:rPr>
                <w:rFonts w:ascii="宋体" w:hAnsi="宋体" w:cs="宋体" w:eastAsia="宋体" w:hint="default"/>
                <w:sz w:val="21"/>
                <w:szCs w:val="21"/>
              </w:rPr>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地理所</w:t>
            </w:r>
          </w:p>
        </w:tc>
        <w:tc>
          <w:tcPr>
            <w:tcW w:w="16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47"/>
              <w:jc w:val="left"/>
              <w:rPr>
                <w:rFonts w:ascii="宋体" w:hAnsi="宋体" w:cs="宋体" w:eastAsia="宋体" w:hint="default"/>
                <w:sz w:val="21"/>
                <w:szCs w:val="21"/>
              </w:rPr>
            </w:pPr>
            <w:r>
              <w:rPr>
                <w:rFonts w:ascii="宋体" w:hAnsi="宋体" w:cs="宋体" w:eastAsia="宋体" w:hint="default"/>
                <w:sz w:val="21"/>
                <w:szCs w:val="21"/>
              </w:rPr>
              <w:t>公司持股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以上</w:t>
            </w:r>
            <w:r>
              <w:rPr>
                <w:rFonts w:ascii="宋体" w:hAnsi="宋体" w:cs="宋体" w:eastAsia="宋体" w:hint="default"/>
                <w:w w:val="100"/>
                <w:sz w:val="21"/>
                <w:szCs w:val="21"/>
              </w:rPr>
              <w:t> </w:t>
            </w:r>
            <w:r>
              <w:rPr>
                <w:rFonts w:ascii="宋体" w:hAnsi="宋体" w:cs="宋体" w:eastAsia="宋体" w:hint="default"/>
                <w:sz w:val="21"/>
                <w:szCs w:val="21"/>
              </w:rPr>
              <w:t>大股东</w:t>
            </w:r>
          </w:p>
        </w:tc>
        <w:tc>
          <w:tcPr>
            <w:tcW w:w="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179.13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25.18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137.00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z w:val="21"/>
              </w:rPr>
              <w:t>67.31</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7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179.13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25.18</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Times New Roman" w:hAnsi="Times New Roman" w:cs="Times New Roman" w:eastAsia="Times New Roman" w:hint="default"/>
                <w:sz w:val="21"/>
                <w:szCs w:val="21"/>
              </w:rPr>
            </w:pPr>
            <w:r>
              <w:rPr>
                <w:rFonts w:ascii="Times New Roman"/>
                <w:sz w:val="21"/>
              </w:rPr>
              <w:t>137.00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67.31</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2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700.44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2"/>
                <w:sz w:val="21"/>
              </w:rPr>
              <w:t>116.90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Times New Roman" w:hAnsi="Times New Roman" w:cs="Times New Roman" w:eastAsia="Times New Roman" w:hint="default"/>
                <w:sz w:val="21"/>
                <w:szCs w:val="21"/>
              </w:rPr>
            </w:pPr>
            <w:r>
              <w:rPr>
                <w:rFonts w:ascii="Times New Roman"/>
                <w:sz w:val="21"/>
              </w:rPr>
              <w:t>138.86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678.48</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358"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2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1" w:right="50"/>
              <w:jc w:val="left"/>
              <w:rPr>
                <w:rFonts w:ascii="宋体" w:hAnsi="宋体" w:cs="宋体" w:eastAsia="宋体" w:hint="default"/>
                <w:sz w:val="21"/>
                <w:szCs w:val="21"/>
              </w:rPr>
            </w:pPr>
            <w:r>
              <w:rPr>
                <w:rFonts w:ascii="宋体" w:hAnsi="宋体" w:cs="宋体" w:eastAsia="宋体" w:hint="default"/>
                <w:spacing w:val="-2"/>
                <w:sz w:val="21"/>
                <w:szCs w:val="21"/>
              </w:rPr>
              <w:t>报告期内公司向控股股东及其子公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司提供资金的发生额（万元）</w:t>
            </w:r>
          </w:p>
        </w:tc>
        <w:tc>
          <w:tcPr>
            <w:tcW w:w="6335"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32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pacing w:val="-8"/>
                <w:sz w:val="21"/>
                <w:szCs w:val="21"/>
              </w:rPr>
              <w:t>其中：非经营性发生额（</w:t>
            </w:r>
          </w:p>
        </w:tc>
        <w:tc>
          <w:tcPr>
            <w:tcW w:w="733" w:type="dxa"/>
            <w:tcBorders>
              <w:top w:val="single" w:sz="4" w:space="0" w:color="000000"/>
              <w:left w:val="single" w:sz="13" w:space="0" w:color="D2D2D2"/>
              <w:bottom w:val="single" w:sz="4" w:space="0" w:color="000000"/>
              <w:right w:val="nil" w:sz="6" w:space="0" w:color="auto"/>
            </w:tcBorders>
          </w:tcPr>
          <w:p>
            <w:pPr/>
          </w:p>
        </w:tc>
        <w:tc>
          <w:tcPr>
            <w:tcW w:w="708" w:type="dxa"/>
            <w:tcBorders>
              <w:top w:val="single" w:sz="4" w:space="0" w:color="000000"/>
              <w:left w:val="nil" w:sz="6" w:space="0" w:color="auto"/>
              <w:bottom w:val="single" w:sz="4" w:space="0" w:color="000000"/>
              <w:right w:val="nil" w:sz="6" w:space="0" w:color="auto"/>
            </w:tcBorders>
          </w:tcPr>
          <w:p>
            <w:pPr/>
          </w:p>
        </w:tc>
        <w:tc>
          <w:tcPr>
            <w:tcW w:w="711" w:type="dxa"/>
            <w:tcBorders>
              <w:top w:val="single" w:sz="4" w:space="0" w:color="000000"/>
              <w:left w:val="nil" w:sz="6" w:space="0" w:color="auto"/>
              <w:bottom w:val="single" w:sz="4" w:space="0" w:color="000000"/>
              <w:right w:val="nil" w:sz="6" w:space="0" w:color="auto"/>
            </w:tcBorders>
          </w:tcPr>
          <w:p>
            <w:pPr/>
          </w:p>
        </w:tc>
        <w:tc>
          <w:tcPr>
            <w:tcW w:w="708"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Style w:val="TableParagraph"/>
              <w:spacing w:line="240" w:lineRule="auto" w:before="34"/>
              <w:ind w:left="256" w:right="0"/>
              <w:jc w:val="left"/>
              <w:rPr>
                <w:rFonts w:ascii="Times New Roman" w:hAnsi="Times New Roman" w:cs="Times New Roman" w:eastAsia="Times New Roman" w:hint="default"/>
                <w:sz w:val="21"/>
                <w:szCs w:val="21"/>
              </w:rPr>
            </w:pPr>
            <w:r>
              <w:rPr>
                <w:rFonts w:ascii="Times New Roman"/>
                <w:w w:val="100"/>
                <w:sz w:val="21"/>
              </w:rPr>
              <w:t>0</w:t>
            </w:r>
          </w:p>
        </w:tc>
        <w:tc>
          <w:tcPr>
            <w:tcW w:w="425" w:type="dxa"/>
            <w:tcBorders>
              <w:top w:val="single" w:sz="4" w:space="0" w:color="000000"/>
              <w:left w:val="nil" w:sz="6" w:space="0" w:color="auto"/>
              <w:bottom w:val="single" w:sz="4" w:space="0" w:color="000000"/>
              <w:right w:val="nil" w:sz="6" w:space="0" w:color="auto"/>
            </w:tcBorders>
          </w:tcPr>
          <w:p>
            <w:pPr/>
          </w:p>
        </w:tc>
        <w:tc>
          <w:tcPr>
            <w:tcW w:w="566" w:type="dxa"/>
            <w:tcBorders>
              <w:top w:val="single" w:sz="4" w:space="0" w:color="000000"/>
              <w:left w:val="nil" w:sz="6" w:space="0" w:color="auto"/>
              <w:bottom w:val="single" w:sz="4" w:space="0" w:color="000000"/>
              <w:right w:val="nil" w:sz="6" w:space="0" w:color="auto"/>
            </w:tcBorders>
          </w:tcPr>
          <w:p>
            <w:pPr/>
          </w:p>
        </w:tc>
        <w:tc>
          <w:tcPr>
            <w:tcW w:w="428"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425" w:type="dxa"/>
            <w:tcBorders>
              <w:top w:val="single" w:sz="4" w:space="0" w:color="000000"/>
              <w:left w:val="nil" w:sz="6" w:space="0" w:color="auto"/>
              <w:bottom w:val="single" w:sz="4" w:space="0" w:color="000000"/>
              <w:right w:val="nil" w:sz="6" w:space="0" w:color="auto"/>
            </w:tcBorders>
          </w:tcPr>
          <w:p>
            <w:pPr/>
          </w:p>
        </w:tc>
        <w:tc>
          <w:tcPr>
            <w:tcW w:w="358" w:type="dxa"/>
            <w:tcBorders>
              <w:top w:val="single" w:sz="4" w:space="0" w:color="000000"/>
              <w:left w:val="nil" w:sz="6" w:space="0" w:color="auto"/>
              <w:bottom w:val="single" w:sz="4" w:space="0" w:color="000000"/>
              <w:right w:val="single" w:sz="4" w:space="0" w:color="000000"/>
            </w:tcBorders>
          </w:tcPr>
          <w:p>
            <w:pPr/>
          </w:p>
        </w:tc>
      </w:tr>
      <w:tr>
        <w:trPr>
          <w:trHeight w:val="634" w:hRule="exact"/>
        </w:trPr>
        <w:tc>
          <w:tcPr>
            <w:tcW w:w="32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1" w:right="50"/>
              <w:jc w:val="left"/>
              <w:rPr>
                <w:rFonts w:ascii="宋体" w:hAnsi="宋体" w:cs="宋体" w:eastAsia="宋体" w:hint="default"/>
                <w:sz w:val="21"/>
                <w:szCs w:val="21"/>
              </w:rPr>
            </w:pPr>
            <w:r>
              <w:rPr>
                <w:rFonts w:ascii="宋体" w:hAnsi="宋体" w:cs="宋体" w:eastAsia="宋体" w:hint="default"/>
                <w:spacing w:val="-2"/>
                <w:sz w:val="21"/>
                <w:szCs w:val="21"/>
              </w:rPr>
              <w:t>公司向控股股东及其子公司提供资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金的余额（万元）</w:t>
            </w:r>
          </w:p>
        </w:tc>
        <w:tc>
          <w:tcPr>
            <w:tcW w:w="6335"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32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sz w:val="21"/>
                <w:szCs w:val="21"/>
              </w:rPr>
              <w:t>其中：非经营性余额（万元）</w:t>
            </w:r>
          </w:p>
        </w:tc>
        <w:tc>
          <w:tcPr>
            <w:tcW w:w="6335"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6"/>
              <w:jc w:val="center"/>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32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关联债权债务形成原因</w:t>
            </w:r>
          </w:p>
        </w:tc>
        <w:tc>
          <w:tcPr>
            <w:tcW w:w="6335"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62" w:lineRule="exact"/>
              <w:ind w:left="17" w:right="0"/>
              <w:jc w:val="left"/>
              <w:rPr>
                <w:rFonts w:ascii="宋体" w:hAnsi="宋体" w:cs="宋体" w:eastAsia="宋体" w:hint="default"/>
                <w:sz w:val="21"/>
                <w:szCs w:val="21"/>
              </w:rPr>
            </w:pPr>
            <w:r>
              <w:rPr>
                <w:rFonts w:ascii="宋体" w:hAnsi="宋体" w:cs="宋体" w:eastAsia="宋体" w:hint="default"/>
                <w:sz w:val="21"/>
                <w:szCs w:val="21"/>
              </w:rPr>
              <w:t>该笔款项为我公司的应收帐款，原因为本公司为大股东地理所。</w:t>
            </w:r>
          </w:p>
        </w:tc>
      </w:tr>
      <w:tr>
        <w:trPr>
          <w:trHeight w:val="324" w:hRule="exact"/>
        </w:trPr>
        <w:tc>
          <w:tcPr>
            <w:tcW w:w="32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关联债权债务清偿情况</w:t>
            </w:r>
          </w:p>
        </w:tc>
        <w:tc>
          <w:tcPr>
            <w:tcW w:w="6335"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81" w:lineRule="exact"/>
              <w:ind w:left="17" w:right="0"/>
              <w:jc w:val="left"/>
              <w:rPr>
                <w:rFonts w:ascii="宋体" w:hAnsi="宋体" w:cs="宋体" w:eastAsia="宋体" w:hint="default"/>
                <w:sz w:val="21"/>
                <w:szCs w:val="21"/>
              </w:rPr>
            </w:pPr>
            <w:r>
              <w:rPr>
                <w:rFonts w:ascii="宋体" w:hAnsi="宋体" w:cs="宋体" w:eastAsia="宋体" w:hint="default"/>
                <w:sz w:val="21"/>
                <w:szCs w:val="21"/>
              </w:rPr>
              <w:t>已累计清偿</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137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r>
        <w:trPr>
          <w:trHeight w:val="322" w:hRule="exact"/>
        </w:trPr>
        <w:tc>
          <w:tcPr>
            <w:tcW w:w="32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与关联债权债务有关的承诺</w:t>
            </w:r>
          </w:p>
        </w:tc>
        <w:tc>
          <w:tcPr>
            <w:tcW w:w="6335"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62" w:lineRule="exact"/>
              <w:ind w:left="17"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634" w:hRule="exact"/>
        </w:trPr>
        <w:tc>
          <w:tcPr>
            <w:tcW w:w="32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1" w:right="50"/>
              <w:jc w:val="left"/>
              <w:rPr>
                <w:rFonts w:ascii="宋体" w:hAnsi="宋体" w:cs="宋体" w:eastAsia="宋体" w:hint="default"/>
                <w:sz w:val="21"/>
                <w:szCs w:val="21"/>
              </w:rPr>
            </w:pPr>
            <w:r>
              <w:rPr>
                <w:rFonts w:ascii="宋体" w:hAnsi="宋体" w:cs="宋体" w:eastAsia="宋体" w:hint="default"/>
                <w:spacing w:val="-2"/>
                <w:sz w:val="21"/>
                <w:szCs w:val="21"/>
              </w:rPr>
              <w:t>关联债权债务对公司经营成果及财</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务状况的影响</w:t>
            </w:r>
          </w:p>
        </w:tc>
        <w:tc>
          <w:tcPr>
            <w:tcW w:w="6335" w:type="dxa"/>
            <w:gridSpan w:val="1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3"/>
              <w:ind w:left="17" w:right="0"/>
              <w:jc w:val="left"/>
              <w:rPr>
                <w:rFonts w:ascii="宋体" w:hAnsi="宋体" w:cs="宋体" w:eastAsia="宋体" w:hint="default"/>
                <w:sz w:val="21"/>
                <w:szCs w:val="21"/>
              </w:rPr>
            </w:pPr>
            <w:r>
              <w:rPr>
                <w:rFonts w:ascii="宋体" w:hAnsi="宋体" w:cs="宋体" w:eastAsia="宋体" w:hint="default"/>
                <w:sz w:val="21"/>
                <w:szCs w:val="21"/>
              </w:rPr>
              <w:t>较小</w:t>
            </w:r>
          </w:p>
        </w:tc>
      </w:tr>
    </w:tbl>
    <w:p>
      <w:pPr>
        <w:spacing w:line="240" w:lineRule="auto" w:before="1"/>
        <w:rPr>
          <w:rFonts w:ascii="宋体" w:hAnsi="宋体" w:cs="宋体" w:eastAsia="宋体" w:hint="default"/>
          <w:sz w:val="18"/>
          <w:szCs w:val="18"/>
        </w:rPr>
      </w:pPr>
    </w:p>
    <w:p>
      <w:pPr>
        <w:pStyle w:val="Heading4"/>
        <w:spacing w:line="441" w:lineRule="auto" w:before="26"/>
        <w:ind w:right="7380"/>
        <w:jc w:val="left"/>
        <w:rPr>
          <w:rFonts w:ascii="宋体" w:hAnsi="宋体" w:cs="宋体" w:eastAsia="宋体" w:hint="default"/>
          <w:b w:val="0"/>
          <w:bCs w:val="0"/>
        </w:rPr>
      </w:pPr>
      <w:bookmarkStart w:name="_bookmark52" w:id="53"/>
      <w:bookmarkEnd w:id="53"/>
      <w:r>
        <w:rPr>
          <w:b w:val="0"/>
          <w:bCs w:val="0"/>
        </w:rPr>
      </w:r>
      <w:r>
        <w:rPr>
          <w:rFonts w:ascii="Times New Roman" w:hAnsi="Times New Roman" w:cs="Times New Roman" w:eastAsia="Times New Roman" w:hint="default"/>
        </w:rPr>
        <w:t>5</w:t>
      </w:r>
      <w:r>
        <w:rPr/>
        <w:t>、其他重大关联交易</w:t>
      </w:r>
      <w:r>
        <w:rPr>
          <w:w w:val="99"/>
        </w:rPr>
        <w:t> </w:t>
      </w:r>
      <w:r>
        <w:rPr>
          <w:rFonts w:ascii="宋体" w:hAnsi="宋体" w:cs="宋体" w:eastAsia="宋体" w:hint="default"/>
          <w:b w:val="0"/>
          <w:bCs w:val="0"/>
        </w:rPr>
        <w:t>无</w:t>
      </w:r>
    </w:p>
    <w:p>
      <w:pPr>
        <w:spacing w:after="0" w:line="441" w:lineRule="auto"/>
        <w:jc w:val="left"/>
        <w:rPr>
          <w:rFonts w:ascii="宋体" w:hAnsi="宋体" w:cs="宋体" w:eastAsia="宋体" w:hint="default"/>
        </w:rPr>
        <w:sectPr>
          <w:pgSz w:w="11910" w:h="16840"/>
          <w:pgMar w:header="884" w:footer="1007" w:top="1140" w:bottom="1200" w:left="1140" w:right="940"/>
        </w:sectPr>
      </w:pPr>
    </w:p>
    <w:p>
      <w:pPr>
        <w:spacing w:line="240" w:lineRule="auto" w:before="8"/>
        <w:rPr>
          <w:rFonts w:ascii="宋体" w:hAnsi="宋体" w:cs="宋体" w:eastAsia="宋体" w:hint="default"/>
          <w:sz w:val="16"/>
          <w:szCs w:val="16"/>
        </w:rPr>
      </w:pPr>
    </w:p>
    <w:p>
      <w:pPr>
        <w:pStyle w:val="Heading4"/>
        <w:spacing w:line="240" w:lineRule="auto" w:before="26"/>
        <w:ind w:right="89"/>
        <w:jc w:val="left"/>
        <w:rPr>
          <w:b w:val="0"/>
          <w:bCs w:val="0"/>
        </w:rPr>
      </w:pPr>
      <w:bookmarkStart w:name="_bookmark53" w:id="54"/>
      <w:bookmarkEnd w:id="54"/>
      <w:r>
        <w:rPr>
          <w:b w:val="0"/>
          <w:bCs w:val="0"/>
        </w:rPr>
      </w:r>
      <w:r>
        <w:rPr/>
        <w:t>七、重大合同及其履行情况</w:t>
      </w:r>
      <w:r>
        <w:rPr>
          <w:b w:val="0"/>
          <w:bCs w:val="0"/>
        </w:rPr>
      </w:r>
    </w:p>
    <w:p>
      <w:pPr>
        <w:spacing w:line="240" w:lineRule="auto" w:before="11"/>
        <w:rPr>
          <w:rFonts w:ascii="宋体" w:hAnsi="宋体" w:cs="宋体" w:eastAsia="宋体" w:hint="default"/>
          <w:b/>
          <w:bCs/>
          <w:sz w:val="28"/>
          <w:szCs w:val="28"/>
        </w:rPr>
      </w:pPr>
    </w:p>
    <w:p>
      <w:pPr>
        <w:pStyle w:val="Heading4"/>
        <w:spacing w:line="240" w:lineRule="auto"/>
        <w:ind w:right="89"/>
        <w:jc w:val="left"/>
        <w:rPr>
          <w:b w:val="0"/>
          <w:bCs w:val="0"/>
        </w:rPr>
      </w:pPr>
      <w:bookmarkStart w:name="_bookmark54" w:id="55"/>
      <w:bookmarkEnd w:id="5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4"/>
        <w:rPr>
          <w:rFonts w:ascii="宋体" w:hAnsi="宋体" w:cs="宋体" w:eastAsia="宋体" w:hint="default"/>
          <w:b/>
          <w:bCs/>
          <w:sz w:val="33"/>
          <w:szCs w:val="33"/>
        </w:rPr>
      </w:pPr>
    </w:p>
    <w:p>
      <w:pPr>
        <w:spacing w:before="0"/>
        <w:ind w:left="137" w:right="8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）托管情况</w:t>
      </w:r>
      <w:r>
        <w:rPr>
          <w:rFonts w:ascii="宋体" w:hAnsi="宋体" w:cs="宋体" w:eastAsia="宋体" w:hint="default"/>
          <w:sz w:val="24"/>
          <w:szCs w:val="24"/>
        </w:rPr>
      </w:r>
    </w:p>
    <w:p>
      <w:pPr>
        <w:spacing w:line="240" w:lineRule="auto" w:before="4"/>
        <w:rPr>
          <w:rFonts w:ascii="宋体" w:hAnsi="宋体" w:cs="宋体" w:eastAsia="宋体" w:hint="default"/>
          <w:b/>
          <w:bCs/>
          <w:sz w:val="33"/>
          <w:szCs w:val="33"/>
        </w:rPr>
      </w:pPr>
    </w:p>
    <w:p>
      <w:pPr>
        <w:pStyle w:val="BodyText"/>
        <w:spacing w:line="357" w:lineRule="auto"/>
        <w:ind w:left="137" w:right="203" w:firstLine="480"/>
        <w:jc w:val="left"/>
      </w:pPr>
      <w:r>
        <w:rPr>
          <w:spacing w:val="-3"/>
        </w:rPr>
        <w:t>报告期内，公司不存在托管情况，亦不存在以前期间发生但延续到报告期的托管或其他</w:t>
      </w:r>
      <w:r>
        <w:rPr/>
        <w:t> 公司托管事项。</w:t>
      </w:r>
    </w:p>
    <w:p>
      <w:pPr>
        <w:spacing w:line="240" w:lineRule="auto" w:before="10"/>
        <w:rPr>
          <w:rFonts w:ascii="宋体" w:hAnsi="宋体" w:cs="宋体" w:eastAsia="宋体" w:hint="default"/>
          <w:sz w:val="25"/>
          <w:szCs w:val="25"/>
        </w:rPr>
      </w:pPr>
    </w:p>
    <w:p>
      <w:pPr>
        <w:pStyle w:val="Heading4"/>
        <w:spacing w:line="240" w:lineRule="auto"/>
        <w:ind w:right="89"/>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33"/>
          <w:szCs w:val="33"/>
        </w:rPr>
      </w:pPr>
    </w:p>
    <w:p>
      <w:pPr>
        <w:pStyle w:val="BodyText"/>
        <w:spacing w:line="240" w:lineRule="auto"/>
        <w:ind w:left="617" w:right="0"/>
        <w:jc w:val="left"/>
      </w:pPr>
      <w:r>
        <w:rPr/>
        <w:t>报告期内，公司不存在承包情况，亦不存在以前期间发生但延续到报告期的承包事项。</w:t>
      </w:r>
    </w:p>
    <w:p>
      <w:pPr>
        <w:spacing w:line="240" w:lineRule="auto" w:before="9"/>
        <w:rPr>
          <w:rFonts w:ascii="宋体" w:hAnsi="宋体" w:cs="宋体" w:eastAsia="宋体" w:hint="default"/>
          <w:sz w:val="34"/>
          <w:szCs w:val="34"/>
        </w:rPr>
      </w:pPr>
    </w:p>
    <w:p>
      <w:pPr>
        <w:pStyle w:val="Heading4"/>
        <w:spacing w:line="240" w:lineRule="auto"/>
        <w:ind w:right="89"/>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5"/>
        <w:rPr>
          <w:rFonts w:ascii="宋体" w:hAnsi="宋体" w:cs="宋体" w:eastAsia="宋体" w:hint="default"/>
          <w:b/>
          <w:bCs/>
          <w:sz w:val="29"/>
          <w:szCs w:val="29"/>
        </w:rPr>
      </w:pPr>
    </w:p>
    <w:p>
      <w:pPr>
        <w:spacing w:before="0"/>
        <w:ind w:left="137" w:right="8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  </w:t>
      </w:r>
      <w:r>
        <w:rPr>
          <w:rFonts w:ascii="宋体" w:hAnsi="宋体" w:cs="宋体" w:eastAsia="宋体" w:hint="default"/>
          <w:sz w:val="21"/>
          <w:szCs w:val="21"/>
        </w:rPr>
        <w:t>不适用</w:t>
      </w:r>
    </w:p>
    <w:p>
      <w:pPr>
        <w:spacing w:line="240" w:lineRule="auto" w:before="8"/>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871"/>
        <w:gridCol w:w="869"/>
        <w:gridCol w:w="872"/>
        <w:gridCol w:w="869"/>
        <w:gridCol w:w="871"/>
        <w:gridCol w:w="867"/>
        <w:gridCol w:w="869"/>
        <w:gridCol w:w="869"/>
        <w:gridCol w:w="869"/>
        <w:gridCol w:w="871"/>
        <w:gridCol w:w="869"/>
      </w:tblGrid>
      <w:tr>
        <w:trPr>
          <w:trHeight w:val="1258" w:hRule="exact"/>
        </w:trPr>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15" w:right="115" w:hanging="106"/>
              <w:jc w:val="left"/>
              <w:rPr>
                <w:rFonts w:ascii="宋体" w:hAnsi="宋体" w:cs="宋体" w:eastAsia="宋体" w:hint="default"/>
                <w:sz w:val="21"/>
                <w:szCs w:val="21"/>
              </w:rPr>
            </w:pPr>
            <w:r>
              <w:rPr>
                <w:rFonts w:ascii="宋体" w:hAnsi="宋体" w:cs="宋体" w:eastAsia="宋体" w:hint="default"/>
                <w:b/>
                <w:bCs/>
                <w:sz w:val="21"/>
                <w:szCs w:val="21"/>
              </w:rPr>
              <w:t>出包方</w:t>
            </w:r>
            <w:r>
              <w:rPr>
                <w:rFonts w:ascii="宋体" w:hAnsi="宋体" w:cs="宋体" w:eastAsia="宋体" w:hint="default"/>
                <w:b/>
                <w:bCs/>
                <w:w w:val="100"/>
                <w:sz w:val="21"/>
                <w:szCs w:val="21"/>
              </w:rPr>
              <w:t> </w:t>
            </w:r>
            <w:r>
              <w:rPr>
                <w:rFonts w:ascii="宋体" w:hAnsi="宋体" w:cs="宋体" w:eastAsia="宋体" w:hint="default"/>
                <w:b/>
                <w:bCs/>
                <w:sz w:val="21"/>
                <w:szCs w:val="21"/>
              </w:rPr>
              <w:t>名称</w:t>
            </w:r>
            <w:r>
              <w:rPr>
                <w:rFonts w:ascii="宋体" w:hAnsi="宋体" w:cs="宋体" w:eastAsia="宋体" w:hint="default"/>
                <w:sz w:val="21"/>
                <w:szCs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15" w:right="113" w:hanging="106"/>
              <w:jc w:val="left"/>
              <w:rPr>
                <w:rFonts w:ascii="宋体" w:hAnsi="宋体" w:cs="宋体" w:eastAsia="宋体" w:hint="default"/>
                <w:sz w:val="21"/>
                <w:szCs w:val="21"/>
              </w:rPr>
            </w:pPr>
            <w:r>
              <w:rPr>
                <w:rFonts w:ascii="宋体" w:hAnsi="宋体" w:cs="宋体" w:eastAsia="宋体" w:hint="default"/>
                <w:b/>
                <w:bCs/>
                <w:sz w:val="21"/>
                <w:szCs w:val="21"/>
              </w:rPr>
              <w:t>租赁方</w:t>
            </w:r>
            <w:r>
              <w:rPr>
                <w:rFonts w:ascii="宋体" w:hAnsi="宋体" w:cs="宋体" w:eastAsia="宋体" w:hint="default"/>
                <w:b/>
                <w:bCs/>
                <w:w w:val="100"/>
                <w:sz w:val="21"/>
                <w:szCs w:val="21"/>
              </w:rPr>
              <w:t> </w:t>
            </w:r>
            <w:r>
              <w:rPr>
                <w:rFonts w:ascii="宋体" w:hAnsi="宋体" w:cs="宋体" w:eastAsia="宋体" w:hint="default"/>
                <w:b/>
                <w:bCs/>
                <w:sz w:val="21"/>
                <w:szCs w:val="21"/>
              </w:rPr>
              <w:t>名称</w:t>
            </w:r>
            <w:r>
              <w:rPr>
                <w:rFonts w:ascii="宋体" w:hAnsi="宋体" w:cs="宋体" w:eastAsia="宋体" w:hint="default"/>
                <w:sz w:val="21"/>
                <w:szCs w:val="21"/>
              </w:rPr>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10" w:right="116"/>
              <w:jc w:val="left"/>
              <w:rPr>
                <w:rFonts w:ascii="宋体" w:hAnsi="宋体" w:cs="宋体" w:eastAsia="宋体" w:hint="default"/>
                <w:sz w:val="21"/>
                <w:szCs w:val="21"/>
              </w:rPr>
            </w:pPr>
            <w:r>
              <w:rPr>
                <w:rFonts w:ascii="宋体" w:hAnsi="宋体" w:cs="宋体" w:eastAsia="宋体" w:hint="default"/>
                <w:b/>
                <w:bCs/>
                <w:sz w:val="21"/>
                <w:szCs w:val="21"/>
              </w:rPr>
              <w:t>租赁资</w:t>
            </w:r>
            <w:r>
              <w:rPr>
                <w:rFonts w:ascii="宋体" w:hAnsi="宋体" w:cs="宋体" w:eastAsia="宋体" w:hint="default"/>
                <w:b/>
                <w:bCs/>
                <w:w w:val="100"/>
                <w:sz w:val="21"/>
                <w:szCs w:val="21"/>
              </w:rPr>
              <w:t> </w:t>
            </w:r>
            <w:r>
              <w:rPr>
                <w:rFonts w:ascii="宋体" w:hAnsi="宋体" w:cs="宋体" w:eastAsia="宋体" w:hint="default"/>
                <w:b/>
                <w:bCs/>
                <w:sz w:val="21"/>
                <w:szCs w:val="21"/>
              </w:rPr>
              <w:t>产情况</w:t>
            </w:r>
            <w:r>
              <w:rPr>
                <w:rFonts w:ascii="宋体" w:hAnsi="宋体" w:cs="宋体" w:eastAsia="宋体" w:hint="default"/>
                <w:sz w:val="21"/>
                <w:szCs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1" w:right="19" w:hanging="5"/>
              <w:jc w:val="center"/>
              <w:rPr>
                <w:rFonts w:ascii="宋体" w:hAnsi="宋体" w:cs="宋体" w:eastAsia="宋体" w:hint="default"/>
                <w:sz w:val="21"/>
                <w:szCs w:val="21"/>
              </w:rPr>
            </w:pPr>
            <w:r>
              <w:rPr>
                <w:rFonts w:ascii="宋体" w:hAnsi="宋体" w:cs="宋体" w:eastAsia="宋体" w:hint="default"/>
                <w:b/>
                <w:bCs/>
                <w:sz w:val="21"/>
                <w:szCs w:val="21"/>
              </w:rPr>
              <w:t>租赁资</w:t>
            </w:r>
            <w:r>
              <w:rPr>
                <w:rFonts w:ascii="宋体" w:hAnsi="宋体" w:cs="宋体" w:eastAsia="宋体" w:hint="default"/>
                <w:b/>
                <w:bCs/>
                <w:w w:val="100"/>
                <w:sz w:val="21"/>
                <w:szCs w:val="21"/>
              </w:rPr>
              <w:t> </w:t>
            </w:r>
            <w:r>
              <w:rPr>
                <w:rFonts w:ascii="宋体" w:hAnsi="宋体" w:cs="宋体" w:eastAsia="宋体" w:hint="default"/>
                <w:b/>
                <w:bCs/>
                <w:sz w:val="21"/>
                <w:szCs w:val="21"/>
              </w:rPr>
              <w:t>产涉及</w:t>
            </w:r>
            <w:r>
              <w:rPr>
                <w:rFonts w:ascii="宋体" w:hAnsi="宋体" w:cs="宋体" w:eastAsia="宋体" w:hint="default"/>
                <w:b/>
                <w:bCs/>
                <w:w w:val="100"/>
                <w:sz w:val="21"/>
                <w:szCs w:val="21"/>
              </w:rPr>
              <w:t> </w:t>
            </w:r>
            <w:r>
              <w:rPr>
                <w:rFonts w:ascii="宋体" w:hAnsi="宋体" w:cs="宋体" w:eastAsia="宋体" w:hint="default"/>
                <w:b/>
                <w:bCs/>
                <w:spacing w:val="-8"/>
                <w:sz w:val="21"/>
                <w:szCs w:val="21"/>
              </w:rPr>
              <w:t>金额（万</w:t>
            </w:r>
            <w:r>
              <w:rPr>
                <w:rFonts w:ascii="宋体" w:hAnsi="宋体" w:cs="宋体" w:eastAsia="宋体" w:hint="default"/>
                <w:b/>
                <w:bCs/>
                <w:w w:val="100"/>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15" w:right="115" w:hanging="106"/>
              <w:jc w:val="left"/>
              <w:rPr>
                <w:rFonts w:ascii="宋体" w:hAnsi="宋体" w:cs="宋体" w:eastAsia="宋体" w:hint="default"/>
                <w:sz w:val="21"/>
                <w:szCs w:val="21"/>
              </w:rPr>
            </w:pPr>
            <w:r>
              <w:rPr>
                <w:rFonts w:ascii="宋体" w:hAnsi="宋体" w:cs="宋体" w:eastAsia="宋体" w:hint="default"/>
                <w:b/>
                <w:bCs/>
                <w:sz w:val="21"/>
                <w:szCs w:val="21"/>
              </w:rPr>
              <w:t>租赁起</w:t>
            </w:r>
            <w:r>
              <w:rPr>
                <w:rFonts w:ascii="宋体" w:hAnsi="宋体" w:cs="宋体" w:eastAsia="宋体" w:hint="default"/>
                <w:b/>
                <w:bCs/>
                <w:w w:val="100"/>
                <w:sz w:val="21"/>
                <w:szCs w:val="21"/>
              </w:rPr>
              <w:t> </w:t>
            </w:r>
            <w:r>
              <w:rPr>
                <w:rFonts w:ascii="宋体" w:hAnsi="宋体" w:cs="宋体" w:eastAsia="宋体" w:hint="default"/>
                <w:b/>
                <w:bCs/>
                <w:sz w:val="21"/>
                <w:szCs w:val="21"/>
              </w:rPr>
              <w:t>始日</w:t>
            </w:r>
            <w:r>
              <w:rPr>
                <w:rFonts w:ascii="宋体" w:hAnsi="宋体" w:cs="宋体" w:eastAsia="宋体" w:hint="default"/>
                <w:sz w:val="21"/>
                <w:szCs w:val="21"/>
              </w:rPr>
            </w:r>
          </w:p>
        </w:tc>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16" w:right="111" w:hanging="106"/>
              <w:jc w:val="left"/>
              <w:rPr>
                <w:rFonts w:ascii="宋体" w:hAnsi="宋体" w:cs="宋体" w:eastAsia="宋体" w:hint="default"/>
                <w:sz w:val="21"/>
                <w:szCs w:val="21"/>
              </w:rPr>
            </w:pPr>
            <w:r>
              <w:rPr>
                <w:rFonts w:ascii="宋体" w:hAnsi="宋体" w:cs="宋体" w:eastAsia="宋体" w:hint="default"/>
                <w:b/>
                <w:bCs/>
                <w:sz w:val="21"/>
                <w:szCs w:val="21"/>
              </w:rPr>
              <w:t>租赁终</w:t>
            </w:r>
            <w:r>
              <w:rPr>
                <w:rFonts w:ascii="宋体" w:hAnsi="宋体" w:cs="宋体" w:eastAsia="宋体" w:hint="default"/>
                <w:b/>
                <w:bCs/>
                <w:w w:val="100"/>
                <w:sz w:val="21"/>
                <w:szCs w:val="21"/>
              </w:rPr>
              <w:t> </w:t>
            </w:r>
            <w:r>
              <w:rPr>
                <w:rFonts w:ascii="宋体" w:hAnsi="宋体" w:cs="宋体" w:eastAsia="宋体" w:hint="default"/>
                <w:b/>
                <w:bCs/>
                <w:sz w:val="21"/>
                <w:szCs w:val="21"/>
              </w:rPr>
              <w:t>止日</w:t>
            </w:r>
            <w:r>
              <w:rPr>
                <w:rFonts w:ascii="宋体" w:hAnsi="宋体" w:cs="宋体" w:eastAsia="宋体" w:hint="default"/>
                <w:sz w:val="21"/>
                <w:szCs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110" w:right="113"/>
              <w:jc w:val="both"/>
              <w:rPr>
                <w:rFonts w:ascii="宋体" w:hAnsi="宋体" w:cs="宋体" w:eastAsia="宋体" w:hint="default"/>
                <w:sz w:val="21"/>
                <w:szCs w:val="21"/>
              </w:rPr>
            </w:pPr>
            <w:r>
              <w:rPr>
                <w:rFonts w:ascii="宋体" w:hAnsi="宋体" w:cs="宋体" w:eastAsia="宋体" w:hint="default"/>
                <w:b/>
                <w:bCs/>
                <w:sz w:val="21"/>
                <w:szCs w:val="21"/>
              </w:rPr>
              <w:t>租赁收</w:t>
            </w:r>
            <w:r>
              <w:rPr>
                <w:rFonts w:ascii="宋体" w:hAnsi="宋体" w:cs="宋体" w:eastAsia="宋体" w:hint="default"/>
                <w:b/>
                <w:bCs/>
                <w:w w:val="100"/>
                <w:sz w:val="21"/>
                <w:szCs w:val="21"/>
              </w:rPr>
              <w:t> </w:t>
            </w:r>
            <w:r>
              <w:rPr>
                <w:rFonts w:ascii="宋体" w:hAnsi="宋体" w:cs="宋体" w:eastAsia="宋体" w:hint="default"/>
                <w:b/>
                <w:bCs/>
                <w:sz w:val="21"/>
                <w:szCs w:val="21"/>
              </w:rPr>
              <w:t>益（万</w:t>
            </w:r>
            <w:r>
              <w:rPr>
                <w:rFonts w:ascii="宋体" w:hAnsi="宋体" w:cs="宋体" w:eastAsia="宋体" w:hint="default"/>
                <w:b/>
                <w:bCs/>
                <w:w w:val="100"/>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112" w:right="110"/>
              <w:jc w:val="both"/>
              <w:rPr>
                <w:rFonts w:ascii="宋体" w:hAnsi="宋体" w:cs="宋体" w:eastAsia="宋体" w:hint="default"/>
                <w:sz w:val="21"/>
                <w:szCs w:val="21"/>
              </w:rPr>
            </w:pPr>
            <w:r>
              <w:rPr>
                <w:rFonts w:ascii="宋体" w:hAnsi="宋体" w:cs="宋体" w:eastAsia="宋体" w:hint="default"/>
                <w:b/>
                <w:bCs/>
                <w:sz w:val="21"/>
                <w:szCs w:val="21"/>
              </w:rPr>
              <w:t>租赁收</w:t>
            </w:r>
            <w:r>
              <w:rPr>
                <w:rFonts w:ascii="宋体" w:hAnsi="宋体" w:cs="宋体" w:eastAsia="宋体" w:hint="default"/>
                <w:b/>
                <w:bCs/>
                <w:w w:val="100"/>
                <w:sz w:val="21"/>
                <w:szCs w:val="21"/>
              </w:rPr>
              <w:t> </w:t>
            </w:r>
            <w:r>
              <w:rPr>
                <w:rFonts w:ascii="宋体" w:hAnsi="宋体" w:cs="宋体" w:eastAsia="宋体" w:hint="default"/>
                <w:b/>
                <w:bCs/>
                <w:sz w:val="21"/>
                <w:szCs w:val="21"/>
              </w:rPr>
              <w:t>益确定</w:t>
            </w:r>
            <w:r>
              <w:rPr>
                <w:rFonts w:ascii="宋体" w:hAnsi="宋体" w:cs="宋体" w:eastAsia="宋体" w:hint="default"/>
                <w:b/>
                <w:bCs/>
                <w:w w:val="100"/>
                <w:sz w:val="21"/>
                <w:szCs w:val="21"/>
              </w:rPr>
              <w:t> </w:t>
            </w:r>
            <w:r>
              <w:rPr>
                <w:rFonts w:ascii="宋体" w:hAnsi="宋体" w:cs="宋体" w:eastAsia="宋体" w:hint="default"/>
                <w:b/>
                <w:bCs/>
                <w:sz w:val="21"/>
                <w:szCs w:val="21"/>
              </w:rPr>
              <w:t>依据</w:t>
            </w:r>
            <w:r>
              <w:rPr>
                <w:rFonts w:ascii="宋体" w:hAnsi="宋体" w:cs="宋体" w:eastAsia="宋体" w:hint="default"/>
                <w:sz w:val="21"/>
                <w:szCs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112" w:right="111"/>
              <w:jc w:val="both"/>
              <w:rPr>
                <w:rFonts w:ascii="宋体" w:hAnsi="宋体" w:cs="宋体" w:eastAsia="宋体" w:hint="default"/>
                <w:sz w:val="21"/>
                <w:szCs w:val="21"/>
              </w:rPr>
            </w:pPr>
            <w:r>
              <w:rPr>
                <w:rFonts w:ascii="宋体" w:hAnsi="宋体" w:cs="宋体" w:eastAsia="宋体" w:hint="default"/>
                <w:b/>
                <w:bCs/>
                <w:sz w:val="21"/>
                <w:szCs w:val="21"/>
              </w:rPr>
              <w:t>租赁收</w:t>
            </w:r>
            <w:r>
              <w:rPr>
                <w:rFonts w:ascii="宋体" w:hAnsi="宋体" w:cs="宋体" w:eastAsia="宋体" w:hint="default"/>
                <w:b/>
                <w:bCs/>
                <w:w w:val="100"/>
                <w:sz w:val="21"/>
                <w:szCs w:val="21"/>
              </w:rPr>
              <w:t> </w:t>
            </w:r>
            <w:r>
              <w:rPr>
                <w:rFonts w:ascii="宋体" w:hAnsi="宋体" w:cs="宋体" w:eastAsia="宋体" w:hint="default"/>
                <w:b/>
                <w:bCs/>
                <w:sz w:val="21"/>
                <w:szCs w:val="21"/>
              </w:rPr>
              <w:t>益对公</w:t>
            </w:r>
            <w:r>
              <w:rPr>
                <w:rFonts w:ascii="宋体" w:hAnsi="宋体" w:cs="宋体" w:eastAsia="宋体" w:hint="default"/>
                <w:b/>
                <w:bCs/>
                <w:w w:val="100"/>
                <w:sz w:val="21"/>
                <w:szCs w:val="21"/>
              </w:rPr>
              <w:t> </w:t>
            </w:r>
            <w:r>
              <w:rPr>
                <w:rFonts w:ascii="宋体" w:hAnsi="宋体" w:cs="宋体" w:eastAsia="宋体" w:hint="default"/>
                <w:b/>
                <w:bCs/>
                <w:sz w:val="21"/>
                <w:szCs w:val="21"/>
              </w:rPr>
              <w:t>司影响</w:t>
            </w:r>
            <w:r>
              <w:rPr>
                <w:rFonts w:ascii="宋体" w:hAnsi="宋体" w:cs="宋体" w:eastAsia="宋体" w:hint="default"/>
                <w:sz w:val="21"/>
                <w:szCs w:val="21"/>
              </w:rPr>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112" w:right="113"/>
              <w:jc w:val="left"/>
              <w:rPr>
                <w:rFonts w:ascii="宋体" w:hAnsi="宋体" w:cs="宋体" w:eastAsia="宋体" w:hint="default"/>
                <w:sz w:val="21"/>
                <w:szCs w:val="21"/>
              </w:rPr>
            </w:pPr>
            <w:r>
              <w:rPr>
                <w:rFonts w:ascii="宋体" w:hAnsi="宋体" w:cs="宋体" w:eastAsia="宋体" w:hint="default"/>
                <w:b/>
                <w:bCs/>
                <w:sz w:val="21"/>
                <w:szCs w:val="21"/>
              </w:rPr>
              <w:t>是否关</w:t>
            </w:r>
            <w:r>
              <w:rPr>
                <w:rFonts w:ascii="宋体" w:hAnsi="宋体" w:cs="宋体" w:eastAsia="宋体" w:hint="default"/>
                <w:b/>
                <w:bCs/>
                <w:w w:val="100"/>
                <w:sz w:val="21"/>
                <w:szCs w:val="21"/>
              </w:rPr>
              <w:t> </w:t>
            </w:r>
            <w:r>
              <w:rPr>
                <w:rFonts w:ascii="宋体" w:hAnsi="宋体" w:cs="宋体" w:eastAsia="宋体" w:hint="default"/>
                <w:b/>
                <w:bCs/>
                <w:sz w:val="21"/>
                <w:szCs w:val="21"/>
              </w:rPr>
              <w:t>联交易</w:t>
            </w:r>
            <w:r>
              <w:rPr>
                <w:rFonts w:ascii="宋体" w:hAnsi="宋体" w:cs="宋体" w:eastAsia="宋体" w:hint="default"/>
                <w:sz w:val="21"/>
                <w:szCs w:val="21"/>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21" w:right="113" w:hanging="212"/>
              <w:jc w:val="left"/>
              <w:rPr>
                <w:rFonts w:ascii="宋体" w:hAnsi="宋体" w:cs="宋体" w:eastAsia="宋体" w:hint="default"/>
                <w:sz w:val="21"/>
                <w:szCs w:val="21"/>
              </w:rPr>
            </w:pPr>
            <w:r>
              <w:rPr>
                <w:rFonts w:ascii="宋体" w:hAnsi="宋体" w:cs="宋体" w:eastAsia="宋体" w:hint="default"/>
                <w:b/>
                <w:bCs/>
                <w:sz w:val="21"/>
                <w:szCs w:val="21"/>
              </w:rPr>
              <w:t>关联关</w:t>
            </w:r>
            <w:r>
              <w:rPr>
                <w:rFonts w:ascii="宋体" w:hAnsi="宋体" w:cs="宋体" w:eastAsia="宋体" w:hint="default"/>
                <w:b/>
                <w:bCs/>
                <w:w w:val="100"/>
                <w:sz w:val="21"/>
                <w:szCs w:val="21"/>
              </w:rPr>
              <w:t> </w:t>
            </w:r>
            <w:r>
              <w:rPr>
                <w:rFonts w:ascii="宋体" w:hAnsi="宋体" w:cs="宋体" w:eastAsia="宋体" w:hint="default"/>
                <w:b/>
                <w:bCs/>
                <w:sz w:val="21"/>
                <w:szCs w:val="21"/>
              </w:rPr>
              <w:t>系</w:t>
            </w:r>
            <w:r>
              <w:rPr>
                <w:rFonts w:ascii="宋体" w:hAnsi="宋体" w:cs="宋体" w:eastAsia="宋体" w:hint="default"/>
                <w:sz w:val="21"/>
                <w:szCs w:val="21"/>
              </w:rPr>
            </w:r>
          </w:p>
        </w:tc>
      </w:tr>
      <w:tr>
        <w:trPr>
          <w:trHeight w:val="4066" w:hRule="exact"/>
        </w:trPr>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73" w:lineRule="auto"/>
              <w:ind w:left="21" w:right="204"/>
              <w:jc w:val="both"/>
              <w:rPr>
                <w:rFonts w:ascii="宋体" w:hAnsi="宋体" w:cs="宋体" w:eastAsia="宋体" w:hint="default"/>
                <w:sz w:val="21"/>
                <w:szCs w:val="21"/>
              </w:rPr>
            </w:pPr>
            <w:r>
              <w:rPr>
                <w:rFonts w:ascii="宋体" w:hAnsi="宋体" w:cs="宋体" w:eastAsia="宋体" w:hint="default"/>
                <w:sz w:val="21"/>
                <w:szCs w:val="21"/>
              </w:rPr>
              <w:t>北京超</w:t>
            </w:r>
            <w:r>
              <w:rPr>
                <w:rFonts w:ascii="宋体" w:hAnsi="宋体" w:cs="宋体" w:eastAsia="宋体" w:hint="default"/>
                <w:spacing w:val="-102"/>
                <w:sz w:val="21"/>
                <w:szCs w:val="21"/>
              </w:rPr>
              <w:t> </w:t>
            </w:r>
            <w:r>
              <w:rPr>
                <w:rFonts w:ascii="宋体" w:hAnsi="宋体" w:cs="宋体" w:eastAsia="宋体" w:hint="default"/>
                <w:sz w:val="21"/>
                <w:szCs w:val="21"/>
              </w:rPr>
              <w:t>图软件</w:t>
            </w:r>
            <w:r>
              <w:rPr>
                <w:rFonts w:ascii="宋体" w:hAnsi="宋体" w:cs="宋体" w:eastAsia="宋体" w:hint="default"/>
                <w:spacing w:val="-102"/>
                <w:sz w:val="21"/>
                <w:szCs w:val="21"/>
              </w:rPr>
              <w:t> </w:t>
            </w:r>
            <w:r>
              <w:rPr>
                <w:rFonts w:ascii="宋体" w:hAnsi="宋体" w:cs="宋体" w:eastAsia="宋体" w:hint="default"/>
                <w:sz w:val="21"/>
                <w:szCs w:val="21"/>
              </w:rPr>
              <w:t>股份有</w:t>
            </w:r>
            <w:r>
              <w:rPr>
                <w:rFonts w:ascii="宋体" w:hAnsi="宋体" w:cs="宋体" w:eastAsia="宋体" w:hint="default"/>
                <w:spacing w:val="-102"/>
                <w:sz w:val="21"/>
                <w:szCs w:val="21"/>
              </w:rPr>
              <w:t> </w:t>
            </w:r>
            <w:r>
              <w:rPr>
                <w:rFonts w:ascii="宋体" w:hAnsi="宋体" w:cs="宋体" w:eastAsia="宋体" w:hint="default"/>
                <w:sz w:val="21"/>
                <w:szCs w:val="21"/>
              </w:rPr>
              <w:t>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5"/>
              <w:jc w:val="left"/>
              <w:rPr>
                <w:rFonts w:ascii="宋体" w:hAnsi="宋体" w:cs="宋体" w:eastAsia="宋体" w:hint="default"/>
                <w:sz w:val="21"/>
                <w:szCs w:val="21"/>
              </w:rPr>
            </w:pPr>
            <w:r>
              <w:rPr>
                <w:rFonts w:ascii="宋体" w:hAnsi="宋体" w:cs="宋体" w:eastAsia="宋体" w:hint="default"/>
                <w:sz w:val="21"/>
                <w:szCs w:val="21"/>
              </w:rPr>
              <w:t>北京立</w:t>
            </w:r>
            <w:r>
              <w:rPr>
                <w:rFonts w:ascii="宋体" w:hAnsi="宋体" w:cs="宋体" w:eastAsia="宋体" w:hint="default"/>
                <w:spacing w:val="-102"/>
                <w:sz w:val="21"/>
                <w:szCs w:val="21"/>
              </w:rPr>
              <w:t> </w:t>
            </w:r>
            <w:r>
              <w:rPr>
                <w:rFonts w:ascii="宋体" w:hAnsi="宋体" w:cs="宋体" w:eastAsia="宋体" w:hint="default"/>
                <w:sz w:val="21"/>
                <w:szCs w:val="21"/>
              </w:rPr>
              <w:t>思辰新</w:t>
            </w:r>
            <w:r>
              <w:rPr>
                <w:rFonts w:ascii="宋体" w:hAnsi="宋体" w:cs="宋体" w:eastAsia="宋体" w:hint="default"/>
                <w:spacing w:val="-102"/>
                <w:sz w:val="21"/>
                <w:szCs w:val="21"/>
              </w:rPr>
              <w:t> </w:t>
            </w:r>
            <w:r>
              <w:rPr>
                <w:rFonts w:ascii="宋体" w:hAnsi="宋体" w:cs="宋体" w:eastAsia="宋体" w:hint="default"/>
                <w:sz w:val="21"/>
                <w:szCs w:val="21"/>
              </w:rPr>
              <w:t>技术有</w:t>
            </w:r>
            <w:r>
              <w:rPr>
                <w:rFonts w:ascii="宋体" w:hAnsi="宋体" w:cs="宋体" w:eastAsia="宋体" w:hint="default"/>
                <w:spacing w:val="-102"/>
                <w:sz w:val="21"/>
                <w:szCs w:val="21"/>
              </w:rPr>
              <w:t> </w:t>
            </w:r>
            <w:r>
              <w:rPr>
                <w:rFonts w:ascii="宋体" w:hAnsi="宋体" w:cs="宋体" w:eastAsia="宋体" w:hint="default"/>
                <w:sz w:val="21"/>
                <w:szCs w:val="21"/>
              </w:rPr>
              <w:t>限公司、</w:t>
            </w:r>
            <w:r>
              <w:rPr>
                <w:rFonts w:ascii="宋体" w:hAnsi="宋体" w:cs="宋体" w:eastAsia="宋体" w:hint="default"/>
                <w:w w:val="100"/>
                <w:sz w:val="21"/>
                <w:szCs w:val="21"/>
              </w:rPr>
              <w:t> </w:t>
            </w:r>
            <w:r>
              <w:rPr>
                <w:rFonts w:ascii="宋体" w:hAnsi="宋体" w:cs="宋体" w:eastAsia="宋体" w:hint="default"/>
                <w:sz w:val="21"/>
                <w:szCs w:val="21"/>
              </w:rPr>
              <w:t>北京立</w:t>
            </w:r>
            <w:r>
              <w:rPr>
                <w:rFonts w:ascii="宋体" w:hAnsi="宋体" w:cs="宋体" w:eastAsia="宋体" w:hint="default"/>
                <w:spacing w:val="-102"/>
                <w:sz w:val="21"/>
                <w:szCs w:val="21"/>
              </w:rPr>
              <w:t> </w:t>
            </w:r>
            <w:r>
              <w:rPr>
                <w:rFonts w:ascii="宋体" w:hAnsi="宋体" w:cs="宋体" w:eastAsia="宋体" w:hint="default"/>
                <w:sz w:val="21"/>
                <w:szCs w:val="21"/>
              </w:rPr>
              <w:t>思辰通</w:t>
            </w:r>
            <w:r>
              <w:rPr>
                <w:rFonts w:ascii="宋体" w:hAnsi="宋体" w:cs="宋体" w:eastAsia="宋体" w:hint="default"/>
                <w:spacing w:val="-102"/>
                <w:sz w:val="21"/>
                <w:szCs w:val="21"/>
              </w:rPr>
              <w:t> </w:t>
            </w:r>
            <w:r>
              <w:rPr>
                <w:rFonts w:ascii="宋体" w:hAnsi="宋体" w:cs="宋体" w:eastAsia="宋体" w:hint="default"/>
                <w:sz w:val="21"/>
                <w:szCs w:val="21"/>
              </w:rPr>
              <w:t>信技术</w:t>
            </w:r>
            <w:r>
              <w:rPr>
                <w:rFonts w:ascii="宋体" w:hAnsi="宋体" w:cs="宋体" w:eastAsia="宋体" w:hint="default"/>
                <w:spacing w:val="-102"/>
                <w:sz w:val="21"/>
                <w:szCs w:val="21"/>
              </w:rPr>
              <w:t> </w:t>
            </w:r>
            <w:r>
              <w:rPr>
                <w:rFonts w:ascii="宋体" w:hAnsi="宋体" w:cs="宋体" w:eastAsia="宋体" w:hint="default"/>
                <w:sz w:val="21"/>
                <w:szCs w:val="21"/>
              </w:rPr>
              <w:t>有限公</w:t>
            </w:r>
            <w:r>
              <w:rPr>
                <w:rFonts w:ascii="宋体" w:hAnsi="宋体" w:cs="宋体" w:eastAsia="宋体" w:hint="default"/>
                <w:spacing w:val="-102"/>
                <w:sz w:val="21"/>
                <w:szCs w:val="21"/>
              </w:rPr>
              <w:t> </w:t>
            </w:r>
            <w:r>
              <w:rPr>
                <w:rFonts w:ascii="宋体" w:hAnsi="宋体" w:cs="宋体" w:eastAsia="宋体" w:hint="default"/>
                <w:spacing w:val="-8"/>
                <w:sz w:val="21"/>
                <w:szCs w:val="21"/>
              </w:rPr>
              <w:t>司、北京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祥网瑞</w:t>
            </w:r>
            <w:r>
              <w:rPr>
                <w:rFonts w:ascii="宋体" w:hAnsi="宋体" w:cs="宋体" w:eastAsia="宋体" w:hint="default"/>
                <w:spacing w:val="-102"/>
                <w:sz w:val="21"/>
                <w:szCs w:val="21"/>
              </w:rPr>
              <w:t> </w:t>
            </w:r>
            <w:r>
              <w:rPr>
                <w:rFonts w:ascii="宋体" w:hAnsi="宋体" w:cs="宋体" w:eastAsia="宋体" w:hint="default"/>
                <w:sz w:val="21"/>
                <w:szCs w:val="21"/>
              </w:rPr>
              <w:t>数字技</w:t>
            </w:r>
            <w:r>
              <w:rPr>
                <w:rFonts w:ascii="宋体" w:hAnsi="宋体" w:cs="宋体" w:eastAsia="宋体" w:hint="default"/>
                <w:spacing w:val="-102"/>
                <w:sz w:val="21"/>
                <w:szCs w:val="21"/>
              </w:rPr>
              <w:t> </w:t>
            </w:r>
            <w:r>
              <w:rPr>
                <w:rFonts w:ascii="宋体" w:hAnsi="宋体" w:cs="宋体" w:eastAsia="宋体" w:hint="default"/>
                <w:sz w:val="21"/>
                <w:szCs w:val="21"/>
              </w:rPr>
              <w:t>术有限</w:t>
            </w:r>
            <w:r>
              <w:rPr>
                <w:rFonts w:ascii="宋体" w:hAnsi="宋体" w:cs="宋体" w:eastAsia="宋体" w:hint="default"/>
                <w:spacing w:val="-102"/>
                <w:sz w:val="21"/>
                <w:szCs w:val="21"/>
              </w:rPr>
              <w:t> </w:t>
            </w:r>
            <w:r>
              <w:rPr>
                <w:rFonts w:ascii="宋体" w:hAnsi="宋体" w:cs="宋体" w:eastAsia="宋体" w:hint="default"/>
                <w:sz w:val="21"/>
                <w:szCs w:val="21"/>
              </w:rPr>
              <w:t>公司</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66" w:lineRule="auto"/>
              <w:ind w:left="21" w:right="50"/>
              <w:jc w:val="left"/>
              <w:rPr>
                <w:rFonts w:ascii="宋体" w:hAnsi="宋体" w:cs="宋体" w:eastAsia="宋体" w:hint="default"/>
                <w:sz w:val="21"/>
                <w:szCs w:val="21"/>
              </w:rPr>
            </w:pPr>
            <w:r>
              <w:rPr>
                <w:rFonts w:ascii="宋体" w:hAnsi="宋体" w:cs="宋体" w:eastAsia="宋体" w:hint="default"/>
                <w:sz w:val="21"/>
                <w:szCs w:val="21"/>
              </w:rPr>
              <w:t>北京市</w:t>
            </w:r>
            <w:r>
              <w:rPr>
                <w:rFonts w:ascii="宋体" w:hAnsi="宋体" w:cs="宋体" w:eastAsia="宋体" w:hint="default"/>
                <w:spacing w:val="-102"/>
                <w:sz w:val="21"/>
                <w:szCs w:val="21"/>
              </w:rPr>
              <w:t> </w:t>
            </w:r>
            <w:r>
              <w:rPr>
                <w:rFonts w:ascii="宋体" w:hAnsi="宋体" w:cs="宋体" w:eastAsia="宋体" w:hint="default"/>
                <w:sz w:val="21"/>
                <w:szCs w:val="21"/>
              </w:rPr>
              <w:t>海淀区</w:t>
            </w:r>
            <w:r>
              <w:rPr>
                <w:rFonts w:ascii="宋体" w:hAnsi="宋体" w:cs="宋体" w:eastAsia="宋体" w:hint="default"/>
                <w:spacing w:val="-102"/>
                <w:sz w:val="21"/>
                <w:szCs w:val="21"/>
              </w:rPr>
              <w:t> </w:t>
            </w:r>
            <w:r>
              <w:rPr>
                <w:rFonts w:ascii="宋体" w:hAnsi="宋体" w:cs="宋体" w:eastAsia="宋体" w:hint="default"/>
                <w:sz w:val="21"/>
                <w:szCs w:val="21"/>
              </w:rPr>
              <w:t>学清路</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号科技</w:t>
            </w:r>
            <w:r>
              <w:rPr>
                <w:rFonts w:ascii="宋体" w:hAnsi="宋体" w:cs="宋体" w:eastAsia="宋体" w:hint="default"/>
                <w:spacing w:val="-102"/>
                <w:sz w:val="21"/>
                <w:szCs w:val="21"/>
              </w:rPr>
              <w:t> </w:t>
            </w:r>
            <w:r>
              <w:rPr>
                <w:rFonts w:ascii="宋体" w:hAnsi="宋体" w:cs="宋体" w:eastAsia="宋体" w:hint="default"/>
                <w:sz w:val="21"/>
                <w:szCs w:val="21"/>
              </w:rPr>
              <w:t>财富中</w:t>
            </w:r>
            <w:r>
              <w:rPr>
                <w:rFonts w:ascii="宋体" w:hAnsi="宋体" w:cs="宋体" w:eastAsia="宋体" w:hint="default"/>
                <w:spacing w:val="-102"/>
                <w:sz w:val="21"/>
                <w:szCs w:val="21"/>
              </w:rPr>
              <w:t> </w:t>
            </w:r>
            <w:r>
              <w:rPr>
                <w:rFonts w:ascii="宋体" w:hAnsi="宋体" w:cs="宋体" w:eastAsia="宋体" w:hint="default"/>
                <w:sz w:val="21"/>
                <w:szCs w:val="21"/>
              </w:rPr>
              <w:t>心</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座</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702</w:t>
            </w:r>
            <w:r>
              <w:rPr>
                <w:rFonts w:ascii="宋体" w:hAnsi="宋体" w:cs="宋体" w:eastAsia="宋体" w:hint="default"/>
                <w:sz w:val="21"/>
                <w:szCs w:val="21"/>
              </w:rPr>
              <w:t>、</w:t>
            </w:r>
          </w:p>
          <w:p>
            <w:pPr>
              <w:pStyle w:val="TableParagraph"/>
              <w:spacing w:line="28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pacing w:val="-5"/>
                <w:sz w:val="21"/>
                <w:szCs w:val="21"/>
              </w:rPr>
              <w:t>703</w:t>
            </w: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704</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号房屋</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1,123.29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79"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9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161.77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3"/>
              <w:ind w:left="23" w:right="199"/>
              <w:jc w:val="left"/>
              <w:rPr>
                <w:rFonts w:ascii="宋体" w:hAnsi="宋体" w:cs="宋体" w:eastAsia="宋体" w:hint="default"/>
                <w:sz w:val="21"/>
                <w:szCs w:val="21"/>
              </w:rPr>
            </w:pPr>
            <w:r>
              <w:rPr>
                <w:rFonts w:ascii="宋体" w:hAnsi="宋体" w:cs="宋体" w:eastAsia="宋体" w:hint="default"/>
                <w:sz w:val="21"/>
                <w:szCs w:val="21"/>
              </w:rPr>
              <w:t>租赁合</w:t>
            </w:r>
            <w:r>
              <w:rPr>
                <w:rFonts w:ascii="宋体" w:hAnsi="宋体" w:cs="宋体" w:eastAsia="宋体" w:hint="default"/>
                <w:spacing w:val="-102"/>
                <w:sz w:val="21"/>
                <w:szCs w:val="21"/>
              </w:rPr>
              <w:t> </w:t>
            </w:r>
            <w:r>
              <w:rPr>
                <w:rFonts w:ascii="宋体" w:hAnsi="宋体" w:cs="宋体" w:eastAsia="宋体" w:hint="default"/>
                <w:sz w:val="21"/>
                <w:szCs w:val="21"/>
              </w:rPr>
              <w:t>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273" w:lineRule="auto"/>
              <w:ind w:left="23" w:right="200"/>
              <w:jc w:val="both"/>
              <w:rPr>
                <w:rFonts w:ascii="宋体" w:hAnsi="宋体" w:cs="宋体" w:eastAsia="宋体" w:hint="default"/>
                <w:sz w:val="21"/>
                <w:szCs w:val="21"/>
              </w:rPr>
            </w:pPr>
            <w:r>
              <w:rPr>
                <w:rFonts w:ascii="宋体" w:hAnsi="宋体" w:cs="宋体" w:eastAsia="宋体" w:hint="default"/>
                <w:sz w:val="21"/>
                <w:szCs w:val="21"/>
              </w:rPr>
              <w:t>对公司</w:t>
            </w:r>
            <w:r>
              <w:rPr>
                <w:rFonts w:ascii="宋体" w:hAnsi="宋体" w:cs="宋体" w:eastAsia="宋体" w:hint="default"/>
                <w:spacing w:val="-102"/>
                <w:sz w:val="21"/>
                <w:szCs w:val="21"/>
              </w:rPr>
              <w:t> </w:t>
            </w:r>
            <w:r>
              <w:rPr>
                <w:rFonts w:ascii="宋体" w:hAnsi="宋体" w:cs="宋体" w:eastAsia="宋体" w:hint="default"/>
                <w:sz w:val="21"/>
                <w:szCs w:val="21"/>
              </w:rPr>
              <w:t>本期利</w:t>
            </w:r>
            <w:r>
              <w:rPr>
                <w:rFonts w:ascii="宋体" w:hAnsi="宋体" w:cs="宋体" w:eastAsia="宋体" w:hint="default"/>
                <w:spacing w:val="-102"/>
                <w:sz w:val="21"/>
                <w:szCs w:val="21"/>
              </w:rPr>
              <w:t> </w:t>
            </w:r>
            <w:r>
              <w:rPr>
                <w:rFonts w:ascii="宋体" w:hAnsi="宋体" w:cs="宋体" w:eastAsia="宋体" w:hint="default"/>
                <w:sz w:val="21"/>
                <w:szCs w:val="21"/>
              </w:rPr>
              <w:t>润有较</w:t>
            </w:r>
            <w:r>
              <w:rPr>
                <w:rFonts w:ascii="宋体" w:hAnsi="宋体" w:cs="宋体" w:eastAsia="宋体" w:hint="default"/>
                <w:spacing w:val="-102"/>
                <w:sz w:val="21"/>
                <w:szCs w:val="21"/>
              </w:rPr>
              <w:t> </w:t>
            </w:r>
            <w:r>
              <w:rPr>
                <w:rFonts w:ascii="宋体" w:hAnsi="宋体" w:cs="宋体" w:eastAsia="宋体" w:hint="default"/>
                <w:sz w:val="21"/>
                <w:szCs w:val="21"/>
              </w:rPr>
              <w:t>大影响</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56" w:lineRule="auto" w:before="0"/>
        <w:ind w:left="137" w:right="89" w:firstLine="0"/>
        <w:jc w:val="left"/>
        <w:rPr>
          <w:rFonts w:ascii="宋体" w:hAnsi="宋体" w:cs="宋体" w:eastAsia="宋体" w:hint="default"/>
          <w:sz w:val="21"/>
          <w:szCs w:val="21"/>
        </w:rPr>
      </w:pPr>
      <w:r>
        <w:rPr>
          <w:rFonts w:ascii="宋体" w:hAnsi="宋体" w:cs="宋体" w:eastAsia="宋体" w:hint="default"/>
          <w:spacing w:val="-2"/>
          <w:sz w:val="21"/>
          <w:szCs w:val="21"/>
        </w:rPr>
        <w:t>注：表格中只需披露单个项目为公司带来的损益额达到报告期利润总额</w:t>
      </w:r>
      <w:r>
        <w:rPr>
          <w:rFonts w:ascii="宋体" w:hAnsi="宋体" w:cs="宋体" w:eastAsia="宋体" w:hint="default"/>
          <w:sz w:val="21"/>
          <w:szCs w:val="21"/>
        </w:rPr>
        <w:t> </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以上的项目情况，其余项目</w:t>
      </w:r>
      <w:r>
        <w:rPr>
          <w:rFonts w:ascii="宋体" w:hAnsi="宋体" w:cs="宋体" w:eastAsia="宋体" w:hint="default"/>
          <w:spacing w:val="-73"/>
          <w:sz w:val="21"/>
          <w:szCs w:val="21"/>
        </w:rPr>
        <w:t> </w:t>
      </w:r>
      <w:r>
        <w:rPr>
          <w:rFonts w:ascii="宋体" w:hAnsi="宋体" w:cs="宋体" w:eastAsia="宋体" w:hint="default"/>
          <w:spacing w:val="-73"/>
          <w:sz w:val="21"/>
          <w:szCs w:val="21"/>
        </w:rPr>
      </w:r>
      <w:r>
        <w:rPr>
          <w:rFonts w:ascii="宋体" w:hAnsi="宋体" w:cs="宋体" w:eastAsia="宋体" w:hint="default"/>
          <w:sz w:val="21"/>
          <w:szCs w:val="21"/>
        </w:rPr>
        <w:t>情况在</w:t>
      </w:r>
      <w:r>
        <w:rPr>
          <w:rFonts w:ascii="Times New Roman" w:hAnsi="Times New Roman" w:cs="Times New Roman" w:eastAsia="Times New Roman" w:hint="default"/>
          <w:sz w:val="21"/>
          <w:szCs w:val="21"/>
        </w:rPr>
        <w:t>“</w:t>
      </w:r>
      <w:r>
        <w:rPr>
          <w:rFonts w:ascii="宋体" w:hAnsi="宋体" w:cs="宋体" w:eastAsia="宋体" w:hint="default"/>
          <w:sz w:val="21"/>
          <w:szCs w:val="21"/>
        </w:rPr>
        <w:t>租赁情况</w:t>
      </w:r>
      <w:r>
        <w:rPr>
          <w:rFonts w:ascii="Times New Roman" w:hAnsi="Times New Roman" w:cs="Times New Roman" w:eastAsia="Times New Roman" w:hint="default"/>
          <w:sz w:val="21"/>
          <w:szCs w:val="21"/>
        </w:rPr>
        <w:t>”</w:t>
      </w:r>
      <w:r>
        <w:rPr>
          <w:rFonts w:ascii="宋体" w:hAnsi="宋体" w:cs="宋体" w:eastAsia="宋体" w:hint="default"/>
          <w:sz w:val="21"/>
          <w:szCs w:val="21"/>
        </w:rPr>
        <w:t>说明中予以说明。</w:t>
      </w:r>
    </w:p>
    <w:p>
      <w:pPr>
        <w:spacing w:line="240" w:lineRule="auto" w:before="3"/>
        <w:rPr>
          <w:rFonts w:ascii="宋体" w:hAnsi="宋体" w:cs="宋体" w:eastAsia="宋体" w:hint="default"/>
          <w:sz w:val="27"/>
          <w:szCs w:val="27"/>
        </w:rPr>
      </w:pPr>
    </w:p>
    <w:p>
      <w:pPr>
        <w:pStyle w:val="Heading4"/>
        <w:spacing w:line="240" w:lineRule="auto"/>
        <w:ind w:right="89"/>
        <w:jc w:val="left"/>
        <w:rPr>
          <w:b w:val="0"/>
          <w:bCs w:val="0"/>
        </w:rPr>
      </w:pPr>
      <w:bookmarkStart w:name="_bookmark55" w:id="56"/>
      <w:bookmarkEnd w:id="56"/>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left="137" w:right="203" w:firstLine="480"/>
        <w:jc w:val="left"/>
      </w:pPr>
      <w:r>
        <w:rPr>
          <w:spacing w:val="-3"/>
        </w:rPr>
        <w:t>报告期内，公司及子公司不存在对外担保情况，公司不存在对子公司担保情况以及公司</w:t>
      </w:r>
      <w:r>
        <w:rPr/>
        <w:t> 为股东、实际控制人及其关联方提供担保情况。</w:t>
      </w:r>
    </w:p>
    <w:p>
      <w:pPr>
        <w:spacing w:after="0" w:line="357" w:lineRule="auto"/>
        <w:jc w:val="left"/>
        <w:sectPr>
          <w:footerReference w:type="default" r:id="rId24"/>
          <w:pgSz w:w="11910" w:h="16840"/>
          <w:pgMar w:footer="1007" w:header="884" w:top="1140" w:bottom="1200" w:left="1140" w:right="920"/>
          <w:pgNumType w:start="50"/>
        </w:sectPr>
      </w:pPr>
    </w:p>
    <w:p>
      <w:pPr>
        <w:spacing w:line="240" w:lineRule="auto" w:before="6"/>
        <w:rPr>
          <w:rFonts w:ascii="宋体" w:hAnsi="宋体" w:cs="宋体" w:eastAsia="宋体" w:hint="default"/>
          <w:sz w:val="22"/>
          <w:szCs w:val="22"/>
        </w:rPr>
      </w:pPr>
      <w:r>
        <w:rPr/>
        <w:pict>
          <v:shape style="position:absolute;margin-left:182.183838pt;margin-top:724.055969pt;width:176.35pt;height:15.65pt;mso-position-horizontal-relative:page;mso-position-vertical-relative:page;z-index:-918304" type="#_x0000_t202" filled="false" stroked="false">
            <v:textbox inset="0,0,0,0">
              <w:txbxContent>
                <w:p>
                  <w:pPr>
                    <w:spacing w:line="263" w:lineRule="exact" w:before="0"/>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p>
      <w:pPr>
        <w:pStyle w:val="Heading4"/>
        <w:spacing w:line="240" w:lineRule="auto" w:before="26"/>
        <w:ind w:right="0"/>
        <w:jc w:val="left"/>
        <w:rPr>
          <w:b w:val="0"/>
          <w:bCs w:val="0"/>
        </w:rPr>
      </w:pPr>
      <w:bookmarkStart w:name="_bookmark56" w:id="57"/>
      <w:bookmarkEnd w:id="57"/>
      <w:r>
        <w:rPr>
          <w:b w:val="0"/>
          <w:bCs w:val="0"/>
        </w:rPr>
      </w:r>
      <w:r>
        <w:rPr>
          <w:rFonts w:ascii="Times New Roman" w:hAnsi="Times New Roman" w:cs="Times New Roman" w:eastAsia="Times New Roman" w:hint="default"/>
        </w:rPr>
        <w:t>3</w:t>
      </w:r>
      <w:r>
        <w:rPr/>
        <w:t>、报告期内或报告期继续发生的委托理财情况</w:t>
      </w:r>
      <w:r>
        <w:rPr>
          <w:b w:val="0"/>
          <w:bCs w:val="0"/>
        </w:rPr>
      </w:r>
    </w:p>
    <w:p>
      <w:pPr>
        <w:spacing w:line="240" w:lineRule="auto" w:before="4"/>
        <w:rPr>
          <w:rFonts w:ascii="宋体" w:hAnsi="宋体" w:cs="宋体" w:eastAsia="宋体" w:hint="default"/>
          <w:b/>
          <w:bCs/>
          <w:sz w:val="33"/>
          <w:szCs w:val="33"/>
        </w:rPr>
      </w:pPr>
    </w:p>
    <w:p>
      <w:pPr>
        <w:spacing w:line="496" w:lineRule="auto" w:before="0"/>
        <w:ind w:left="137" w:right="602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）委托理财情况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报告期内，公司未进行委托理财。</w:t>
      </w:r>
    </w:p>
    <w:p>
      <w:pPr>
        <w:spacing w:line="441" w:lineRule="auto" w:before="43"/>
        <w:ind w:left="137" w:right="578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）衍生品投资情况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报告期内，公司未进行衍生品投资。</w:t>
      </w:r>
    </w:p>
    <w:p>
      <w:pPr>
        <w:spacing w:line="456" w:lineRule="auto" w:before="99"/>
        <w:ind w:left="137" w:right="5549"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）委托贷款情况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报告期内，公司未进行委托贷款情况。 </w:t>
      </w:r>
      <w:bookmarkStart w:name="_bookmark57" w:id="58"/>
      <w:bookmarkEnd w:id="58"/>
      <w:r>
        <w:rPr>
          <w:rFonts w:ascii="宋体" w:hAnsi="宋体" w:cs="宋体" w:eastAsia="宋体" w:hint="default"/>
          <w:sz w:val="24"/>
          <w:szCs w:val="24"/>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、其他重大合同</w:t>
      </w:r>
      <w:r>
        <w:rPr>
          <w:rFonts w:ascii="宋体" w:hAnsi="宋体" w:cs="宋体" w:eastAsia="宋体" w:hint="default"/>
          <w:b/>
          <w:bCs/>
          <w:w w:val="99"/>
          <w:sz w:val="24"/>
          <w:szCs w:val="24"/>
        </w:rPr>
        <w:t> </w:t>
      </w:r>
      <w:r>
        <w:rPr>
          <w:rFonts w:ascii="宋体" w:hAnsi="宋体" w:cs="宋体" w:eastAsia="宋体" w:hint="default"/>
          <w:sz w:val="24"/>
          <w:szCs w:val="24"/>
        </w:rPr>
        <w:t>报告期内，公司无其他重大合同。 </w:t>
      </w:r>
      <w:bookmarkStart w:name="_bookmark58" w:id="59"/>
      <w:bookmarkEnd w:id="59"/>
      <w:r>
        <w:rPr>
          <w:rFonts w:ascii="宋体" w:hAnsi="宋体" w:cs="宋体" w:eastAsia="宋体" w:hint="default"/>
          <w:sz w:val="24"/>
          <w:szCs w:val="24"/>
        </w:rPr>
      </w:r>
      <w:r>
        <w:rPr>
          <w:rFonts w:ascii="宋体" w:hAnsi="宋体" w:cs="宋体" w:eastAsia="宋体" w:hint="default"/>
          <w:b/>
          <w:bCs/>
          <w:sz w:val="24"/>
          <w:szCs w:val="24"/>
        </w:rPr>
        <w:t>八、承诺事项履行情况</w:t>
      </w:r>
      <w:r>
        <w:rPr>
          <w:rFonts w:ascii="宋体" w:hAnsi="宋体" w:cs="宋体" w:eastAsia="宋体" w:hint="default"/>
          <w:sz w:val="24"/>
          <w:szCs w:val="24"/>
        </w:rPr>
      </w:r>
    </w:p>
    <w:p>
      <w:pPr>
        <w:spacing w:before="107"/>
        <w:ind w:left="137" w:right="0" w:firstLine="0"/>
        <w:jc w:val="left"/>
        <w:rPr>
          <w:rFonts w:ascii="宋体" w:hAnsi="宋体" w:cs="宋体" w:eastAsia="宋体" w:hint="default"/>
          <w:sz w:val="21"/>
          <w:szCs w:val="21"/>
        </w:rPr>
      </w:pPr>
      <w:bookmarkStart w:name="_bookmark59" w:id="60"/>
      <w:bookmarkEnd w:id="60"/>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、公司或持股</w:t>
      </w:r>
      <w:r>
        <w:rPr>
          <w:rFonts w:ascii="宋体" w:hAnsi="宋体" w:cs="宋体" w:eastAsia="宋体" w:hint="default"/>
          <w:b/>
          <w:bCs/>
          <w:spacing w:val="-53"/>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以上股东在报告期内或持续到报告期内的承诺事项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1738"/>
        <w:gridCol w:w="802"/>
        <w:gridCol w:w="3411"/>
        <w:gridCol w:w="1202"/>
        <w:gridCol w:w="1205"/>
        <w:gridCol w:w="1195"/>
      </w:tblGrid>
      <w:tr>
        <w:trPr>
          <w:trHeight w:val="322"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2" w:right="0"/>
              <w:jc w:val="left"/>
              <w:rPr>
                <w:rFonts w:ascii="宋体" w:hAnsi="宋体" w:cs="宋体" w:eastAsia="宋体" w:hint="default"/>
                <w:sz w:val="21"/>
                <w:szCs w:val="21"/>
              </w:rPr>
            </w:pPr>
            <w:r>
              <w:rPr>
                <w:rFonts w:ascii="宋体" w:hAnsi="宋体" w:cs="宋体" w:eastAsia="宋体" w:hint="default"/>
                <w:b/>
                <w:bCs/>
                <w:sz w:val="21"/>
                <w:szCs w:val="21"/>
              </w:rPr>
              <w:t>承诺事项</w:t>
            </w:r>
            <w:r>
              <w:rPr>
                <w:rFonts w:ascii="宋体" w:hAnsi="宋体" w:cs="宋体" w:eastAsia="宋体" w:hint="default"/>
                <w:sz w:val="21"/>
                <w:szCs w:val="21"/>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承诺人</w:t>
            </w:r>
            <w:r>
              <w:rPr>
                <w:rFonts w:ascii="宋体" w:hAnsi="宋体" w:cs="宋体" w:eastAsia="宋体" w:hint="default"/>
                <w:sz w:val="21"/>
                <w:szCs w:val="21"/>
              </w:rPr>
            </w:r>
          </w:p>
        </w:tc>
        <w:tc>
          <w:tcPr>
            <w:tcW w:w="3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承诺内容</w:t>
            </w:r>
            <w:r>
              <w:rPr>
                <w:rFonts w:ascii="宋体" w:hAnsi="宋体" w:cs="宋体" w:eastAsia="宋体" w:hint="default"/>
                <w:sz w:val="21"/>
                <w:szCs w:val="21"/>
              </w:rPr>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72" w:right="0"/>
              <w:jc w:val="left"/>
              <w:rPr>
                <w:rFonts w:ascii="宋体" w:hAnsi="宋体" w:cs="宋体" w:eastAsia="宋体" w:hint="default"/>
                <w:sz w:val="21"/>
                <w:szCs w:val="21"/>
              </w:rPr>
            </w:pPr>
            <w:r>
              <w:rPr>
                <w:rFonts w:ascii="宋体" w:hAnsi="宋体" w:cs="宋体" w:eastAsia="宋体" w:hint="default"/>
                <w:b/>
                <w:bCs/>
                <w:sz w:val="21"/>
                <w:szCs w:val="21"/>
              </w:rPr>
              <w:t>承诺时间</w:t>
            </w:r>
            <w:r>
              <w:rPr>
                <w:rFonts w:ascii="宋体" w:hAnsi="宋体" w:cs="宋体" w:eastAsia="宋体" w:hint="default"/>
                <w:sz w:val="21"/>
                <w:szCs w:val="21"/>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承诺期限</w:t>
            </w:r>
            <w:r>
              <w:rPr>
                <w:rFonts w:ascii="宋体" w:hAnsi="宋体" w:cs="宋体" w:eastAsia="宋体" w:hint="default"/>
                <w:sz w:val="21"/>
                <w:szCs w:val="21"/>
              </w:rPr>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70" w:right="0"/>
              <w:jc w:val="left"/>
              <w:rPr>
                <w:rFonts w:ascii="宋体" w:hAnsi="宋体" w:cs="宋体" w:eastAsia="宋体" w:hint="default"/>
                <w:sz w:val="21"/>
                <w:szCs w:val="21"/>
              </w:rPr>
            </w:pPr>
            <w:r>
              <w:rPr>
                <w:rFonts w:ascii="宋体" w:hAnsi="宋体" w:cs="宋体" w:eastAsia="宋体" w:hint="default"/>
                <w:b/>
                <w:bCs/>
                <w:sz w:val="21"/>
                <w:szCs w:val="21"/>
              </w:rPr>
              <w:t>履行情况</w:t>
            </w:r>
            <w:r>
              <w:rPr>
                <w:rFonts w:ascii="宋体" w:hAnsi="宋体" w:cs="宋体" w:eastAsia="宋体" w:hint="default"/>
                <w:sz w:val="21"/>
                <w:szCs w:val="21"/>
              </w:rPr>
            </w:r>
          </w:p>
        </w:tc>
      </w:tr>
      <w:tr>
        <w:trPr>
          <w:trHeight w:val="322"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341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both"/>
              <w:rPr>
                <w:rFonts w:ascii="宋体" w:hAnsi="宋体" w:cs="宋体" w:eastAsia="宋体" w:hint="default"/>
                <w:sz w:val="21"/>
                <w:szCs w:val="21"/>
              </w:rPr>
            </w:pPr>
            <w:r>
              <w:rPr>
                <w:rFonts w:ascii="宋体" w:hAnsi="宋体" w:cs="宋体" w:eastAsia="宋体" w:hint="default"/>
                <w:sz w:val="21"/>
                <w:szCs w:val="21"/>
              </w:rPr>
              <w:t>收购报告书或权益</w:t>
            </w:r>
            <w:r>
              <w:rPr>
                <w:rFonts w:ascii="宋体" w:hAnsi="宋体" w:cs="宋体" w:eastAsia="宋体" w:hint="default"/>
                <w:w w:val="100"/>
                <w:sz w:val="21"/>
                <w:szCs w:val="21"/>
              </w:rPr>
              <w:t> </w:t>
            </w:r>
            <w:r>
              <w:rPr>
                <w:rFonts w:ascii="宋体" w:hAnsi="宋体" w:cs="宋体" w:eastAsia="宋体" w:hint="default"/>
                <w:sz w:val="21"/>
                <w:szCs w:val="21"/>
              </w:rPr>
              <w:t>变动报告书中所作</w:t>
            </w:r>
            <w:r>
              <w:rPr>
                <w:rFonts w:ascii="宋体" w:hAnsi="宋体" w:cs="宋体" w:eastAsia="宋体" w:hint="default"/>
                <w:w w:val="100"/>
                <w:sz w:val="21"/>
                <w:szCs w:val="21"/>
              </w:rPr>
              <w:t> </w:t>
            </w:r>
            <w:r>
              <w:rPr>
                <w:rFonts w:ascii="宋体" w:hAnsi="宋体" w:cs="宋体" w:eastAsia="宋体" w:hint="default"/>
                <w:sz w:val="21"/>
                <w:szCs w:val="21"/>
              </w:rPr>
              <w:t>承诺</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341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z w:val="21"/>
                <w:szCs w:val="21"/>
              </w:rPr>
              <w:t>资产置换时所作承</w:t>
            </w:r>
            <w:r>
              <w:rPr>
                <w:rFonts w:ascii="宋体" w:hAnsi="宋体" w:cs="宋体" w:eastAsia="宋体" w:hint="default"/>
                <w:w w:val="100"/>
                <w:sz w:val="21"/>
                <w:szCs w:val="21"/>
              </w:rPr>
              <w:t> </w:t>
            </w:r>
            <w:r>
              <w:rPr>
                <w:rFonts w:ascii="宋体" w:hAnsi="宋体" w:cs="宋体" w:eastAsia="宋体" w:hint="default"/>
                <w:sz w:val="21"/>
                <w:szCs w:val="21"/>
              </w:rPr>
              <w:t>诺</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w w:val="100"/>
                <w:sz w:val="21"/>
                <w:szCs w:val="21"/>
              </w:rPr>
              <w:t>无</w:t>
            </w:r>
          </w:p>
        </w:tc>
        <w:tc>
          <w:tcPr>
            <w:tcW w:w="341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754" w:hRule="exact"/>
        </w:trPr>
        <w:tc>
          <w:tcPr>
            <w:tcW w:w="17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21"/>
                <w:szCs w:val="21"/>
              </w:rPr>
            </w:pPr>
            <w:r>
              <w:rPr>
                <w:rFonts w:ascii="宋体" w:hAnsi="宋体" w:cs="宋体" w:eastAsia="宋体" w:hint="default"/>
                <w:sz w:val="21"/>
                <w:szCs w:val="21"/>
              </w:rPr>
              <w:t>发行时所作承诺</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6"/>
              <w:ind w:right="113"/>
              <w:jc w:val="center"/>
              <w:rPr>
                <w:rFonts w:ascii="宋体" w:hAnsi="宋体" w:cs="宋体" w:eastAsia="宋体" w:hint="default"/>
                <w:sz w:val="21"/>
                <w:szCs w:val="21"/>
              </w:rPr>
            </w:pPr>
            <w:r>
              <w:rPr>
                <w:rFonts w:ascii="宋体" w:hAnsi="宋体" w:cs="宋体" w:eastAsia="宋体" w:hint="default"/>
                <w:sz w:val="21"/>
                <w:szCs w:val="21"/>
              </w:rPr>
              <w:t>钟耳顺</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ind w:left="22" w:right="12"/>
              <w:jc w:val="left"/>
              <w:rPr>
                <w:rFonts w:ascii="宋体" w:hAnsi="宋体" w:cs="宋体" w:eastAsia="宋体" w:hint="default"/>
                <w:sz w:val="21"/>
                <w:szCs w:val="21"/>
              </w:rPr>
            </w:pPr>
            <w:r>
              <w:rPr>
                <w:rFonts w:ascii="宋体" w:hAnsi="宋体" w:cs="宋体" w:eastAsia="宋体" w:hint="default"/>
                <w:sz w:val="21"/>
                <w:szCs w:val="21"/>
              </w:rPr>
              <w:t>控股股东钟耳顺的避免同业竞争承</w:t>
            </w:r>
            <w:r>
              <w:rPr>
                <w:rFonts w:ascii="宋体" w:hAnsi="宋体" w:cs="宋体" w:eastAsia="宋体" w:hint="default"/>
                <w:w w:val="100"/>
                <w:sz w:val="21"/>
                <w:szCs w:val="21"/>
              </w:rPr>
              <w:t> </w:t>
            </w:r>
            <w:r>
              <w:rPr>
                <w:rFonts w:ascii="宋体" w:hAnsi="宋体" w:cs="宋体" w:eastAsia="宋体" w:hint="default"/>
                <w:spacing w:val="-7"/>
                <w:sz w:val="21"/>
                <w:szCs w:val="21"/>
              </w:rPr>
              <w:t>诺函：</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将来不以任何方式从事，包括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与他人合作直接或间接从事与超图</w:t>
            </w:r>
            <w:r>
              <w:rPr>
                <w:rFonts w:ascii="宋体" w:hAnsi="宋体" w:cs="宋体" w:eastAsia="宋体" w:hint="default"/>
                <w:w w:val="100"/>
                <w:sz w:val="21"/>
                <w:szCs w:val="21"/>
              </w:rPr>
              <w:t> </w:t>
            </w:r>
            <w:r>
              <w:rPr>
                <w:rFonts w:ascii="宋体" w:hAnsi="宋体" w:cs="宋体" w:eastAsia="宋体" w:hint="default"/>
                <w:spacing w:val="-2"/>
                <w:sz w:val="21"/>
                <w:szCs w:val="21"/>
              </w:rPr>
              <w:t>股份相同、相似或在任何方面构成竞</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争的业务；不投资控股于业务与超图</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股份相同、类似或在任何方面构成竞</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争的公司、企业或其他机构、组织；</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pacing w:val="-2"/>
                <w:sz w:val="21"/>
                <w:szCs w:val="21"/>
              </w:rPr>
              <w:t>不向其他业务与超图股份相同、类似</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或在任何方面构成竞争的公司、企业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或其他机构、组织或个人提供专有技</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术或提供销售渠道、客户信息等商业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秘密</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6"/>
              <w:ind w:right="0"/>
              <w:jc w:val="left"/>
              <w:rPr>
                <w:rFonts w:ascii="宋体" w:hAnsi="宋体" w:cs="宋体" w:eastAsia="宋体" w:hint="default"/>
                <w:b/>
                <w:bCs/>
                <w:sz w:val="30"/>
                <w:szCs w:val="30"/>
              </w:rPr>
            </w:pPr>
          </w:p>
          <w:p>
            <w:pPr>
              <w:pStyle w:val="TableParagraph"/>
              <w:spacing w:line="240" w:lineRule="auto"/>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
              <w:ind w:right="0"/>
              <w:jc w:val="left"/>
              <w:rPr>
                <w:rFonts w:ascii="宋体" w:hAnsi="宋体" w:cs="宋体" w:eastAsia="宋体" w:hint="default"/>
                <w:b/>
                <w:bCs/>
                <w:sz w:val="26"/>
                <w:szCs w:val="26"/>
              </w:rPr>
            </w:pPr>
          </w:p>
          <w:p>
            <w:pPr>
              <w:pStyle w:val="TableParagraph"/>
              <w:spacing w:line="273" w:lineRule="auto"/>
              <w:ind w:left="23" w:right="116"/>
              <w:jc w:val="left"/>
              <w:rPr>
                <w:rFonts w:ascii="宋体" w:hAnsi="宋体" w:cs="宋体" w:eastAsia="宋体" w:hint="default"/>
                <w:sz w:val="21"/>
                <w:szCs w:val="21"/>
              </w:rPr>
            </w:pPr>
            <w:r>
              <w:rPr>
                <w:rFonts w:ascii="宋体" w:hAnsi="宋体" w:cs="宋体" w:eastAsia="宋体" w:hint="default"/>
                <w:sz w:val="21"/>
                <w:szCs w:val="21"/>
              </w:rPr>
              <w:t>控股股东的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避免同业竞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争的承诺期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限为：作为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超图股份股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东或关联方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的整个期</w:t>
            </w:r>
            <w:r>
              <w:rPr>
                <w:rFonts w:ascii="宋体" w:hAnsi="宋体" w:cs="宋体" w:eastAsia="宋体" w:hint="default"/>
                <w:w w:val="100"/>
                <w:sz w:val="21"/>
                <w:szCs w:val="21"/>
              </w:rPr>
              <w:t> </w:t>
            </w:r>
            <w:r>
              <w:rPr>
                <w:rFonts w:ascii="宋体" w:hAnsi="宋体" w:cs="宋体" w:eastAsia="宋体" w:hint="default"/>
                <w:spacing w:val="-36"/>
                <w:w w:val="100"/>
                <w:sz w:val="21"/>
                <w:szCs w:val="21"/>
              </w:rPr>
              <w:t>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73" w:lineRule="auto"/>
              <w:ind w:left="21" w:right="108"/>
              <w:jc w:val="left"/>
              <w:rPr>
                <w:rFonts w:ascii="宋体" w:hAnsi="宋体" w:cs="宋体" w:eastAsia="宋体" w:hint="default"/>
                <w:sz w:val="21"/>
                <w:szCs w:val="21"/>
              </w:rPr>
            </w:pPr>
            <w:r>
              <w:rPr>
                <w:rFonts w:ascii="宋体" w:hAnsi="宋体" w:cs="宋体" w:eastAsia="宋体" w:hint="default"/>
                <w:sz w:val="21"/>
                <w:szCs w:val="21"/>
              </w:rPr>
              <w:t>严格遵守了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r>
      <w:tr>
        <w:trPr>
          <w:trHeight w:val="636" w:hRule="exact"/>
        </w:trPr>
        <w:tc>
          <w:tcPr>
            <w:tcW w:w="1738" w:type="dxa"/>
            <w:vMerge/>
            <w:tcBorders>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9" w:space="0" w:color="FFFFFF"/>
            </w:tcBorders>
          </w:tcPr>
          <w:p>
            <w:pPr>
              <w:pStyle w:val="TableParagraph"/>
              <w:spacing w:line="273" w:lineRule="auto"/>
              <w:ind w:left="21" w:right="128"/>
              <w:jc w:val="left"/>
              <w:rPr>
                <w:rFonts w:ascii="宋体" w:hAnsi="宋体" w:cs="宋体" w:eastAsia="宋体" w:hint="default"/>
                <w:sz w:val="21"/>
                <w:szCs w:val="21"/>
              </w:rPr>
            </w:pPr>
            <w:r>
              <w:rPr>
                <w:rFonts w:ascii="宋体" w:hAnsi="宋体" w:cs="宋体" w:eastAsia="宋体" w:hint="default"/>
                <w:sz w:val="21"/>
                <w:szCs w:val="21"/>
              </w:rPr>
              <w:t>钟耳顺</w:t>
            </w:r>
            <w:r>
              <w:rPr>
                <w:rFonts w:ascii="宋体" w:hAnsi="宋体" w:cs="宋体" w:eastAsia="宋体" w:hint="default"/>
                <w:spacing w:val="-102"/>
                <w:sz w:val="21"/>
                <w:szCs w:val="21"/>
              </w:rPr>
              <w:t> </w:t>
            </w:r>
            <w:r>
              <w:rPr>
                <w:rFonts w:ascii="宋体" w:hAnsi="宋体" w:cs="宋体" w:eastAsia="宋体" w:hint="default"/>
                <w:sz w:val="21"/>
                <w:szCs w:val="21"/>
              </w:rPr>
              <w:t>宋关福</w:t>
            </w:r>
          </w:p>
        </w:tc>
        <w:tc>
          <w:tcPr>
            <w:tcW w:w="3411" w:type="dxa"/>
            <w:tcBorders>
              <w:top w:val="single" w:sz="4" w:space="0" w:color="000000"/>
              <w:left w:val="single" w:sz="9" w:space="0" w:color="FFFFFF"/>
              <w:bottom w:val="single" w:sz="4" w:space="0" w:color="000000"/>
              <w:right w:val="single" w:sz="4" w:space="0" w:color="000000"/>
            </w:tcBorders>
          </w:tcPr>
          <w:p>
            <w:pPr>
              <w:pStyle w:val="TableParagraph"/>
              <w:spacing w:line="273" w:lineRule="auto"/>
              <w:ind w:left="15" w:right="19"/>
              <w:jc w:val="left"/>
              <w:rPr>
                <w:rFonts w:ascii="宋体" w:hAnsi="宋体" w:cs="宋体" w:eastAsia="宋体" w:hint="default"/>
                <w:sz w:val="21"/>
                <w:szCs w:val="21"/>
              </w:rPr>
            </w:pPr>
            <w:r>
              <w:rPr>
                <w:rFonts w:ascii="宋体" w:hAnsi="宋体" w:cs="宋体" w:eastAsia="宋体" w:hint="default"/>
                <w:spacing w:val="-2"/>
                <w:sz w:val="21"/>
                <w:szCs w:val="21"/>
              </w:rPr>
              <w:t>自股票上市之起三十六个月内，不转</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让或者委托他人管理其持有的发行</w:t>
            </w:r>
          </w:p>
          <w:p>
            <w:pPr>
              <w:pStyle w:val="TableParagraph"/>
              <w:spacing w:line="312" w:lineRule="exact"/>
              <w:ind w:left="15" w:right="-27"/>
              <w:jc w:val="left"/>
              <w:rPr>
                <w:rFonts w:ascii="宋体" w:hAnsi="宋体" w:cs="宋体" w:eastAsia="宋体" w:hint="default"/>
                <w:sz w:val="20"/>
                <w:szCs w:val="20"/>
              </w:rPr>
            </w:pPr>
            <w:r>
              <w:rPr>
                <w:rFonts w:ascii="宋体" w:hAnsi="宋体" w:cs="宋体" w:eastAsia="宋体" w:hint="default"/>
                <w:position w:val="-5"/>
                <w:sz w:val="20"/>
                <w:szCs w:val="20"/>
              </w:rPr>
              <w:pict>
                <v:group style="width:167.8pt;height:15.65pt;mso-position-horizontal-relative:char;mso-position-vertical-relative:line" coordorigin="0,0" coordsize="3356,313">
                  <v:group style="position:absolute;left:0;top:0;width:3356;height:313" coordorigin="0,0" coordsize="3356,313">
                    <v:shape style="position:absolute;left:0;top:0;width:3356;height:313" coordorigin="0,0" coordsize="3356,313" path="m0,312l3356,312,3356,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1"/>
              <w:ind w:right="0"/>
              <w:jc w:val="left"/>
              <w:rPr>
                <w:rFonts w:ascii="宋体" w:hAnsi="宋体" w:cs="宋体" w:eastAsia="宋体" w:hint="default"/>
                <w:b/>
                <w:bCs/>
                <w:sz w:val="24"/>
                <w:szCs w:val="24"/>
              </w:rPr>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p>
          <w:p>
            <w:pPr>
              <w:pStyle w:val="TableParagraph"/>
              <w:spacing w:line="240" w:lineRule="auto" w:before="21"/>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16"/>
              <w:jc w:val="left"/>
              <w:rPr>
                <w:rFonts w:ascii="宋体" w:hAnsi="宋体" w:cs="宋体" w:eastAsia="宋体" w:hint="default"/>
                <w:sz w:val="21"/>
                <w:szCs w:val="21"/>
              </w:rPr>
            </w:pPr>
            <w:r>
              <w:rPr>
                <w:rFonts w:ascii="宋体" w:hAnsi="宋体" w:cs="宋体" w:eastAsia="宋体" w:hint="default"/>
                <w:sz w:val="21"/>
                <w:szCs w:val="21"/>
              </w:rPr>
              <w:t>股票上市之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日起三十六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08"/>
              <w:jc w:val="left"/>
              <w:rPr>
                <w:rFonts w:ascii="宋体" w:hAnsi="宋体" w:cs="宋体" w:eastAsia="宋体" w:hint="default"/>
                <w:sz w:val="21"/>
                <w:szCs w:val="21"/>
              </w:rPr>
            </w:pPr>
            <w:r>
              <w:rPr>
                <w:rFonts w:ascii="宋体" w:hAnsi="宋体" w:cs="宋体" w:eastAsia="宋体" w:hint="default"/>
                <w:sz w:val="21"/>
                <w:szCs w:val="21"/>
              </w:rPr>
              <w:t>严格遵守了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r>
    </w:tbl>
    <w:p>
      <w:pPr>
        <w:spacing w:after="0" w:line="273" w:lineRule="auto"/>
        <w:jc w:val="left"/>
        <w:rPr>
          <w:rFonts w:ascii="宋体" w:hAnsi="宋体" w:cs="宋体" w:eastAsia="宋体" w:hint="default"/>
          <w:sz w:val="21"/>
          <w:szCs w:val="21"/>
        </w:rPr>
        <w:sectPr>
          <w:pgSz w:w="11910" w:h="16840"/>
          <w:pgMar w:header="884" w:footer="1007" w:top="1140" w:bottom="1200" w:left="1140" w:right="980"/>
        </w:sectPr>
      </w:pPr>
    </w:p>
    <w:p>
      <w:pPr>
        <w:spacing w:line="240" w:lineRule="auto" w:before="6"/>
        <w:rPr>
          <w:rFonts w:ascii="宋体" w:hAnsi="宋体" w:cs="宋体" w:eastAsia="宋体" w:hint="default"/>
          <w:b/>
          <w:bCs/>
          <w:sz w:val="21"/>
          <w:szCs w:val="21"/>
        </w:rPr>
      </w:pPr>
    </w:p>
    <w:tbl>
      <w:tblPr>
        <w:tblW w:w="0" w:type="auto"/>
        <w:jc w:val="left"/>
        <w:tblInd w:w="103" w:type="dxa"/>
        <w:tblLayout w:type="fixed"/>
        <w:tblCellMar>
          <w:top w:w="0" w:type="dxa"/>
          <w:left w:w="0" w:type="dxa"/>
          <w:bottom w:w="0" w:type="dxa"/>
          <w:right w:w="0" w:type="dxa"/>
        </w:tblCellMar>
        <w:tblLook w:val="01E0"/>
      </w:tblPr>
      <w:tblGrid>
        <w:gridCol w:w="1738"/>
        <w:gridCol w:w="802"/>
        <w:gridCol w:w="3411"/>
        <w:gridCol w:w="1202"/>
        <w:gridCol w:w="1205"/>
        <w:gridCol w:w="1195"/>
      </w:tblGrid>
      <w:tr>
        <w:trPr>
          <w:trHeight w:val="4067" w:hRule="exact"/>
        </w:trPr>
        <w:tc>
          <w:tcPr>
            <w:tcW w:w="1738" w:type="dxa"/>
            <w:tcBorders>
              <w:top w:val="nil" w:sz="6" w:space="0" w:color="auto"/>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 w:right="12"/>
              <w:jc w:val="left"/>
              <w:rPr>
                <w:rFonts w:ascii="宋体" w:hAnsi="宋体" w:cs="宋体" w:eastAsia="宋体" w:hint="default"/>
                <w:sz w:val="21"/>
                <w:szCs w:val="21"/>
              </w:rPr>
            </w:pPr>
            <w:r>
              <w:rPr>
                <w:rFonts w:ascii="宋体" w:hAnsi="宋体" w:cs="宋体" w:eastAsia="宋体" w:hint="default"/>
                <w:spacing w:val="-2"/>
                <w:sz w:val="21"/>
                <w:szCs w:val="21"/>
              </w:rPr>
              <w:t>人股份，也不由发行人回购其持有的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股份。在担任公司董事或高级管理人</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员期间，每年转让的股份不超过本人</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所持发行人股份总数的百分之二十</w:t>
            </w:r>
            <w:r>
              <w:rPr>
                <w:rFonts w:ascii="宋体" w:hAnsi="宋体" w:cs="宋体" w:eastAsia="宋体" w:hint="default"/>
                <w:w w:val="100"/>
                <w:sz w:val="21"/>
                <w:szCs w:val="21"/>
              </w:rPr>
              <w:t> </w:t>
            </w:r>
            <w:r>
              <w:rPr>
                <w:rFonts w:ascii="宋体" w:hAnsi="宋体" w:cs="宋体" w:eastAsia="宋体" w:hint="default"/>
                <w:spacing w:val="-2"/>
                <w:sz w:val="21"/>
                <w:szCs w:val="21"/>
              </w:rPr>
              <w:t>五，离职后半年内，不转让所持有的</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发行人股份，如在公司首次公开发行</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股票上市之日起六个月内申报离职</w:t>
            </w:r>
            <w:r>
              <w:rPr>
                <w:rFonts w:ascii="宋体" w:hAnsi="宋体" w:cs="宋体" w:eastAsia="宋体" w:hint="default"/>
                <w:w w:val="100"/>
                <w:sz w:val="21"/>
                <w:szCs w:val="21"/>
              </w:rPr>
              <w:t> </w:t>
            </w:r>
            <w:r>
              <w:rPr>
                <w:rFonts w:ascii="宋体" w:hAnsi="宋体" w:cs="宋体" w:eastAsia="宋体" w:hint="default"/>
                <w:spacing w:val="-2"/>
                <w:sz w:val="21"/>
                <w:szCs w:val="21"/>
              </w:rPr>
              <w:t>的，自申报离职之日起十八个月内不</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pacing w:val="-2"/>
                <w:sz w:val="21"/>
                <w:szCs w:val="21"/>
              </w:rPr>
              <w:t>得转让其直接持有的本公司股份，在</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首次公开发行股票上市之日起第七</w:t>
            </w:r>
            <w:r>
              <w:rPr>
                <w:rFonts w:ascii="宋体" w:hAnsi="宋体" w:cs="宋体" w:eastAsia="宋体" w:hint="default"/>
                <w:w w:val="100"/>
                <w:sz w:val="21"/>
                <w:szCs w:val="21"/>
              </w:rPr>
              <w:t> </w:t>
            </w:r>
            <w:r>
              <w:rPr>
                <w:rFonts w:ascii="宋体" w:hAnsi="宋体" w:cs="宋体" w:eastAsia="宋体" w:hint="default"/>
                <w:spacing w:val="-2"/>
                <w:sz w:val="21"/>
                <w:szCs w:val="21"/>
              </w:rPr>
              <w:t>个月至第十二个月之内申报离职的，</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自申报离职之日起十二个月内不得</w:t>
            </w:r>
            <w:r>
              <w:rPr>
                <w:rFonts w:ascii="宋体" w:hAnsi="宋体" w:cs="宋体" w:eastAsia="宋体" w:hint="default"/>
                <w:w w:val="100"/>
                <w:sz w:val="21"/>
                <w:szCs w:val="21"/>
              </w:rPr>
              <w:t> </w:t>
            </w:r>
            <w:r>
              <w:rPr>
                <w:rFonts w:ascii="宋体" w:hAnsi="宋体" w:cs="宋体" w:eastAsia="宋体" w:hint="default"/>
                <w:sz w:val="21"/>
                <w:szCs w:val="21"/>
              </w:rPr>
              <w:t>转让其直接持有的本公司股份。</w:t>
            </w:r>
          </w:p>
        </w:tc>
        <w:tc>
          <w:tcPr>
            <w:tcW w:w="120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16"/>
              <w:jc w:val="both"/>
              <w:rPr>
                <w:rFonts w:ascii="宋体" w:hAnsi="宋体" w:cs="宋体" w:eastAsia="宋体" w:hint="default"/>
                <w:sz w:val="21"/>
                <w:szCs w:val="21"/>
              </w:rPr>
            </w:pPr>
            <w:r>
              <w:rPr>
                <w:rFonts w:ascii="宋体" w:hAnsi="宋体" w:cs="宋体" w:eastAsia="宋体" w:hint="default"/>
                <w:sz w:val="21"/>
                <w:szCs w:val="21"/>
              </w:rPr>
              <w:t>个月内以及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担任公司董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事、高管人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员期间</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4" w:right="19"/>
              <w:jc w:val="left"/>
              <w:rPr>
                <w:rFonts w:ascii="宋体" w:hAnsi="宋体" w:cs="宋体" w:eastAsia="宋体" w:hint="default"/>
                <w:sz w:val="21"/>
                <w:szCs w:val="21"/>
              </w:rPr>
            </w:pPr>
            <w:r>
              <w:rPr>
                <w:rFonts w:ascii="宋体" w:hAnsi="宋体" w:cs="宋体" w:eastAsia="宋体" w:hint="default"/>
                <w:sz w:val="21"/>
                <w:szCs w:val="21"/>
              </w:rPr>
              <w:t>其他对公司中小股</w:t>
            </w:r>
            <w:r>
              <w:rPr>
                <w:rFonts w:ascii="宋体" w:hAnsi="宋体" w:cs="宋体" w:eastAsia="宋体" w:hint="default"/>
                <w:w w:val="100"/>
                <w:sz w:val="21"/>
                <w:szCs w:val="21"/>
              </w:rPr>
              <w:t> </w:t>
            </w:r>
            <w:r>
              <w:rPr>
                <w:rFonts w:ascii="宋体" w:hAnsi="宋体" w:cs="宋体" w:eastAsia="宋体" w:hint="default"/>
                <w:sz w:val="21"/>
                <w:szCs w:val="21"/>
              </w:rPr>
              <w:t>东所作承诺</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2" w:right="120"/>
              <w:jc w:val="left"/>
              <w:rPr>
                <w:rFonts w:ascii="宋体" w:hAnsi="宋体" w:cs="宋体" w:eastAsia="宋体" w:hint="default"/>
                <w:sz w:val="21"/>
                <w:szCs w:val="21"/>
              </w:rPr>
            </w:pPr>
            <w:r>
              <w:rPr>
                <w:rFonts w:ascii="宋体" w:hAnsi="宋体" w:cs="宋体" w:eastAsia="宋体" w:hint="default"/>
                <w:sz w:val="21"/>
                <w:szCs w:val="21"/>
              </w:rPr>
              <w:t>对其所持公司首次公开发行前股份</w:t>
            </w:r>
            <w:r>
              <w:rPr>
                <w:rFonts w:ascii="宋体" w:hAnsi="宋体" w:cs="宋体" w:eastAsia="宋体" w:hint="default"/>
                <w:w w:val="100"/>
                <w:sz w:val="21"/>
                <w:szCs w:val="21"/>
              </w:rPr>
              <w:t> </w:t>
            </w:r>
            <w:r>
              <w:rPr>
                <w:rFonts w:ascii="宋体" w:hAnsi="宋体" w:cs="宋体" w:eastAsia="宋体" w:hint="default"/>
                <w:sz w:val="21"/>
                <w:szCs w:val="21"/>
              </w:rPr>
              <w:t>在</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日解禁后三个月</w:t>
            </w:r>
            <w:r>
              <w:rPr>
                <w:rFonts w:ascii="宋体" w:hAnsi="宋体" w:cs="宋体" w:eastAsia="宋体" w:hint="default"/>
                <w:w w:val="100"/>
                <w:sz w:val="21"/>
                <w:szCs w:val="21"/>
              </w:rPr>
              <w:t> </w:t>
            </w:r>
            <w:r>
              <w:rPr>
                <w:rFonts w:ascii="宋体" w:hAnsi="宋体" w:cs="宋体" w:eastAsia="宋体" w:hint="default"/>
                <w:sz w:val="21"/>
                <w:szCs w:val="21"/>
              </w:rPr>
              <w:t>不会减持</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1"/>
                <w:sz w:val="21"/>
                <w:szCs w:val="21"/>
              </w:rPr>
              <w:t> </w:t>
            </w:r>
            <w:r>
              <w:rPr>
                <w:rFonts w:ascii="宋体" w:hAnsi="宋体" w:cs="宋体" w:eastAsia="宋体" w:hint="default"/>
                <w:sz w:val="21"/>
                <w:szCs w:val="21"/>
              </w:rPr>
              <w:t>月</w:t>
            </w:r>
          </w:p>
          <w:p>
            <w:pPr>
              <w:pStyle w:val="TableParagraph"/>
              <w:spacing w:line="240" w:lineRule="auto" w:before="21"/>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25 </w:t>
            </w:r>
            <w:r>
              <w:rPr>
                <w:rFonts w:ascii="宋体" w:hAnsi="宋体" w:cs="宋体" w:eastAsia="宋体" w:hint="default"/>
                <w:sz w:val="21"/>
                <w:szCs w:val="21"/>
              </w:rPr>
              <w:t>日至</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2013</w:t>
            </w:r>
          </w:p>
          <w:p>
            <w:pPr>
              <w:pStyle w:val="TableParagraph"/>
              <w:spacing w:line="240" w:lineRule="auto" w:before="21"/>
              <w:ind w:left="2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1" w:right="108"/>
              <w:jc w:val="left"/>
              <w:rPr>
                <w:rFonts w:ascii="宋体" w:hAnsi="宋体" w:cs="宋体" w:eastAsia="宋体" w:hint="default"/>
                <w:sz w:val="21"/>
                <w:szCs w:val="21"/>
              </w:rPr>
            </w:pPr>
            <w:r>
              <w:rPr>
                <w:rFonts w:ascii="宋体" w:hAnsi="宋体" w:cs="宋体" w:eastAsia="宋体" w:hint="default"/>
                <w:sz w:val="21"/>
                <w:szCs w:val="21"/>
              </w:rPr>
              <w:t>严格遵守了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承诺</w:t>
            </w:r>
          </w:p>
        </w:tc>
      </w:tr>
      <w:tr>
        <w:trPr>
          <w:trHeight w:val="322"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78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36"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9"/>
              <w:jc w:val="left"/>
              <w:rPr>
                <w:rFonts w:ascii="宋体" w:hAnsi="宋体" w:cs="宋体" w:eastAsia="宋体" w:hint="default"/>
                <w:sz w:val="21"/>
                <w:szCs w:val="21"/>
              </w:rPr>
            </w:pPr>
            <w:r>
              <w:rPr>
                <w:rFonts w:ascii="宋体" w:hAnsi="宋体" w:cs="宋体" w:eastAsia="宋体" w:hint="default"/>
                <w:sz w:val="21"/>
                <w:szCs w:val="21"/>
              </w:rPr>
              <w:t>未完成履行的具体</w:t>
            </w:r>
            <w:r>
              <w:rPr>
                <w:rFonts w:ascii="宋体" w:hAnsi="宋体" w:cs="宋体" w:eastAsia="宋体" w:hint="default"/>
                <w:w w:val="100"/>
                <w:sz w:val="21"/>
                <w:szCs w:val="21"/>
              </w:rPr>
              <w:t> </w:t>
            </w:r>
            <w:r>
              <w:rPr>
                <w:rFonts w:ascii="宋体" w:hAnsi="宋体" w:cs="宋体" w:eastAsia="宋体" w:hint="default"/>
                <w:sz w:val="21"/>
                <w:szCs w:val="21"/>
              </w:rPr>
              <w:t>原因及下一步计划</w:t>
            </w:r>
          </w:p>
        </w:tc>
        <w:tc>
          <w:tcPr>
            <w:tcW w:w="78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946"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9"/>
              <w:jc w:val="both"/>
              <w:rPr>
                <w:rFonts w:ascii="宋体" w:hAnsi="宋体" w:cs="宋体" w:eastAsia="宋体" w:hint="default"/>
                <w:sz w:val="21"/>
                <w:szCs w:val="21"/>
              </w:rPr>
            </w:pPr>
            <w:r>
              <w:rPr>
                <w:rFonts w:ascii="宋体" w:hAnsi="宋体" w:cs="宋体" w:eastAsia="宋体" w:hint="default"/>
                <w:sz w:val="21"/>
                <w:szCs w:val="21"/>
              </w:rPr>
              <w:t>是否就导致的同业</w:t>
            </w:r>
            <w:r>
              <w:rPr>
                <w:rFonts w:ascii="宋体" w:hAnsi="宋体" w:cs="宋体" w:eastAsia="宋体" w:hint="default"/>
                <w:w w:val="100"/>
                <w:sz w:val="21"/>
                <w:szCs w:val="21"/>
              </w:rPr>
              <w:t> </w:t>
            </w:r>
            <w:r>
              <w:rPr>
                <w:rFonts w:ascii="宋体" w:hAnsi="宋体" w:cs="宋体" w:eastAsia="宋体" w:hint="default"/>
                <w:sz w:val="21"/>
                <w:szCs w:val="21"/>
              </w:rPr>
              <w:t>竞争和关联交易问</w:t>
            </w:r>
            <w:r>
              <w:rPr>
                <w:rFonts w:ascii="宋体" w:hAnsi="宋体" w:cs="宋体" w:eastAsia="宋体" w:hint="default"/>
                <w:w w:val="100"/>
                <w:sz w:val="21"/>
                <w:szCs w:val="21"/>
              </w:rPr>
              <w:t> </w:t>
            </w:r>
            <w:r>
              <w:rPr>
                <w:rFonts w:ascii="宋体" w:hAnsi="宋体" w:cs="宋体" w:eastAsia="宋体" w:hint="default"/>
                <w:sz w:val="21"/>
                <w:szCs w:val="21"/>
              </w:rPr>
              <w:t>题作出承诺</w:t>
            </w:r>
          </w:p>
        </w:tc>
        <w:tc>
          <w:tcPr>
            <w:tcW w:w="78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否，不存在同业竞争情况。</w:t>
            </w:r>
          </w:p>
        </w:tc>
      </w:tr>
      <w:tr>
        <w:trPr>
          <w:trHeight w:val="322"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承诺的解决期限</w:t>
            </w:r>
          </w:p>
        </w:tc>
        <w:tc>
          <w:tcPr>
            <w:tcW w:w="78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2"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解决方式</w:t>
            </w:r>
          </w:p>
        </w:tc>
        <w:tc>
          <w:tcPr>
            <w:tcW w:w="78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2"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承诺的履行情况</w:t>
            </w:r>
          </w:p>
        </w:tc>
        <w:tc>
          <w:tcPr>
            <w:tcW w:w="7816" w:type="dxa"/>
            <w:gridSpan w:val="5"/>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12"/>
        <w:rPr>
          <w:rFonts w:ascii="宋体" w:hAnsi="宋体" w:cs="宋体" w:eastAsia="宋体" w:hint="default"/>
          <w:b/>
          <w:bCs/>
          <w:sz w:val="23"/>
          <w:szCs w:val="23"/>
        </w:rPr>
      </w:pPr>
    </w:p>
    <w:p>
      <w:pPr>
        <w:pStyle w:val="Heading4"/>
        <w:spacing w:line="338" w:lineRule="auto" w:before="26"/>
        <w:ind w:right="0"/>
        <w:jc w:val="left"/>
        <w:rPr>
          <w:b w:val="0"/>
          <w:bCs w:val="0"/>
        </w:rPr>
      </w:pPr>
      <w:bookmarkStart w:name="_bookmark60" w:id="61"/>
      <w:bookmarkEnd w:id="61"/>
      <w:r>
        <w:rPr>
          <w:b w:val="0"/>
          <w:bCs w:val="0"/>
        </w:rPr>
      </w:r>
      <w:r>
        <w:rPr>
          <w:rFonts w:ascii="Times New Roman" w:hAnsi="Times New Roman" w:cs="Times New Roman" w:eastAsia="Times New Roman" w:hint="default"/>
          <w:w w:val="95"/>
        </w:rPr>
        <w:t>2</w:t>
      </w:r>
      <w:r>
        <w:rPr>
          <w:w w:val="95"/>
        </w:rPr>
        <w:t>、公司资产或项目存在盈利预测，且报告期仍处在盈利预测期间，公司就资产或项目达到</w:t>
      </w:r>
      <w:r>
        <w:rPr>
          <w:spacing w:val="103"/>
          <w:w w:val="95"/>
        </w:rPr>
        <w:t> </w:t>
      </w:r>
      <w:r>
        <w:rPr>
          <w:spacing w:val="103"/>
          <w:w w:val="95"/>
        </w:rPr>
      </w:r>
      <w:r>
        <w:rPr/>
        <w:t>原盈利预测及其原因做出说明</w:t>
      </w:r>
      <w:r>
        <w:rPr>
          <w:b w:val="0"/>
          <w:bCs w:val="0"/>
        </w:rPr>
      </w:r>
    </w:p>
    <w:p>
      <w:pPr>
        <w:spacing w:line="240" w:lineRule="auto" w:before="2"/>
        <w:rPr>
          <w:rFonts w:ascii="宋体" w:hAnsi="宋体" w:cs="宋体" w:eastAsia="宋体" w:hint="default"/>
          <w:b/>
          <w:bCs/>
          <w:sz w:val="27"/>
          <w:szCs w:val="27"/>
        </w:rPr>
      </w:pPr>
    </w:p>
    <w:p>
      <w:pPr>
        <w:spacing w:line="484" w:lineRule="auto" w:before="0"/>
        <w:ind w:left="137" w:right="6015" w:firstLine="0"/>
        <w:jc w:val="left"/>
        <w:rPr>
          <w:rFonts w:ascii="宋体" w:hAnsi="宋体" w:cs="宋体" w:eastAsia="宋体" w:hint="default"/>
          <w:sz w:val="24"/>
          <w:szCs w:val="24"/>
        </w:rPr>
      </w:pPr>
      <w:r>
        <w:rPr/>
        <w:pict>
          <v:shape style="position:absolute;margin-left:62.771999pt;margin-top:82.805641pt;width:477.85pt;height:66.2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22"/>
                    <w:gridCol w:w="4820"/>
                  </w:tblGrid>
                  <w:tr>
                    <w:trPr>
                      <w:trHeight w:val="322" w:hRule="exact"/>
                    </w:trPr>
                    <w:tc>
                      <w:tcPr>
                        <w:tcW w:w="4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820" w:type="dxa"/>
                        <w:tcBorders>
                          <w:top w:val="single" w:sz="4" w:space="0" w:color="000000"/>
                          <w:left w:val="single" w:sz="10" w:space="0" w:color="D2D2D2"/>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322" w:hRule="exact"/>
                    </w:trPr>
                    <w:tc>
                      <w:tcPr>
                        <w:tcW w:w="4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48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35</w:t>
                        </w:r>
                      </w:p>
                    </w:tc>
                  </w:tr>
                  <w:tr>
                    <w:trPr>
                      <w:trHeight w:val="322" w:hRule="exact"/>
                    </w:trPr>
                    <w:tc>
                      <w:tcPr>
                        <w:tcW w:w="4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4820" w:type="dxa"/>
                        <w:tcBorders>
                          <w:top w:val="single" w:sz="4" w:space="0" w:color="000000"/>
                          <w:left w:val="single" w:sz="10" w:space="0" w:color="D2D2D2"/>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50" w:hRule="exact"/>
                    </w:trPr>
                    <w:tc>
                      <w:tcPr>
                        <w:tcW w:w="4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left="2" w:right="0"/>
                          <w:jc w:val="center"/>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48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21"/>
                            <w:szCs w:val="21"/>
                          </w:rPr>
                        </w:pPr>
                        <w:r>
                          <w:rPr>
                            <w:rFonts w:ascii="宋体" w:hAnsi="宋体" w:cs="宋体" w:eastAsia="宋体" w:hint="default"/>
                            <w:sz w:val="21"/>
                            <w:szCs w:val="21"/>
                          </w:rPr>
                          <w:t>王涛、郑宏</w:t>
                        </w:r>
                      </w:p>
                    </w:tc>
                  </w:tr>
                </w:tbl>
                <w:p>
                  <w:pPr/>
                </w:p>
              </w:txbxContent>
            </v:textbox>
            <w10:wrap type="none"/>
          </v:shape>
        </w:pict>
      </w:r>
      <w:r>
        <w:rPr>
          <w:rFonts w:ascii="Times New Roman" w:hAnsi="Times New Roman" w:cs="Times New Roman" w:eastAsia="Times New Roman" w:hint="default"/>
          <w:sz w:val="24"/>
          <w:szCs w:val="24"/>
        </w:rPr>
        <w:t>□ </w:t>
      </w:r>
      <w:r>
        <w:rPr>
          <w:rFonts w:ascii="宋体" w:hAnsi="宋体" w:cs="宋体" w:eastAsia="宋体" w:hint="default"/>
          <w:sz w:val="24"/>
          <w:szCs w:val="24"/>
        </w:rPr>
        <w:t>适用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8"/>
          <w:sz w:val="24"/>
          <w:szCs w:val="24"/>
        </w:rPr>
        <w:t> </w:t>
      </w:r>
      <w:r>
        <w:rPr>
          <w:rFonts w:ascii="宋体" w:hAnsi="宋体" w:cs="宋体" w:eastAsia="宋体" w:hint="default"/>
          <w:sz w:val="24"/>
          <w:szCs w:val="24"/>
        </w:rPr>
        <w:t>不适用 </w:t>
      </w:r>
      <w:bookmarkStart w:name="_bookmark61" w:id="62"/>
      <w:bookmarkEnd w:id="62"/>
      <w:r>
        <w:rPr>
          <w:rFonts w:ascii="宋体" w:hAnsi="宋体" w:cs="宋体" w:eastAsia="宋体" w:hint="default"/>
          <w:sz w:val="24"/>
          <w:szCs w:val="24"/>
        </w:rPr>
      </w:r>
      <w:r>
        <w:rPr>
          <w:rFonts w:ascii="宋体" w:hAnsi="宋体" w:cs="宋体" w:eastAsia="宋体" w:hint="default"/>
          <w:b/>
          <w:bCs/>
          <w:sz w:val="24"/>
          <w:szCs w:val="24"/>
        </w:rPr>
        <w:t>九、聘任、解聘会计师事务所情况</w:t>
      </w:r>
      <w:r>
        <w:rPr>
          <w:rFonts w:ascii="宋体" w:hAnsi="宋体" w:cs="宋体" w:eastAsia="宋体" w:hint="default"/>
          <w:b/>
          <w:bCs/>
          <w:w w:val="99"/>
          <w:sz w:val="24"/>
          <w:szCs w:val="24"/>
        </w:rPr>
        <w:t> </w:t>
      </w:r>
      <w:r>
        <w:rPr>
          <w:rFonts w:ascii="宋体" w:hAnsi="宋体" w:cs="宋体" w:eastAsia="宋体" w:hint="default"/>
          <w:sz w:val="24"/>
          <w:szCs w:val="24"/>
        </w:rPr>
        <w:t>现聘任的会计事务所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BodyText"/>
        <w:spacing w:line="240" w:lineRule="auto" w:before="26"/>
        <w:ind w:left="137" w:right="0"/>
        <w:jc w:val="left"/>
      </w:pPr>
      <w:r>
        <w:rPr/>
        <w:t>是否改聘会计师事务所</w:t>
      </w:r>
    </w:p>
    <w:p>
      <w:pPr>
        <w:pStyle w:val="BodyText"/>
        <w:spacing w:line="240" w:lineRule="auto" w:before="154"/>
        <w:ind w:left="137"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after="0" w:line="240" w:lineRule="auto"/>
        <w:jc w:val="left"/>
        <w:sectPr>
          <w:pgSz w:w="11910" w:h="16840"/>
          <w:pgMar w:header="884" w:footer="1007" w:top="1140" w:bottom="1200" w:left="1140" w:right="980"/>
        </w:sectPr>
      </w:pPr>
    </w:p>
    <w:p>
      <w:pPr>
        <w:spacing w:line="240" w:lineRule="auto" w:before="6"/>
        <w:rPr>
          <w:rFonts w:ascii="宋体" w:hAnsi="宋体" w:cs="宋体" w:eastAsia="宋体" w:hint="default"/>
          <w:sz w:val="22"/>
          <w:szCs w:val="22"/>
        </w:rPr>
      </w:pPr>
    </w:p>
    <w:p>
      <w:pPr>
        <w:pStyle w:val="Heading4"/>
        <w:spacing w:line="357" w:lineRule="auto" w:before="26"/>
        <w:ind w:right="0"/>
        <w:jc w:val="left"/>
        <w:rPr>
          <w:b w:val="0"/>
          <w:bCs w:val="0"/>
        </w:rPr>
      </w:pPr>
      <w:bookmarkStart w:name="_bookmark62" w:id="63"/>
      <w:bookmarkEnd w:id="63"/>
      <w:r>
        <w:rPr>
          <w:b w:val="0"/>
          <w:bCs w:val="0"/>
        </w:rPr>
      </w:r>
      <w:r>
        <w:rPr>
          <w:spacing w:val="3"/>
          <w:w w:val="95"/>
        </w:rPr>
        <w:t>十、上市公司及其董事、监事、高级管理人员、公司股东、实际控制人和收购人处罚及整</w:t>
      </w:r>
      <w:r>
        <w:rPr>
          <w:spacing w:val="86"/>
          <w:w w:val="95"/>
        </w:rPr>
        <w:t> </w:t>
      </w:r>
      <w:r>
        <w:rPr>
          <w:spacing w:val="86"/>
          <w:w w:val="95"/>
        </w:rPr>
      </w:r>
      <w:r>
        <w:rPr/>
        <w:t>改情况</w:t>
      </w:r>
      <w:r>
        <w:rPr>
          <w:b w:val="0"/>
          <w:bCs w:val="0"/>
        </w:rPr>
      </w:r>
    </w:p>
    <w:p>
      <w:pPr>
        <w:spacing w:line="240" w:lineRule="auto" w:before="9"/>
        <w:rPr>
          <w:rFonts w:ascii="宋体" w:hAnsi="宋体" w:cs="宋体" w:eastAsia="宋体" w:hint="default"/>
          <w:b/>
          <w:bCs/>
          <w:sz w:val="25"/>
          <w:szCs w:val="25"/>
        </w:rPr>
      </w:pPr>
    </w:p>
    <w:p>
      <w:pPr>
        <w:pStyle w:val="BodyText"/>
        <w:spacing w:line="338" w:lineRule="auto"/>
        <w:ind w:left="137" w:right="26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 上市公司及其子公司是否被列入环保部门公布的污染严重企业名单</w:t>
      </w:r>
    </w:p>
    <w:p>
      <w:pPr>
        <w:pStyle w:val="BodyText"/>
        <w:spacing w:line="338" w:lineRule="auto" w:before="55"/>
        <w:ind w:left="137" w:right="410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上市公司及其子公司是否存在其他重大社会安全问题</w:t>
      </w:r>
    </w:p>
    <w:p>
      <w:pPr>
        <w:pStyle w:val="BodyText"/>
        <w:spacing w:line="338" w:lineRule="auto" w:before="55"/>
        <w:ind w:left="137" w:right="69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报告期内是否被行政处罚</w:t>
      </w:r>
    </w:p>
    <w:p>
      <w:pPr>
        <w:spacing w:line="482" w:lineRule="auto" w:before="55"/>
        <w:ind w:left="137" w:right="1919"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 </w:t>
      </w:r>
      <w:r>
        <w:rPr>
          <w:rFonts w:ascii="宋体" w:hAnsi="宋体" w:cs="宋体" w:eastAsia="宋体" w:hint="default"/>
          <w:sz w:val="24"/>
          <w:szCs w:val="24"/>
        </w:rPr>
        <w:t>是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59"/>
          <w:sz w:val="24"/>
          <w:szCs w:val="24"/>
        </w:rPr>
        <w:t> </w:t>
      </w:r>
      <w:r>
        <w:rPr>
          <w:rFonts w:ascii="宋体" w:hAnsi="宋体" w:cs="宋体" w:eastAsia="宋体" w:hint="default"/>
          <w:sz w:val="24"/>
          <w:szCs w:val="24"/>
        </w:rPr>
        <w:t>否 </w:t>
      </w:r>
      <w:bookmarkStart w:name="_bookmark63" w:id="64"/>
      <w:bookmarkEnd w:id="64"/>
      <w:r>
        <w:rPr>
          <w:rFonts w:ascii="宋体" w:hAnsi="宋体" w:cs="宋体" w:eastAsia="宋体" w:hint="default"/>
          <w:sz w:val="24"/>
          <w:szCs w:val="24"/>
        </w:rPr>
      </w:r>
      <w:r>
        <w:rPr>
          <w:rFonts w:ascii="宋体" w:hAnsi="宋体" w:cs="宋体" w:eastAsia="宋体" w:hint="default"/>
          <w:b/>
          <w:bCs/>
          <w:sz w:val="24"/>
          <w:szCs w:val="24"/>
        </w:rPr>
        <w:t>十一、公司股东及其一致行动人在报告期提出或实施股份增持计划的情况</w:t>
      </w:r>
      <w:r>
        <w:rPr>
          <w:rFonts w:ascii="宋体" w:hAnsi="宋体" w:cs="宋体" w:eastAsia="宋体" w:hint="default"/>
          <w:b/>
          <w:bCs/>
          <w:w w:val="99"/>
          <w:sz w:val="24"/>
          <w:szCs w:val="24"/>
        </w:rPr>
        <w:t> </w:t>
      </w:r>
      <w:r>
        <w:rPr>
          <w:rFonts w:ascii="宋体" w:hAnsi="宋体" w:cs="宋体" w:eastAsia="宋体" w:hint="default"/>
          <w:sz w:val="24"/>
          <w:szCs w:val="24"/>
        </w:rPr>
        <w:t>无</w:t>
      </w:r>
    </w:p>
    <w:p>
      <w:pPr>
        <w:pStyle w:val="Heading4"/>
        <w:spacing w:line="441" w:lineRule="auto" w:before="58"/>
        <w:ind w:right="480"/>
        <w:jc w:val="left"/>
        <w:rPr>
          <w:rFonts w:ascii="宋体" w:hAnsi="宋体" w:cs="宋体" w:eastAsia="宋体" w:hint="default"/>
          <w:b w:val="0"/>
          <w:bCs w:val="0"/>
        </w:rPr>
      </w:pPr>
      <w:bookmarkStart w:name="_bookmark64" w:id="65"/>
      <w:bookmarkEnd w:id="65"/>
      <w:r>
        <w:rPr>
          <w:b w:val="0"/>
          <w:bCs w:val="0"/>
        </w:rPr>
      </w:r>
      <w:r>
        <w:rPr/>
        <w:t>十二、</w:t>
      </w:r>
      <w:r>
        <w:rPr>
          <w:rFonts w:ascii="Times New Roman" w:hAnsi="Times New Roman" w:cs="Times New Roman" w:eastAsia="Times New Roman" w:hint="default"/>
        </w:rPr>
        <w:t>2012 </w:t>
      </w:r>
      <w:r>
        <w:rPr/>
        <w:t>年董事、监事、高级管理人员、持股</w:t>
      </w:r>
      <w:r>
        <w:rPr>
          <w:spacing w:val="-64"/>
        </w:rPr>
        <w:t> </w:t>
      </w:r>
      <w:r>
        <w:rPr>
          <w:rFonts w:ascii="Times New Roman" w:hAnsi="Times New Roman" w:cs="Times New Roman" w:eastAsia="Times New Roman" w:hint="default"/>
        </w:rPr>
        <w:t>5%</w:t>
      </w:r>
      <w:r>
        <w:rPr/>
        <w:t>以上的股东违规买卖公司股票情况</w:t>
      </w:r>
      <w:r>
        <w:rPr>
          <w:w w:val="99"/>
        </w:rPr>
        <w:t> </w:t>
      </w:r>
      <w:r>
        <w:rPr>
          <w:rFonts w:ascii="宋体" w:hAnsi="宋体" w:cs="宋体" w:eastAsia="宋体" w:hint="default"/>
          <w:b w:val="0"/>
          <w:bCs w:val="0"/>
        </w:rPr>
        <w:t>无此情况。</w:t>
      </w:r>
    </w:p>
    <w:p>
      <w:pPr>
        <w:spacing w:line="468" w:lineRule="auto" w:before="98"/>
        <w:ind w:left="137" w:right="4087" w:firstLine="0"/>
        <w:jc w:val="left"/>
        <w:rPr>
          <w:rFonts w:ascii="宋体" w:hAnsi="宋体" w:cs="宋体" w:eastAsia="宋体" w:hint="default"/>
          <w:sz w:val="24"/>
          <w:szCs w:val="24"/>
        </w:rPr>
      </w:pPr>
      <w:bookmarkStart w:name="_bookmark65" w:id="66"/>
      <w:bookmarkEnd w:id="66"/>
      <w:r>
        <w:rPr/>
      </w:r>
      <w:r>
        <w:rPr>
          <w:rFonts w:ascii="宋体" w:hAnsi="宋体" w:cs="宋体" w:eastAsia="宋体" w:hint="default"/>
          <w:b/>
          <w:bCs/>
          <w:sz w:val="24"/>
          <w:szCs w:val="24"/>
        </w:rPr>
        <w:t>十三、违规对外担保情况</w:t>
      </w:r>
      <w:r>
        <w:rPr>
          <w:rFonts w:ascii="宋体" w:hAnsi="宋体" w:cs="宋体" w:eastAsia="宋体" w:hint="default"/>
          <w:b/>
          <w:bCs/>
          <w:w w:val="99"/>
          <w:sz w:val="24"/>
          <w:szCs w:val="24"/>
        </w:rPr>
        <w:t> </w:t>
      </w:r>
      <w:r>
        <w:rPr>
          <w:rFonts w:ascii="宋体" w:hAnsi="宋体" w:cs="宋体" w:eastAsia="宋体" w:hint="default"/>
          <w:sz w:val="24"/>
          <w:szCs w:val="24"/>
        </w:rPr>
        <w:t>报告期内，公司不存在对外担保情况。 </w:t>
      </w:r>
      <w:bookmarkStart w:name="_bookmark66" w:id="67"/>
      <w:bookmarkEnd w:id="67"/>
      <w:r>
        <w:rPr>
          <w:rFonts w:ascii="宋体" w:hAnsi="宋体" w:cs="宋体" w:eastAsia="宋体" w:hint="default"/>
          <w:sz w:val="24"/>
          <w:szCs w:val="24"/>
        </w:rPr>
      </w:r>
      <w:r>
        <w:rPr>
          <w:rFonts w:ascii="宋体" w:hAnsi="宋体" w:cs="宋体" w:eastAsia="宋体" w:hint="default"/>
          <w:b/>
          <w:bCs/>
          <w:sz w:val="24"/>
          <w:szCs w:val="24"/>
        </w:rPr>
        <w:t>十四、年度报告披露后面临暂停上市和终止上市情况</w:t>
      </w:r>
      <w:r>
        <w:rPr>
          <w:rFonts w:ascii="宋体" w:hAnsi="宋体" w:cs="宋体" w:eastAsia="宋体" w:hint="default"/>
          <w:b/>
          <w:bCs/>
          <w:w w:val="99"/>
          <w:sz w:val="24"/>
          <w:szCs w:val="24"/>
        </w:rPr>
        <w:t> </w:t>
      </w:r>
      <w:r>
        <w:rPr>
          <w:rFonts w:ascii="宋体" w:hAnsi="宋体" w:cs="宋体" w:eastAsia="宋体" w:hint="default"/>
          <w:sz w:val="24"/>
          <w:szCs w:val="24"/>
        </w:rPr>
        <w:t>不存在此情况。</w:t>
      </w:r>
    </w:p>
    <w:p>
      <w:pPr>
        <w:spacing w:line="468" w:lineRule="auto" w:before="72"/>
        <w:ind w:left="137" w:right="6029" w:firstLine="0"/>
        <w:jc w:val="left"/>
        <w:rPr>
          <w:rFonts w:ascii="宋体" w:hAnsi="宋体" w:cs="宋体" w:eastAsia="宋体" w:hint="default"/>
          <w:sz w:val="24"/>
          <w:szCs w:val="24"/>
        </w:rPr>
      </w:pPr>
      <w:bookmarkStart w:name="_bookmark67" w:id="68"/>
      <w:bookmarkEnd w:id="68"/>
      <w:r>
        <w:rPr/>
      </w:r>
      <w:r>
        <w:rPr>
          <w:rFonts w:ascii="宋体" w:hAnsi="宋体" w:cs="宋体" w:eastAsia="宋体" w:hint="default"/>
          <w:b/>
          <w:bCs/>
          <w:sz w:val="24"/>
          <w:szCs w:val="24"/>
        </w:rPr>
        <w:t>十五、其他重大事项的说明</w:t>
      </w:r>
      <w:r>
        <w:rPr>
          <w:rFonts w:ascii="宋体" w:hAnsi="宋体" w:cs="宋体" w:eastAsia="宋体" w:hint="default"/>
          <w:b/>
          <w:bCs/>
          <w:w w:val="99"/>
          <w:sz w:val="24"/>
          <w:szCs w:val="24"/>
        </w:rPr>
        <w:t> </w:t>
      </w:r>
      <w:r>
        <w:rPr>
          <w:rFonts w:ascii="宋体" w:hAnsi="宋体" w:cs="宋体" w:eastAsia="宋体" w:hint="default"/>
          <w:sz w:val="24"/>
          <w:szCs w:val="24"/>
        </w:rPr>
        <w:t>报告期内，公司无其他重大事项。</w:t>
      </w:r>
    </w:p>
    <w:p>
      <w:pPr>
        <w:spacing w:after="0" w:line="468" w:lineRule="auto"/>
        <w:jc w:val="left"/>
        <w:rPr>
          <w:rFonts w:ascii="宋体" w:hAnsi="宋体" w:cs="宋体" w:eastAsia="宋体" w:hint="default"/>
          <w:sz w:val="24"/>
          <w:szCs w:val="24"/>
        </w:rPr>
        <w:sectPr>
          <w:pgSz w:w="11910" w:h="16840"/>
          <w:pgMar w:header="884" w:footer="1007" w:top="1140" w:bottom="1200" w:left="114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ind w:left="2878" w:right="89"/>
        <w:jc w:val="left"/>
        <w:rPr>
          <w:b w:val="0"/>
          <w:bCs w:val="0"/>
        </w:rPr>
      </w:pPr>
      <w:bookmarkStart w:name="_bookmark68" w:id="69"/>
      <w:bookmarkEnd w:id="69"/>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right="89"/>
        <w:jc w:val="left"/>
        <w:rPr>
          <w:b w:val="0"/>
          <w:bCs w:val="0"/>
        </w:rPr>
      </w:pPr>
      <w:bookmarkStart w:name="_bookmark69" w:id="70"/>
      <w:bookmarkEnd w:id="70"/>
      <w:r>
        <w:rPr>
          <w:b w:val="0"/>
          <w:bCs w:val="0"/>
        </w:rPr>
      </w:r>
      <w:r>
        <w:rPr/>
        <w:t>一、股份变动情况</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right="89"/>
        <w:jc w:val="left"/>
        <w:rPr>
          <w:b w:val="0"/>
          <w:bCs w:val="0"/>
        </w:rPr>
      </w:pPr>
      <w:bookmarkStart w:name="_bookmark70" w:id="71"/>
      <w:bookmarkEnd w:id="71"/>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4"/>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2004"/>
        <w:gridCol w:w="1239"/>
        <w:gridCol w:w="706"/>
        <w:gridCol w:w="422"/>
        <w:gridCol w:w="422"/>
        <w:gridCol w:w="564"/>
        <w:gridCol w:w="1133"/>
        <w:gridCol w:w="1133"/>
        <w:gridCol w:w="1107"/>
        <w:gridCol w:w="811"/>
      </w:tblGrid>
      <w:tr>
        <w:trPr>
          <w:trHeight w:val="323" w:hRule="exact"/>
        </w:trPr>
        <w:tc>
          <w:tcPr>
            <w:tcW w:w="2004" w:type="dxa"/>
            <w:vMerge w:val="restart"/>
            <w:tcBorders>
              <w:top w:val="single" w:sz="4" w:space="0" w:color="000000"/>
              <w:left w:val="single" w:sz="4" w:space="0" w:color="000000"/>
              <w:right w:val="single" w:sz="4" w:space="0" w:color="000000"/>
            </w:tcBorders>
            <w:shd w:val="clear" w:color="auto" w:fill="D2D2D2"/>
          </w:tcPr>
          <w:p>
            <w:pPr/>
          </w:p>
        </w:tc>
        <w:tc>
          <w:tcPr>
            <w:tcW w:w="19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3" w:right="0"/>
              <w:jc w:val="left"/>
              <w:rPr>
                <w:rFonts w:ascii="宋体" w:hAnsi="宋体" w:cs="宋体" w:eastAsia="宋体" w:hint="default"/>
                <w:sz w:val="21"/>
                <w:szCs w:val="21"/>
              </w:rPr>
            </w:pPr>
            <w:r>
              <w:rPr>
                <w:rFonts w:ascii="宋体" w:hAnsi="宋体" w:cs="宋体" w:eastAsia="宋体" w:hint="default"/>
                <w:b/>
                <w:bCs/>
                <w:sz w:val="21"/>
                <w:szCs w:val="21"/>
              </w:rPr>
              <w:t>本次变动前</w:t>
            </w:r>
            <w:r>
              <w:rPr>
                <w:rFonts w:ascii="宋体" w:hAnsi="宋体" w:cs="宋体" w:eastAsia="宋体" w:hint="default"/>
                <w:sz w:val="21"/>
                <w:szCs w:val="21"/>
              </w:rPr>
            </w:r>
          </w:p>
        </w:tc>
        <w:tc>
          <w:tcPr>
            <w:tcW w:w="36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72" w:right="0"/>
              <w:jc w:val="left"/>
              <w:rPr>
                <w:rFonts w:ascii="宋体" w:hAnsi="宋体" w:cs="宋体" w:eastAsia="宋体" w:hint="default"/>
                <w:sz w:val="21"/>
                <w:szCs w:val="21"/>
              </w:rPr>
            </w:pPr>
            <w:r>
              <w:rPr>
                <w:rFonts w:ascii="宋体" w:hAnsi="宋体" w:cs="宋体" w:eastAsia="宋体" w:hint="default"/>
                <w:b/>
                <w:bCs/>
                <w:sz w:val="21"/>
                <w:szCs w:val="21"/>
              </w:rPr>
              <w:t>本次变动增减（＋，－）</w:t>
            </w:r>
            <w:r>
              <w:rPr>
                <w:rFonts w:ascii="宋体" w:hAnsi="宋体" w:cs="宋体" w:eastAsia="宋体" w:hint="default"/>
                <w:sz w:val="21"/>
                <w:szCs w:val="21"/>
              </w:rPr>
            </w:r>
          </w:p>
        </w:tc>
        <w:tc>
          <w:tcPr>
            <w:tcW w:w="1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本次变动后</w:t>
            </w:r>
            <w:r>
              <w:rPr>
                <w:rFonts w:ascii="宋体" w:hAnsi="宋体" w:cs="宋体" w:eastAsia="宋体" w:hint="default"/>
                <w:sz w:val="21"/>
                <w:szCs w:val="21"/>
              </w:rPr>
            </w:r>
          </w:p>
        </w:tc>
      </w:tr>
      <w:tr>
        <w:trPr>
          <w:trHeight w:val="162" w:hRule="exact"/>
        </w:trPr>
        <w:tc>
          <w:tcPr>
            <w:tcW w:w="2004" w:type="dxa"/>
            <w:vMerge/>
            <w:tcBorders>
              <w:left w:val="single" w:sz="4" w:space="0" w:color="000000"/>
              <w:right w:val="single" w:sz="4" w:space="0" w:color="000000"/>
            </w:tcBorders>
            <w:shd w:val="clear" w:color="auto" w:fill="D2D2D2"/>
          </w:tcPr>
          <w:p>
            <w:pPr/>
          </w:p>
        </w:tc>
        <w:tc>
          <w:tcPr>
            <w:tcW w:w="1239" w:type="dxa"/>
            <w:vMerge w:val="restart"/>
            <w:tcBorders>
              <w:top w:val="single" w:sz="4" w:space="0" w:color="000000"/>
              <w:left w:val="single" w:sz="4" w:space="0" w:color="000000"/>
              <w:right w:val="single" w:sz="4" w:space="0" w:color="000000"/>
            </w:tcBorders>
            <w:shd w:val="clear" w:color="auto" w:fill="D2D2D2"/>
          </w:tcPr>
          <w:p>
            <w:pPr/>
          </w:p>
        </w:tc>
        <w:tc>
          <w:tcPr>
            <w:tcW w:w="706" w:type="dxa"/>
            <w:vMerge w:val="restart"/>
            <w:tcBorders>
              <w:top w:val="single" w:sz="4" w:space="0" w:color="000000"/>
              <w:left w:val="single" w:sz="4" w:space="0" w:color="000000"/>
              <w:right w:val="single" w:sz="4" w:space="0" w:color="000000"/>
            </w:tcBorders>
            <w:shd w:val="clear" w:color="auto" w:fill="D2D2D2"/>
          </w:tcPr>
          <w:p>
            <w:pPr/>
          </w:p>
        </w:tc>
        <w:tc>
          <w:tcPr>
            <w:tcW w:w="42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98" w:right="101"/>
              <w:jc w:val="both"/>
              <w:rPr>
                <w:rFonts w:ascii="宋体" w:hAnsi="宋体" w:cs="宋体" w:eastAsia="宋体" w:hint="default"/>
                <w:sz w:val="21"/>
                <w:szCs w:val="21"/>
              </w:rPr>
            </w:pPr>
            <w:r>
              <w:rPr>
                <w:rFonts w:ascii="宋体" w:hAnsi="宋体" w:cs="宋体" w:eastAsia="宋体" w:hint="default"/>
                <w:b/>
                <w:bCs/>
                <w:sz w:val="21"/>
                <w:szCs w:val="21"/>
              </w:rPr>
              <w:t>发</w:t>
            </w:r>
            <w:r>
              <w:rPr>
                <w:rFonts w:ascii="宋体" w:hAnsi="宋体" w:cs="宋体" w:eastAsia="宋体" w:hint="default"/>
                <w:b/>
                <w:bCs/>
                <w:w w:val="100"/>
                <w:sz w:val="21"/>
                <w:szCs w:val="21"/>
              </w:rPr>
              <w:t> </w:t>
            </w:r>
            <w:r>
              <w:rPr>
                <w:rFonts w:ascii="宋体" w:hAnsi="宋体" w:cs="宋体" w:eastAsia="宋体" w:hint="default"/>
                <w:b/>
                <w:bCs/>
                <w:sz w:val="21"/>
                <w:szCs w:val="21"/>
              </w:rPr>
              <w:t>行</w:t>
            </w:r>
            <w:r>
              <w:rPr>
                <w:rFonts w:ascii="宋体" w:hAnsi="宋体" w:cs="宋体" w:eastAsia="宋体" w:hint="default"/>
                <w:b/>
                <w:bCs/>
                <w:w w:val="100"/>
                <w:sz w:val="21"/>
                <w:szCs w:val="21"/>
              </w:rPr>
              <w:t> </w:t>
            </w:r>
            <w:r>
              <w:rPr>
                <w:rFonts w:ascii="宋体" w:hAnsi="宋体" w:cs="宋体" w:eastAsia="宋体" w:hint="default"/>
                <w:b/>
                <w:bCs/>
                <w:sz w:val="21"/>
                <w:szCs w:val="21"/>
              </w:rPr>
              <w:t>新</w:t>
            </w:r>
            <w:r>
              <w:rPr>
                <w:rFonts w:ascii="宋体" w:hAnsi="宋体" w:cs="宋体" w:eastAsia="宋体" w:hint="default"/>
                <w:b/>
                <w:bCs/>
                <w:w w:val="100"/>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422" w:type="dxa"/>
            <w:vMerge w:val="restart"/>
            <w:tcBorders>
              <w:top w:val="single" w:sz="4" w:space="0" w:color="000000"/>
              <w:left w:val="single" w:sz="4" w:space="0" w:color="000000"/>
              <w:right w:val="single" w:sz="4" w:space="0" w:color="000000"/>
            </w:tcBorders>
            <w:shd w:val="clear" w:color="auto" w:fill="D2D2D2"/>
          </w:tcPr>
          <w:p>
            <w:pPr/>
          </w:p>
        </w:tc>
        <w:tc>
          <w:tcPr>
            <w:tcW w:w="5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33" w:type="dxa"/>
            <w:vMerge w:val="restart"/>
            <w:tcBorders>
              <w:top w:val="single" w:sz="4" w:space="0" w:color="000000"/>
              <w:left w:val="single" w:sz="4" w:space="0" w:color="000000"/>
              <w:right w:val="single" w:sz="4" w:space="0" w:color="000000"/>
            </w:tcBorders>
            <w:shd w:val="clear" w:color="auto" w:fill="D2D2D2"/>
          </w:tcPr>
          <w:p>
            <w:pPr/>
          </w:p>
        </w:tc>
        <w:tc>
          <w:tcPr>
            <w:tcW w:w="1107" w:type="dxa"/>
            <w:vMerge w:val="restart"/>
            <w:tcBorders>
              <w:top w:val="single" w:sz="4" w:space="0" w:color="000000"/>
              <w:left w:val="single" w:sz="4" w:space="0" w:color="000000"/>
              <w:right w:val="single" w:sz="4" w:space="0" w:color="000000"/>
            </w:tcBorders>
            <w:shd w:val="clear" w:color="auto" w:fill="D2D2D2"/>
          </w:tcPr>
          <w:p>
            <w:pPr/>
          </w:p>
        </w:tc>
        <w:tc>
          <w:tcPr>
            <w:tcW w:w="811" w:type="dxa"/>
            <w:vMerge w:val="restart"/>
            <w:tcBorders>
              <w:top w:val="single" w:sz="4" w:space="0" w:color="000000"/>
              <w:left w:val="single" w:sz="4" w:space="0" w:color="000000"/>
              <w:right w:val="single" w:sz="4" w:space="0" w:color="000000"/>
            </w:tcBorders>
            <w:shd w:val="clear" w:color="auto" w:fill="D2D2D2"/>
          </w:tcPr>
          <w:p>
            <w:pPr/>
          </w:p>
        </w:tc>
      </w:tr>
      <w:tr>
        <w:trPr>
          <w:trHeight w:val="154" w:hRule="exact"/>
        </w:trPr>
        <w:tc>
          <w:tcPr>
            <w:tcW w:w="2004" w:type="dxa"/>
            <w:vMerge/>
            <w:tcBorders>
              <w:left w:val="single" w:sz="4" w:space="0" w:color="000000"/>
              <w:bottom w:val="nil" w:sz="6" w:space="0" w:color="auto"/>
              <w:right w:val="single" w:sz="4" w:space="0" w:color="000000"/>
            </w:tcBorders>
            <w:shd w:val="clear" w:color="auto" w:fill="D2D2D2"/>
          </w:tcPr>
          <w:p>
            <w:pPr/>
          </w:p>
        </w:tc>
        <w:tc>
          <w:tcPr>
            <w:tcW w:w="1239" w:type="dxa"/>
            <w:vMerge/>
            <w:tcBorders>
              <w:left w:val="single" w:sz="4" w:space="0" w:color="000000"/>
              <w:right w:val="single" w:sz="4" w:space="0" w:color="000000"/>
            </w:tcBorders>
            <w:shd w:val="clear" w:color="auto" w:fill="D2D2D2"/>
          </w:tcPr>
          <w:p>
            <w:pPr/>
          </w:p>
        </w:tc>
        <w:tc>
          <w:tcPr>
            <w:tcW w:w="706" w:type="dxa"/>
            <w:vMerge/>
            <w:tcBorders>
              <w:left w:val="single" w:sz="4" w:space="0" w:color="000000"/>
              <w:bottom w:val="nil" w:sz="6" w:space="0" w:color="auto"/>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422" w:type="dxa"/>
            <w:vMerge/>
            <w:tcBorders>
              <w:left w:val="single" w:sz="4" w:space="0" w:color="000000"/>
              <w:bottom w:val="nil" w:sz="6" w:space="0" w:color="auto"/>
              <w:right w:val="single" w:sz="4" w:space="0" w:color="000000"/>
            </w:tcBorders>
            <w:shd w:val="clear" w:color="auto" w:fill="D2D2D2"/>
          </w:tcPr>
          <w:p>
            <w:pPr/>
          </w:p>
        </w:tc>
        <w:tc>
          <w:tcPr>
            <w:tcW w:w="56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67" w:right="63"/>
              <w:jc w:val="both"/>
              <w:rPr>
                <w:rFonts w:ascii="宋体" w:hAnsi="宋体" w:cs="宋体" w:eastAsia="宋体" w:hint="default"/>
                <w:sz w:val="21"/>
                <w:szCs w:val="21"/>
              </w:rPr>
            </w:pPr>
            <w:r>
              <w:rPr>
                <w:rFonts w:ascii="宋体" w:hAnsi="宋体" w:cs="宋体" w:eastAsia="宋体" w:hint="default"/>
                <w:b/>
                <w:bCs/>
                <w:sz w:val="21"/>
                <w:szCs w:val="21"/>
              </w:rPr>
              <w:t>公积</w:t>
            </w:r>
            <w:r>
              <w:rPr>
                <w:rFonts w:ascii="宋体" w:hAnsi="宋体" w:cs="宋体" w:eastAsia="宋体" w:hint="default"/>
                <w:b/>
                <w:bCs/>
                <w:w w:val="100"/>
                <w:sz w:val="21"/>
                <w:szCs w:val="21"/>
              </w:rPr>
              <w:t> </w:t>
            </w:r>
            <w:r>
              <w:rPr>
                <w:rFonts w:ascii="宋体" w:hAnsi="宋体" w:cs="宋体" w:eastAsia="宋体" w:hint="default"/>
                <w:b/>
                <w:bCs/>
                <w:sz w:val="21"/>
                <w:szCs w:val="21"/>
              </w:rPr>
              <w:t>金转</w:t>
            </w:r>
            <w:r>
              <w:rPr>
                <w:rFonts w:ascii="宋体" w:hAnsi="宋体" w:cs="宋体" w:eastAsia="宋体" w:hint="default"/>
                <w:b/>
                <w:bCs/>
                <w:w w:val="100"/>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1133"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107" w:type="dxa"/>
            <w:vMerge/>
            <w:tcBorders>
              <w:left w:val="single" w:sz="4" w:space="0" w:color="000000"/>
              <w:right w:val="single" w:sz="4" w:space="0" w:color="000000"/>
            </w:tcBorders>
            <w:shd w:val="clear" w:color="auto" w:fill="D2D2D2"/>
          </w:tcPr>
          <w:p>
            <w:pPr/>
          </w:p>
        </w:tc>
        <w:tc>
          <w:tcPr>
            <w:tcW w:w="811" w:type="dxa"/>
            <w:vMerge/>
            <w:tcBorders>
              <w:left w:val="single" w:sz="4" w:space="0" w:color="000000"/>
              <w:bottom w:val="nil" w:sz="6" w:space="0" w:color="auto"/>
              <w:right w:val="single" w:sz="4" w:space="0" w:color="000000"/>
            </w:tcBorders>
            <w:shd w:val="clear" w:color="auto" w:fill="D2D2D2"/>
          </w:tcPr>
          <w:p>
            <w:pPr/>
          </w:p>
        </w:tc>
      </w:tr>
      <w:tr>
        <w:trPr>
          <w:trHeight w:val="157" w:hRule="exact"/>
        </w:trPr>
        <w:tc>
          <w:tcPr>
            <w:tcW w:w="2004" w:type="dxa"/>
            <w:vMerge w:val="restart"/>
            <w:tcBorders>
              <w:top w:val="nil" w:sz="6" w:space="0" w:color="auto"/>
              <w:left w:val="single" w:sz="4" w:space="0" w:color="000000"/>
              <w:right w:val="single" w:sz="4" w:space="0" w:color="000000"/>
            </w:tcBorders>
            <w:shd w:val="clear" w:color="auto" w:fill="D2D2D2"/>
          </w:tcPr>
          <w:p>
            <w:pPr/>
          </w:p>
        </w:tc>
        <w:tc>
          <w:tcPr>
            <w:tcW w:w="1239" w:type="dxa"/>
            <w:vMerge/>
            <w:tcBorders>
              <w:left w:val="single" w:sz="4" w:space="0" w:color="000000"/>
              <w:bottom w:val="nil" w:sz="6" w:space="0" w:color="auto"/>
              <w:right w:val="single" w:sz="4" w:space="0" w:color="000000"/>
            </w:tcBorders>
            <w:shd w:val="clear" w:color="auto" w:fill="D2D2D2"/>
          </w:tcPr>
          <w:p>
            <w:pPr/>
          </w:p>
        </w:tc>
        <w:tc>
          <w:tcPr>
            <w:tcW w:w="706" w:type="dxa"/>
            <w:vMerge w:val="restart"/>
            <w:tcBorders>
              <w:top w:val="nil" w:sz="6" w:space="0" w:color="auto"/>
              <w:left w:val="single" w:sz="4" w:space="0" w:color="000000"/>
              <w:right w:val="single" w:sz="4" w:space="0" w:color="000000"/>
            </w:tcBorders>
            <w:shd w:val="clear" w:color="auto" w:fill="D2D2D2"/>
          </w:tcPr>
          <w:p>
            <w:pPr>
              <w:pStyle w:val="TableParagraph"/>
              <w:spacing w:line="264" w:lineRule="exact"/>
              <w:ind w:left="134"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86"/>
              <w:ind w:left="170" w:right="0"/>
              <w:jc w:val="left"/>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c>
          <w:tcPr>
            <w:tcW w:w="422" w:type="dxa"/>
            <w:vMerge/>
            <w:tcBorders>
              <w:left w:val="single" w:sz="4" w:space="0" w:color="000000"/>
              <w:right w:val="single" w:sz="4" w:space="0" w:color="000000"/>
            </w:tcBorders>
            <w:shd w:val="clear" w:color="auto" w:fill="D2D2D2"/>
          </w:tcPr>
          <w:p>
            <w:pPr/>
          </w:p>
        </w:tc>
        <w:tc>
          <w:tcPr>
            <w:tcW w:w="42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98" w:right="101"/>
              <w:jc w:val="left"/>
              <w:rPr>
                <w:rFonts w:ascii="宋体" w:hAnsi="宋体" w:cs="宋体" w:eastAsia="宋体" w:hint="default"/>
                <w:sz w:val="21"/>
                <w:szCs w:val="21"/>
              </w:rPr>
            </w:pPr>
            <w:r>
              <w:rPr>
                <w:rFonts w:ascii="宋体" w:hAnsi="宋体" w:cs="宋体" w:eastAsia="宋体" w:hint="default"/>
                <w:b/>
                <w:bCs/>
                <w:sz w:val="21"/>
                <w:szCs w:val="21"/>
              </w:rPr>
              <w:t>送</w:t>
            </w:r>
            <w:r>
              <w:rPr>
                <w:rFonts w:ascii="宋体" w:hAnsi="宋体" w:cs="宋体" w:eastAsia="宋体" w:hint="default"/>
                <w:b/>
                <w:bCs/>
                <w:w w:val="100"/>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56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07" w:type="dxa"/>
            <w:vMerge/>
            <w:tcBorders>
              <w:left w:val="single" w:sz="4" w:space="0" w:color="000000"/>
              <w:bottom w:val="nil" w:sz="6" w:space="0" w:color="auto"/>
              <w:right w:val="single" w:sz="4" w:space="0" w:color="000000"/>
            </w:tcBorders>
            <w:shd w:val="clear" w:color="auto" w:fill="D2D2D2"/>
          </w:tcPr>
          <w:p>
            <w:pPr/>
          </w:p>
        </w:tc>
        <w:tc>
          <w:tcPr>
            <w:tcW w:w="811" w:type="dxa"/>
            <w:vMerge w:val="restart"/>
            <w:tcBorders>
              <w:top w:val="nil" w:sz="6" w:space="0" w:color="auto"/>
              <w:left w:val="single" w:sz="4" w:space="0" w:color="000000"/>
              <w:right w:val="single" w:sz="4" w:space="0" w:color="000000"/>
            </w:tcBorders>
            <w:shd w:val="clear" w:color="auto" w:fill="D2D2D2"/>
          </w:tcPr>
          <w:p>
            <w:pPr>
              <w:pStyle w:val="TableParagraph"/>
              <w:spacing w:line="263" w:lineRule="exact"/>
              <w:ind w:left="187"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86"/>
              <w:ind w:left="223" w:right="0"/>
              <w:jc w:val="left"/>
              <w:rPr>
                <w:rFonts w:ascii="Times New Roman" w:hAnsi="Times New Roman" w:cs="Times New Roman" w:eastAsia="Times New Roman" w:hint="default"/>
                <w:sz w:val="21"/>
                <w:szCs w:val="21"/>
              </w:rPr>
            </w:pPr>
            <w:r>
              <w:rPr>
                <w:rFonts w:ascii="Times New Roman"/>
                <w:b/>
                <w:sz w:val="21"/>
              </w:rPr>
              <w:t>(%)</w:t>
            </w:r>
            <w:r>
              <w:rPr>
                <w:rFonts w:ascii="Times New Roman"/>
                <w:sz w:val="21"/>
              </w:rPr>
            </w:r>
          </w:p>
        </w:tc>
      </w:tr>
      <w:tr>
        <w:trPr>
          <w:trHeight w:val="151" w:hRule="exact"/>
        </w:trPr>
        <w:tc>
          <w:tcPr>
            <w:tcW w:w="2004" w:type="dxa"/>
            <w:vMerge/>
            <w:tcBorders>
              <w:left w:val="single" w:sz="4" w:space="0" w:color="000000"/>
              <w:bottom w:val="nil" w:sz="6" w:space="0" w:color="auto"/>
              <w:right w:val="single" w:sz="4" w:space="0" w:color="000000"/>
            </w:tcBorders>
            <w:shd w:val="clear" w:color="auto" w:fill="D2D2D2"/>
          </w:tcPr>
          <w:p>
            <w:pPr/>
          </w:p>
        </w:tc>
        <w:tc>
          <w:tcPr>
            <w:tcW w:w="1239"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408" w:right="0"/>
              <w:jc w:val="left"/>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706" w:type="dxa"/>
            <w:vMerge/>
            <w:tcBorders>
              <w:left w:val="single" w:sz="4" w:space="0" w:color="000000"/>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564"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350"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133"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348"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107"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336" w:right="0"/>
              <w:jc w:val="left"/>
              <w:rPr>
                <w:rFonts w:ascii="宋体" w:hAnsi="宋体" w:cs="宋体" w:eastAsia="宋体" w:hint="default"/>
                <w:sz w:val="21"/>
                <w:szCs w:val="21"/>
              </w:rPr>
            </w:pPr>
            <w:r>
              <w:rPr>
                <w:rFonts w:ascii="宋体" w:hAnsi="宋体" w:cs="宋体" w:eastAsia="宋体" w:hint="default"/>
                <w:b/>
                <w:bCs/>
                <w:sz w:val="21"/>
                <w:szCs w:val="21"/>
              </w:rPr>
              <w:t>数量</w:t>
            </w:r>
            <w:r>
              <w:rPr>
                <w:rFonts w:ascii="宋体" w:hAnsi="宋体" w:cs="宋体" w:eastAsia="宋体" w:hint="default"/>
                <w:sz w:val="21"/>
                <w:szCs w:val="21"/>
              </w:rPr>
            </w:r>
          </w:p>
        </w:tc>
        <w:tc>
          <w:tcPr>
            <w:tcW w:w="811" w:type="dxa"/>
            <w:vMerge/>
            <w:tcBorders>
              <w:left w:val="single" w:sz="4" w:space="0" w:color="000000"/>
              <w:right w:val="single" w:sz="4" w:space="0" w:color="000000"/>
            </w:tcBorders>
            <w:shd w:val="clear" w:color="auto" w:fill="D2D2D2"/>
          </w:tcPr>
          <w:p>
            <w:pPr/>
          </w:p>
        </w:tc>
      </w:tr>
      <w:tr>
        <w:trPr>
          <w:trHeight w:val="161" w:hRule="exact"/>
        </w:trPr>
        <w:tc>
          <w:tcPr>
            <w:tcW w:w="2004" w:type="dxa"/>
            <w:vMerge w:val="restart"/>
            <w:tcBorders>
              <w:top w:val="nil" w:sz="6" w:space="0" w:color="auto"/>
              <w:left w:val="single" w:sz="4" w:space="0" w:color="000000"/>
              <w:right w:val="single" w:sz="4" w:space="0" w:color="000000"/>
            </w:tcBorders>
            <w:shd w:val="clear" w:color="auto" w:fill="D2D2D2"/>
          </w:tcPr>
          <w:p>
            <w:pPr/>
          </w:p>
        </w:tc>
        <w:tc>
          <w:tcPr>
            <w:tcW w:w="1239" w:type="dxa"/>
            <w:vMerge/>
            <w:tcBorders>
              <w:left w:val="single" w:sz="4" w:space="0" w:color="000000"/>
              <w:bottom w:val="nil" w:sz="6" w:space="0" w:color="auto"/>
              <w:right w:val="single" w:sz="4" w:space="0" w:color="000000"/>
            </w:tcBorders>
            <w:shd w:val="clear" w:color="auto" w:fill="D2D2D2"/>
          </w:tcPr>
          <w:p>
            <w:pPr/>
          </w:p>
        </w:tc>
        <w:tc>
          <w:tcPr>
            <w:tcW w:w="706" w:type="dxa"/>
            <w:vMerge/>
            <w:tcBorders>
              <w:left w:val="single" w:sz="4" w:space="0" w:color="000000"/>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564"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1107" w:type="dxa"/>
            <w:vMerge/>
            <w:tcBorders>
              <w:left w:val="single" w:sz="4" w:space="0" w:color="000000"/>
              <w:bottom w:val="nil" w:sz="6" w:space="0" w:color="auto"/>
              <w:right w:val="single" w:sz="4" w:space="0" w:color="000000"/>
            </w:tcBorders>
            <w:shd w:val="clear" w:color="auto" w:fill="D2D2D2"/>
          </w:tcPr>
          <w:p>
            <w:pPr/>
          </w:p>
        </w:tc>
        <w:tc>
          <w:tcPr>
            <w:tcW w:w="811" w:type="dxa"/>
            <w:vMerge/>
            <w:tcBorders>
              <w:left w:val="single" w:sz="4" w:space="0" w:color="000000"/>
              <w:right w:val="single" w:sz="4" w:space="0" w:color="000000"/>
            </w:tcBorders>
            <w:shd w:val="clear" w:color="auto" w:fill="D2D2D2"/>
          </w:tcPr>
          <w:p>
            <w:pPr/>
          </w:p>
        </w:tc>
      </w:tr>
      <w:tr>
        <w:trPr>
          <w:trHeight w:val="156" w:hRule="exact"/>
        </w:trPr>
        <w:tc>
          <w:tcPr>
            <w:tcW w:w="2004" w:type="dxa"/>
            <w:vMerge/>
            <w:tcBorders>
              <w:left w:val="single" w:sz="4" w:space="0" w:color="000000"/>
              <w:right w:val="single" w:sz="4" w:space="0" w:color="000000"/>
            </w:tcBorders>
            <w:shd w:val="clear" w:color="auto" w:fill="D2D2D2"/>
          </w:tcPr>
          <w:p>
            <w:pPr/>
          </w:p>
        </w:tc>
        <w:tc>
          <w:tcPr>
            <w:tcW w:w="1239" w:type="dxa"/>
            <w:vMerge w:val="restart"/>
            <w:tcBorders>
              <w:top w:val="nil" w:sz="6" w:space="0" w:color="auto"/>
              <w:left w:val="single" w:sz="4" w:space="0" w:color="000000"/>
              <w:right w:val="single" w:sz="4" w:space="0" w:color="000000"/>
            </w:tcBorders>
            <w:shd w:val="clear" w:color="auto" w:fill="D2D2D2"/>
          </w:tcPr>
          <w:p>
            <w:pPr/>
          </w:p>
        </w:tc>
        <w:tc>
          <w:tcPr>
            <w:tcW w:w="706" w:type="dxa"/>
            <w:vMerge/>
            <w:tcBorders>
              <w:left w:val="single" w:sz="4" w:space="0" w:color="000000"/>
              <w:bottom w:val="nil" w:sz="6" w:space="0" w:color="auto"/>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422" w:type="dxa"/>
            <w:vMerge/>
            <w:tcBorders>
              <w:left w:val="single" w:sz="4" w:space="0" w:color="000000"/>
              <w:bottom w:val="nil" w:sz="6" w:space="0" w:color="auto"/>
              <w:right w:val="single" w:sz="4" w:space="0" w:color="000000"/>
            </w:tcBorders>
            <w:shd w:val="clear" w:color="auto" w:fill="D2D2D2"/>
          </w:tcPr>
          <w:p>
            <w:pPr/>
          </w:p>
        </w:tc>
        <w:tc>
          <w:tcPr>
            <w:tcW w:w="564" w:type="dxa"/>
            <w:vMerge/>
            <w:tcBorders>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1133" w:type="dxa"/>
            <w:vMerge w:val="restart"/>
            <w:tcBorders>
              <w:top w:val="nil" w:sz="6" w:space="0" w:color="auto"/>
              <w:left w:val="single" w:sz="4" w:space="0" w:color="000000"/>
              <w:right w:val="single" w:sz="4" w:space="0" w:color="000000"/>
            </w:tcBorders>
            <w:shd w:val="clear" w:color="auto" w:fill="D2D2D2"/>
          </w:tcPr>
          <w:p>
            <w:pPr/>
          </w:p>
        </w:tc>
        <w:tc>
          <w:tcPr>
            <w:tcW w:w="1107" w:type="dxa"/>
            <w:vMerge w:val="restart"/>
            <w:tcBorders>
              <w:top w:val="nil" w:sz="6" w:space="0" w:color="auto"/>
              <w:left w:val="single" w:sz="4" w:space="0" w:color="000000"/>
              <w:right w:val="single" w:sz="4" w:space="0" w:color="000000"/>
            </w:tcBorders>
            <w:shd w:val="clear" w:color="auto" w:fill="D2D2D2"/>
          </w:tcPr>
          <w:p>
            <w:pPr/>
          </w:p>
        </w:tc>
        <w:tc>
          <w:tcPr>
            <w:tcW w:w="811"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004" w:type="dxa"/>
            <w:vMerge/>
            <w:tcBorders>
              <w:left w:val="single" w:sz="4" w:space="0" w:color="000000"/>
              <w:right w:val="single" w:sz="4" w:space="0" w:color="000000"/>
            </w:tcBorders>
            <w:shd w:val="clear" w:color="auto" w:fill="D2D2D2"/>
          </w:tcPr>
          <w:p>
            <w:pPr/>
          </w:p>
        </w:tc>
        <w:tc>
          <w:tcPr>
            <w:tcW w:w="1239" w:type="dxa"/>
            <w:vMerge/>
            <w:tcBorders>
              <w:left w:val="single" w:sz="4" w:space="0" w:color="000000"/>
              <w:right w:val="single" w:sz="4" w:space="0" w:color="000000"/>
            </w:tcBorders>
            <w:shd w:val="clear" w:color="auto" w:fill="D2D2D2"/>
          </w:tcPr>
          <w:p>
            <w:pPr/>
          </w:p>
        </w:tc>
        <w:tc>
          <w:tcPr>
            <w:tcW w:w="706" w:type="dxa"/>
            <w:vMerge w:val="restart"/>
            <w:tcBorders>
              <w:top w:val="nil" w:sz="6" w:space="0" w:color="auto"/>
              <w:left w:val="single" w:sz="4" w:space="0" w:color="000000"/>
              <w:right w:val="single" w:sz="4" w:space="0" w:color="000000"/>
            </w:tcBorders>
            <w:shd w:val="clear" w:color="auto" w:fill="D2D2D2"/>
          </w:tcPr>
          <w:p>
            <w:pPr/>
          </w:p>
        </w:tc>
        <w:tc>
          <w:tcPr>
            <w:tcW w:w="422" w:type="dxa"/>
            <w:vMerge/>
            <w:tcBorders>
              <w:left w:val="single" w:sz="4" w:space="0" w:color="000000"/>
              <w:right w:val="single" w:sz="4" w:space="0" w:color="000000"/>
            </w:tcBorders>
            <w:shd w:val="clear" w:color="auto" w:fill="D2D2D2"/>
          </w:tcPr>
          <w:p>
            <w:pPr/>
          </w:p>
        </w:tc>
        <w:tc>
          <w:tcPr>
            <w:tcW w:w="422" w:type="dxa"/>
            <w:vMerge w:val="restart"/>
            <w:tcBorders>
              <w:top w:val="nil" w:sz="6" w:space="0" w:color="auto"/>
              <w:left w:val="single" w:sz="4" w:space="0" w:color="000000"/>
              <w:right w:val="single" w:sz="4" w:space="0" w:color="000000"/>
            </w:tcBorders>
            <w:shd w:val="clear" w:color="auto" w:fill="D2D2D2"/>
          </w:tcPr>
          <w:p>
            <w:pPr/>
          </w:p>
        </w:tc>
        <w:tc>
          <w:tcPr>
            <w:tcW w:w="564" w:type="dxa"/>
            <w:vMerge/>
            <w:tcBorders>
              <w:left w:val="single" w:sz="4" w:space="0" w:color="000000"/>
              <w:bottom w:val="nil" w:sz="6" w:space="0" w:color="auto"/>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107" w:type="dxa"/>
            <w:vMerge/>
            <w:tcBorders>
              <w:left w:val="single" w:sz="4" w:space="0" w:color="000000"/>
              <w:right w:val="single" w:sz="4" w:space="0" w:color="000000"/>
            </w:tcBorders>
            <w:shd w:val="clear" w:color="auto" w:fill="D2D2D2"/>
          </w:tcPr>
          <w:p>
            <w:pPr/>
          </w:p>
        </w:tc>
        <w:tc>
          <w:tcPr>
            <w:tcW w:w="81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004" w:type="dxa"/>
            <w:vMerge/>
            <w:tcBorders>
              <w:left w:val="single" w:sz="4" w:space="0" w:color="000000"/>
              <w:bottom w:val="single" w:sz="4" w:space="0" w:color="000000"/>
              <w:right w:val="single" w:sz="4" w:space="0" w:color="000000"/>
            </w:tcBorders>
            <w:shd w:val="clear" w:color="auto" w:fill="D2D2D2"/>
          </w:tcPr>
          <w:p>
            <w:pPr/>
          </w:p>
        </w:tc>
        <w:tc>
          <w:tcPr>
            <w:tcW w:w="1239" w:type="dxa"/>
            <w:vMerge/>
            <w:tcBorders>
              <w:left w:val="single" w:sz="4" w:space="0" w:color="000000"/>
              <w:bottom w:val="single" w:sz="4" w:space="0" w:color="000000"/>
              <w:right w:val="single" w:sz="4" w:space="0" w:color="000000"/>
            </w:tcBorders>
            <w:shd w:val="clear" w:color="auto" w:fill="D2D2D2"/>
          </w:tcPr>
          <w:p>
            <w:pPr/>
          </w:p>
        </w:tc>
        <w:tc>
          <w:tcPr>
            <w:tcW w:w="706" w:type="dxa"/>
            <w:vMerge/>
            <w:tcBorders>
              <w:left w:val="single" w:sz="4" w:space="0" w:color="000000"/>
              <w:bottom w:val="single" w:sz="4" w:space="0" w:color="000000"/>
              <w:right w:val="single" w:sz="4" w:space="0" w:color="000000"/>
            </w:tcBorders>
            <w:shd w:val="clear" w:color="auto" w:fill="D2D2D2"/>
          </w:tcPr>
          <w:p>
            <w:pPr/>
          </w:p>
        </w:tc>
        <w:tc>
          <w:tcPr>
            <w:tcW w:w="422" w:type="dxa"/>
            <w:vMerge/>
            <w:tcBorders>
              <w:left w:val="single" w:sz="4" w:space="0" w:color="000000"/>
              <w:bottom w:val="single" w:sz="4" w:space="0" w:color="000000"/>
              <w:right w:val="single" w:sz="4" w:space="0" w:color="000000"/>
            </w:tcBorders>
            <w:shd w:val="clear" w:color="auto" w:fill="D2D2D2"/>
          </w:tcPr>
          <w:p>
            <w:pPr/>
          </w:p>
        </w:tc>
        <w:tc>
          <w:tcPr>
            <w:tcW w:w="422" w:type="dxa"/>
            <w:vMerge/>
            <w:tcBorders>
              <w:left w:val="single" w:sz="4" w:space="0" w:color="000000"/>
              <w:bottom w:val="single" w:sz="4" w:space="0" w:color="000000"/>
              <w:right w:val="single" w:sz="4" w:space="0" w:color="000000"/>
            </w:tcBorders>
            <w:shd w:val="clear" w:color="auto" w:fill="D2D2D2"/>
          </w:tcPr>
          <w:p>
            <w:pPr/>
          </w:p>
        </w:tc>
        <w:tc>
          <w:tcPr>
            <w:tcW w:w="5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1107" w:type="dxa"/>
            <w:vMerge/>
            <w:tcBorders>
              <w:left w:val="single" w:sz="4" w:space="0" w:color="000000"/>
              <w:bottom w:val="single" w:sz="4" w:space="0" w:color="000000"/>
              <w:right w:val="single" w:sz="4" w:space="0" w:color="000000"/>
            </w:tcBorders>
            <w:shd w:val="clear" w:color="auto" w:fill="D2D2D2"/>
          </w:tcPr>
          <w:p>
            <w:pPr/>
          </w:p>
        </w:tc>
        <w:tc>
          <w:tcPr>
            <w:tcW w:w="811"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一、有限售条件股份</w:t>
            </w:r>
          </w:p>
        </w:tc>
        <w:tc>
          <w:tcPr>
            <w:tcW w:w="12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51,993,600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43.33%</w:t>
            </w:r>
          </w:p>
        </w:tc>
        <w:tc>
          <w:tcPr>
            <w:tcW w:w="42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-14,275,200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-14,275,200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37,718,400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31.43</w:t>
            </w: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239"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239"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2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51,993,600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43.33%</w:t>
            </w:r>
          </w:p>
        </w:tc>
        <w:tc>
          <w:tcPr>
            <w:tcW w:w="42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-31,699,200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spacing w:val="-1"/>
                <w:sz w:val="21"/>
              </w:rPr>
              <w:t>-31,699,200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20,294,400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16.91</w:t>
            </w: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其中：境内法人持股</w:t>
            </w:r>
          </w:p>
        </w:tc>
        <w:tc>
          <w:tcPr>
            <w:tcW w:w="1239"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86"/>
              <w:jc w:val="right"/>
              <w:rPr>
                <w:rFonts w:ascii="宋体" w:hAnsi="宋体" w:cs="宋体" w:eastAsia="宋体" w:hint="default"/>
                <w:sz w:val="21"/>
                <w:szCs w:val="21"/>
              </w:rPr>
            </w:pPr>
            <w:r>
              <w:rPr>
                <w:rFonts w:ascii="宋体" w:hAnsi="宋体" w:cs="宋体" w:eastAsia="宋体" w:hint="default"/>
                <w:spacing w:val="-2"/>
                <w:sz w:val="21"/>
                <w:szCs w:val="21"/>
              </w:rPr>
              <w:t>境内自然人持股</w:t>
            </w:r>
          </w:p>
        </w:tc>
        <w:tc>
          <w:tcPr>
            <w:tcW w:w="12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spacing w:val="-1"/>
                <w:sz w:val="21"/>
              </w:rPr>
              <w:t>51,993,600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z w:val="21"/>
              </w:rPr>
              <w:t>43.33%</w:t>
            </w:r>
          </w:p>
        </w:tc>
        <w:tc>
          <w:tcPr>
            <w:tcW w:w="42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-31,699,200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spacing w:val="-1"/>
                <w:sz w:val="21"/>
              </w:rPr>
              <w:t>-31,699,200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20,294,400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16.91</w:t>
            </w: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239"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239"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86"/>
              <w:jc w:val="right"/>
              <w:rPr>
                <w:rFonts w:ascii="宋体" w:hAnsi="宋体" w:cs="宋体" w:eastAsia="宋体" w:hint="default"/>
                <w:sz w:val="21"/>
                <w:szCs w:val="21"/>
              </w:rPr>
            </w:pPr>
            <w:r>
              <w:rPr>
                <w:rFonts w:ascii="宋体" w:hAnsi="宋体" w:cs="宋体" w:eastAsia="宋体" w:hint="default"/>
                <w:spacing w:val="-2"/>
                <w:sz w:val="21"/>
                <w:szCs w:val="21"/>
              </w:rPr>
              <w:t>境外自然人持股</w:t>
            </w:r>
          </w:p>
        </w:tc>
        <w:tc>
          <w:tcPr>
            <w:tcW w:w="1239"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239"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17,424,000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17,424,000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17,424,000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14.52</w:t>
            </w: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二、无限售条件股份</w:t>
            </w:r>
          </w:p>
        </w:tc>
        <w:tc>
          <w:tcPr>
            <w:tcW w:w="12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68,006,400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56.67%</w:t>
            </w:r>
          </w:p>
        </w:tc>
        <w:tc>
          <w:tcPr>
            <w:tcW w:w="42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14,275,200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14,275,200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82,281,600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68.57</w:t>
            </w:r>
          </w:p>
        </w:tc>
      </w:tr>
      <w:tr>
        <w:trPr>
          <w:trHeight w:val="324"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1"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2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0"/>
              <w:jc w:val="right"/>
              <w:rPr>
                <w:rFonts w:ascii="Times New Roman" w:hAnsi="Times New Roman" w:cs="Times New Roman" w:eastAsia="Times New Roman" w:hint="default"/>
                <w:sz w:val="21"/>
                <w:szCs w:val="21"/>
              </w:rPr>
            </w:pPr>
            <w:r>
              <w:rPr>
                <w:rFonts w:ascii="Times New Roman"/>
                <w:spacing w:val="-1"/>
                <w:sz w:val="21"/>
              </w:rPr>
              <w:t>68,006,400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z w:val="21"/>
              </w:rPr>
              <w:t>56.67%</w:t>
            </w:r>
          </w:p>
        </w:tc>
        <w:tc>
          <w:tcPr>
            <w:tcW w:w="42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14,275,200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pacing w:val="-1"/>
                <w:sz w:val="21"/>
              </w:rPr>
              <w:t>14,275,200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82,281,600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z w:val="21"/>
              </w:rPr>
              <w:t>68.57</w:t>
            </w: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、境内上市的外资股</w:t>
            </w:r>
          </w:p>
        </w:tc>
        <w:tc>
          <w:tcPr>
            <w:tcW w:w="1239"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、境外上市的外资股</w:t>
            </w:r>
          </w:p>
        </w:tc>
        <w:tc>
          <w:tcPr>
            <w:tcW w:w="1239"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239" w:type="dxa"/>
            <w:tcBorders>
              <w:top w:val="single" w:sz="4" w:space="0" w:color="000000"/>
              <w:left w:val="single" w:sz="13" w:space="0" w:color="D2D2D2"/>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07" w:type="dxa"/>
            <w:tcBorders>
              <w:top w:val="single" w:sz="4" w:space="0" w:color="000000"/>
              <w:left w:val="single" w:sz="4" w:space="0" w:color="000000"/>
              <w:bottom w:val="single" w:sz="4" w:space="0" w:color="000000"/>
              <w:right w:val="single" w:sz="4" w:space="0" w:color="000000"/>
            </w:tcBorders>
          </w:tcPr>
          <w:p>
            <w:pPr/>
          </w:p>
        </w:tc>
        <w:tc>
          <w:tcPr>
            <w:tcW w:w="81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2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pacing w:val="-1"/>
                <w:sz w:val="21"/>
              </w:rPr>
              <w:t>120,000,000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z w:val="21"/>
              </w:rPr>
              <w:t>100%</w:t>
            </w:r>
          </w:p>
        </w:tc>
        <w:tc>
          <w:tcPr>
            <w:tcW w:w="422"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56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120,000,000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Times New Roman" w:hAnsi="Times New Roman" w:cs="Times New Roman" w:eastAsia="Times New Roman" w:hint="default"/>
                <w:sz w:val="21"/>
                <w:szCs w:val="21"/>
              </w:rPr>
            </w:pPr>
            <w:r>
              <w:rPr>
                <w:rFonts w:ascii="Times New Roman"/>
                <w:sz w:val="21"/>
              </w:rPr>
              <w:t>100%</w:t>
            </w:r>
          </w:p>
        </w:tc>
      </w:tr>
    </w:tbl>
    <w:p>
      <w:pPr>
        <w:pStyle w:val="BodyText"/>
        <w:spacing w:line="240" w:lineRule="auto" w:before="39"/>
        <w:ind w:left="137" w:right="89"/>
        <w:jc w:val="left"/>
      </w:pPr>
      <w:r>
        <w:rPr/>
        <w:t>股份变动的原因</w:t>
      </w:r>
    </w:p>
    <w:p>
      <w:pPr>
        <w:pStyle w:val="BodyText"/>
        <w:spacing w:line="338" w:lineRule="auto" w:before="154"/>
        <w:ind w:left="137" w:right="197" w:firstLine="480"/>
        <w:jc w:val="left"/>
      </w:pPr>
      <w:r>
        <w:rPr>
          <w:rFonts w:ascii="Times New Roman" w:hAnsi="Times New Roman" w:cs="Times New Roman" w:eastAsia="Times New Roman" w:hint="default"/>
          <w:spacing w:val="-3"/>
        </w:rPr>
        <w:t>1</w:t>
      </w:r>
      <w:r>
        <w:rPr>
          <w:spacing w:val="-3"/>
        </w:rPr>
        <w:t>、</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6"/>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66"/>
        </w:rPr>
        <w:t> </w:t>
      </w:r>
      <w:r>
        <w:rPr>
          <w:rFonts w:ascii="Times New Roman" w:hAnsi="Times New Roman" w:cs="Times New Roman" w:eastAsia="Times New Roman" w:hint="default"/>
        </w:rPr>
        <w:t>28</w:t>
      </w:r>
      <w:r>
        <w:rPr>
          <w:rFonts w:ascii="Times New Roman" w:hAnsi="Times New Roman" w:cs="Times New Roman" w:eastAsia="Times New Roman" w:hint="default"/>
          <w:spacing w:val="-6"/>
        </w:rPr>
        <w:t> </w:t>
      </w:r>
      <w:r>
        <w:rPr/>
        <w:t>日，公司上市前限售股份已经解禁，除公司控股股东钟耳顺先生追 加承诺将其所持股份延长三个月以外，其他股东的股份可上市流通。</w:t>
      </w:r>
    </w:p>
    <w:p>
      <w:pPr>
        <w:pStyle w:val="BodyText"/>
        <w:spacing w:line="348" w:lineRule="auto" w:before="55"/>
        <w:ind w:left="137" w:right="89" w:firstLine="480"/>
        <w:jc w:val="left"/>
      </w:pPr>
      <w:r>
        <w:rPr>
          <w:rFonts w:ascii="Times New Roman" w:hAnsi="Times New Roman" w:cs="Times New Roman" w:eastAsia="Times New Roman" w:hint="default"/>
        </w:rPr>
        <w:t>2</w:t>
      </w:r>
      <w:r>
        <w:rPr/>
        <w:t>、根据《上市公司董事、监事和高级管理人员所持本公司股份及其变动管理规则》的 规定，作为公司董监高的股东宋关福、王康弘、王尔琪、曾志明、杨雪斌、龚娅杰、梁军、 杜庆娥锁定</w:t>
      </w:r>
      <w:r>
        <w:rPr>
          <w:spacing w:val="-62"/>
        </w:rPr>
        <w:t> </w:t>
      </w:r>
      <w:r>
        <w:rPr>
          <w:rFonts w:ascii="Times New Roman" w:hAnsi="Times New Roman" w:cs="Times New Roman" w:eastAsia="Times New Roman" w:hint="default"/>
        </w:rPr>
        <w:t>75%</w:t>
      </w:r>
      <w:r>
        <w:rPr/>
        <w:t>。</w:t>
      </w:r>
    </w:p>
    <w:p>
      <w:pPr>
        <w:spacing w:line="240" w:lineRule="auto" w:before="0"/>
        <w:rPr>
          <w:rFonts w:ascii="宋体" w:hAnsi="宋体" w:cs="宋体" w:eastAsia="宋体" w:hint="default"/>
          <w:sz w:val="24"/>
          <w:szCs w:val="24"/>
        </w:rPr>
      </w:pPr>
    </w:p>
    <w:p>
      <w:pPr>
        <w:pStyle w:val="BodyText"/>
        <w:spacing w:line="240" w:lineRule="auto" w:before="170"/>
        <w:ind w:left="137" w:right="89"/>
        <w:jc w:val="left"/>
      </w:pPr>
      <w:r>
        <w:rPr/>
        <w:t>股份变动的批准情况</w:t>
      </w:r>
    </w:p>
    <w:p>
      <w:pPr>
        <w:pStyle w:val="BodyText"/>
        <w:spacing w:line="240" w:lineRule="auto" w:before="154"/>
        <w:ind w:left="137" w:right="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after="0" w:line="240" w:lineRule="auto"/>
        <w:jc w:val="left"/>
        <w:sectPr>
          <w:pgSz w:w="11910" w:h="16840"/>
          <w:pgMar w:header="884" w:footer="1007" w:top="1140" w:bottom="1200" w:left="1140" w:right="920"/>
        </w:sectPr>
      </w:pPr>
    </w:p>
    <w:p>
      <w:pPr>
        <w:spacing w:line="240" w:lineRule="auto" w:before="6"/>
        <w:rPr>
          <w:rFonts w:ascii="宋体" w:hAnsi="宋体" w:cs="宋体" w:eastAsia="宋体" w:hint="default"/>
          <w:sz w:val="22"/>
          <w:szCs w:val="22"/>
        </w:rPr>
      </w:pPr>
    </w:p>
    <w:p>
      <w:pPr>
        <w:pStyle w:val="BodyText"/>
        <w:spacing w:line="240" w:lineRule="auto" w:before="26"/>
        <w:ind w:left="137" w:right="0"/>
        <w:jc w:val="left"/>
      </w:pPr>
      <w:r>
        <w:rPr/>
        <w:t>股份变动的过户情况</w:t>
      </w:r>
    </w:p>
    <w:p>
      <w:pPr>
        <w:pStyle w:val="BodyText"/>
        <w:spacing w:line="240" w:lineRule="auto" w:before="154"/>
        <w:ind w:left="137"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357" w:lineRule="auto"/>
        <w:ind w:left="137" w:right="149"/>
        <w:jc w:val="left"/>
      </w:pPr>
      <w:r>
        <w:rPr>
          <w:spacing w:val="-3"/>
        </w:rPr>
        <w:t>股份变动对最近一年和最近一期基本每股收益和稀释每股收益、归属于公司普通股股东的每</w:t>
      </w:r>
      <w:r>
        <w:rPr>
          <w:spacing w:val="-104"/>
        </w:rPr>
        <w:t> </w:t>
      </w:r>
      <w:r>
        <w:rPr>
          <w:spacing w:val="-104"/>
        </w:rPr>
      </w:r>
      <w:r>
        <w:rPr/>
        <w:t>股净资产等财务指标的影响</w:t>
      </w:r>
    </w:p>
    <w:p>
      <w:pPr>
        <w:pStyle w:val="BodyText"/>
        <w:spacing w:line="240" w:lineRule="auto" w:before="36"/>
        <w:ind w:left="137"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2"/>
          <w:szCs w:val="22"/>
        </w:rPr>
      </w:pPr>
    </w:p>
    <w:p>
      <w:pPr>
        <w:pStyle w:val="BodyText"/>
        <w:spacing w:line="357" w:lineRule="auto"/>
        <w:ind w:left="137" w:right="4349"/>
        <w:jc w:val="left"/>
      </w:pPr>
      <w:r>
        <w:rPr/>
        <w:t>公司认为必要或证券监管机构要求披露的其他内容 无</w:t>
      </w:r>
    </w:p>
    <w:p>
      <w:pPr>
        <w:spacing w:line="240" w:lineRule="auto" w:before="10"/>
        <w:rPr>
          <w:rFonts w:ascii="宋体" w:hAnsi="宋体" w:cs="宋体" w:eastAsia="宋体" w:hint="default"/>
          <w:sz w:val="21"/>
          <w:szCs w:val="21"/>
        </w:rPr>
      </w:pPr>
    </w:p>
    <w:p>
      <w:pPr>
        <w:spacing w:before="0"/>
        <w:ind w:left="137" w:right="0" w:firstLine="0"/>
        <w:jc w:val="left"/>
        <w:rPr>
          <w:rFonts w:ascii="宋体" w:hAnsi="宋体" w:cs="宋体" w:eastAsia="宋体" w:hint="default"/>
          <w:sz w:val="21"/>
          <w:szCs w:val="21"/>
        </w:rPr>
      </w:pPr>
      <w:bookmarkStart w:name="_bookmark71" w:id="72"/>
      <w:bookmarkEnd w:id="72"/>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、限售股份变动情况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1023"/>
        <w:gridCol w:w="1274"/>
        <w:gridCol w:w="1277"/>
        <w:gridCol w:w="1133"/>
        <w:gridCol w:w="1277"/>
        <w:gridCol w:w="1702"/>
        <w:gridCol w:w="1867"/>
      </w:tblGrid>
      <w:tr>
        <w:trPr>
          <w:trHeight w:val="634" w:hRule="exact"/>
        </w:trPr>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20" w:right="209" w:hanging="212"/>
              <w:jc w:val="left"/>
              <w:rPr>
                <w:rFonts w:ascii="宋体" w:hAnsi="宋体" w:cs="宋体" w:eastAsia="宋体" w:hint="default"/>
                <w:sz w:val="21"/>
                <w:szCs w:val="21"/>
              </w:rPr>
            </w:pPr>
            <w:r>
              <w:rPr>
                <w:rFonts w:ascii="宋体" w:hAnsi="宋体" w:cs="宋体" w:eastAsia="宋体" w:hint="default"/>
                <w:b/>
                <w:bCs/>
                <w:sz w:val="21"/>
                <w:szCs w:val="21"/>
              </w:rPr>
              <w:t>期初限售</w:t>
            </w:r>
            <w:r>
              <w:rPr>
                <w:rFonts w:ascii="宋体" w:hAnsi="宋体" w:cs="宋体" w:eastAsia="宋体" w:hint="default"/>
                <w:b/>
                <w:bCs/>
                <w:w w:val="100"/>
                <w:sz w:val="21"/>
                <w:szCs w:val="21"/>
              </w:rPr>
              <w:t> </w:t>
            </w:r>
            <w:r>
              <w:rPr>
                <w:rFonts w:ascii="宋体" w:hAnsi="宋体" w:cs="宋体" w:eastAsia="宋体" w:hint="default"/>
                <w:b/>
                <w:bCs/>
                <w:sz w:val="21"/>
                <w:szCs w:val="21"/>
              </w:rPr>
              <w:t>股数</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17" w:right="104" w:hanging="212"/>
              <w:jc w:val="left"/>
              <w:rPr>
                <w:rFonts w:ascii="宋体" w:hAnsi="宋体" w:cs="宋体" w:eastAsia="宋体" w:hint="default"/>
                <w:sz w:val="21"/>
                <w:szCs w:val="21"/>
              </w:rPr>
            </w:pPr>
            <w:r>
              <w:rPr>
                <w:rFonts w:ascii="宋体" w:hAnsi="宋体" w:cs="宋体" w:eastAsia="宋体" w:hint="default"/>
                <w:b/>
                <w:bCs/>
                <w:sz w:val="21"/>
                <w:szCs w:val="21"/>
              </w:rPr>
              <w:t>本期解除限</w:t>
            </w:r>
            <w:r>
              <w:rPr>
                <w:rFonts w:ascii="宋体" w:hAnsi="宋体" w:cs="宋体" w:eastAsia="宋体" w:hint="default"/>
                <w:b/>
                <w:bCs/>
                <w:w w:val="100"/>
                <w:sz w:val="21"/>
                <w:szCs w:val="21"/>
              </w:rPr>
              <w:t> </w:t>
            </w:r>
            <w:r>
              <w:rPr>
                <w:rFonts w:ascii="宋体" w:hAnsi="宋体" w:cs="宋体" w:eastAsia="宋体" w:hint="default"/>
                <w:b/>
                <w:bCs/>
                <w:sz w:val="21"/>
                <w:szCs w:val="21"/>
              </w:rPr>
              <w:t>售股数</w:t>
            </w:r>
            <w:r>
              <w:rPr>
                <w:rFonts w:ascii="宋体" w:hAnsi="宋体" w:cs="宋体" w:eastAsia="宋体" w:hint="default"/>
                <w:sz w:val="21"/>
                <w:szCs w:val="21"/>
              </w:rPr>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2" w:right="31" w:hanging="209"/>
              <w:jc w:val="left"/>
              <w:rPr>
                <w:rFonts w:ascii="宋体" w:hAnsi="宋体" w:cs="宋体" w:eastAsia="宋体" w:hint="default"/>
                <w:sz w:val="21"/>
                <w:szCs w:val="21"/>
              </w:rPr>
            </w:pPr>
            <w:r>
              <w:rPr>
                <w:rFonts w:ascii="宋体" w:hAnsi="宋体" w:cs="宋体" w:eastAsia="宋体" w:hint="default"/>
                <w:b/>
                <w:bCs/>
                <w:sz w:val="21"/>
                <w:szCs w:val="21"/>
              </w:rPr>
              <w:t>本期增加限</w:t>
            </w:r>
            <w:r>
              <w:rPr>
                <w:rFonts w:ascii="宋体" w:hAnsi="宋体" w:cs="宋体" w:eastAsia="宋体" w:hint="default"/>
                <w:b/>
                <w:bCs/>
                <w:w w:val="100"/>
                <w:sz w:val="21"/>
                <w:szCs w:val="21"/>
              </w:rPr>
              <w:t> </w:t>
            </w:r>
            <w:r>
              <w:rPr>
                <w:rFonts w:ascii="宋体" w:hAnsi="宋体" w:cs="宋体" w:eastAsia="宋体" w:hint="default"/>
                <w:b/>
                <w:bCs/>
                <w:sz w:val="21"/>
                <w:szCs w:val="21"/>
              </w:rPr>
              <w:t>售股数</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26" w:right="106" w:hanging="423"/>
              <w:jc w:val="left"/>
              <w:rPr>
                <w:rFonts w:ascii="宋体" w:hAnsi="宋体" w:cs="宋体" w:eastAsia="宋体" w:hint="default"/>
                <w:sz w:val="21"/>
                <w:szCs w:val="21"/>
              </w:rPr>
            </w:pPr>
            <w:r>
              <w:rPr>
                <w:rFonts w:ascii="宋体" w:hAnsi="宋体" w:cs="宋体" w:eastAsia="宋体" w:hint="default"/>
                <w:b/>
                <w:bCs/>
                <w:sz w:val="21"/>
                <w:szCs w:val="21"/>
              </w:rPr>
              <w:t>期末限售股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22" w:right="0"/>
              <w:jc w:val="left"/>
              <w:rPr>
                <w:rFonts w:ascii="宋体" w:hAnsi="宋体" w:cs="宋体" w:eastAsia="宋体" w:hint="default"/>
                <w:sz w:val="21"/>
                <w:szCs w:val="21"/>
              </w:rPr>
            </w:pPr>
            <w:r>
              <w:rPr>
                <w:rFonts w:ascii="宋体" w:hAnsi="宋体" w:cs="宋体" w:eastAsia="宋体" w:hint="default"/>
                <w:b/>
                <w:bCs/>
                <w:sz w:val="21"/>
                <w:szCs w:val="21"/>
              </w:rPr>
              <w:t>限售原因</w:t>
            </w:r>
            <w:r>
              <w:rPr>
                <w:rFonts w:ascii="宋体" w:hAnsi="宋体" w:cs="宋体" w:eastAsia="宋体" w:hint="default"/>
                <w:sz w:val="21"/>
                <w:szCs w:val="21"/>
              </w:rPr>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95" w:right="0"/>
              <w:jc w:val="left"/>
              <w:rPr>
                <w:rFonts w:ascii="宋体" w:hAnsi="宋体" w:cs="宋体" w:eastAsia="宋体" w:hint="default"/>
                <w:sz w:val="21"/>
                <w:szCs w:val="21"/>
              </w:rPr>
            </w:pPr>
            <w:r>
              <w:rPr>
                <w:rFonts w:ascii="宋体" w:hAnsi="宋体" w:cs="宋体" w:eastAsia="宋体" w:hint="default"/>
                <w:b/>
                <w:bCs/>
                <w:sz w:val="21"/>
                <w:szCs w:val="21"/>
              </w:rPr>
              <w:t>解除限售日期</w:t>
            </w:r>
            <w:r>
              <w:rPr>
                <w:rFonts w:ascii="宋体" w:hAnsi="宋体" w:cs="宋体" w:eastAsia="宋体" w:hint="default"/>
                <w:sz w:val="21"/>
                <w:szCs w:val="21"/>
              </w:rPr>
            </w:r>
          </w:p>
        </w:tc>
      </w:tr>
      <w:tr>
        <w:trPr>
          <w:trHeight w:val="63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钟耳顺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20,294,400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20,294,400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5"/>
              <w:jc w:val="left"/>
              <w:rPr>
                <w:rFonts w:ascii="宋体" w:hAnsi="宋体" w:cs="宋体" w:eastAsia="宋体" w:hint="default"/>
                <w:sz w:val="21"/>
                <w:szCs w:val="21"/>
              </w:rPr>
            </w:pPr>
            <w:r>
              <w:rPr>
                <w:rFonts w:ascii="宋体" w:hAnsi="宋体" w:cs="宋体" w:eastAsia="宋体" w:hint="default"/>
                <w:sz w:val="21"/>
                <w:szCs w:val="21"/>
              </w:rPr>
              <w:t>承诺解限到期后</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三个月内不减持</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宋关福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8,179,200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2,044,800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6,134,400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王尔琪</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3,891,200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972,800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2,918,400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王康弘</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3,840,000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960,000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2,880,000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梁军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3,840,000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960,000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Times New Roman" w:hAnsi="Times New Roman" w:cs="Times New Roman" w:eastAsia="Times New Roman" w:hint="default"/>
                <w:sz w:val="21"/>
                <w:szCs w:val="21"/>
              </w:rPr>
            </w:pPr>
            <w:r>
              <w:rPr>
                <w:rFonts w:ascii="Times New Roman"/>
                <w:spacing w:val="-1"/>
                <w:sz w:val="21"/>
              </w:rPr>
              <w:t>2,880,000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杜庆娥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2,240,000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560,000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1,680,000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陈俊华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601,600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601,600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滕寿威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601,600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601,600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陈炎平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396,800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396,800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王继晖</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384,000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96,000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288,000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石伟伟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352,000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352,000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顾晨刚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352,000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352,000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杨雪斌</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pacing w:val="-1"/>
                <w:sz w:val="21"/>
              </w:rPr>
              <w:t>332,800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Times New Roman" w:hAnsi="Times New Roman" w:cs="Times New Roman" w:eastAsia="Times New Roman" w:hint="default"/>
                <w:sz w:val="21"/>
                <w:szCs w:val="21"/>
              </w:rPr>
            </w:pPr>
            <w:r>
              <w:rPr>
                <w:rFonts w:ascii="Times New Roman"/>
                <w:sz w:val="21"/>
              </w:rPr>
              <w:t>83,200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21"/>
                <w:szCs w:val="21"/>
              </w:rPr>
            </w:pPr>
            <w:r>
              <w:rPr>
                <w:rFonts w:ascii="Times New Roman"/>
                <w:spacing w:val="-1"/>
                <w:sz w:val="21"/>
              </w:rPr>
              <w:t>249,600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陈国雄</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320,000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320,000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曾志明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313,600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78,400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235,200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张立立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307,200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307,200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李绍俊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294,400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294,400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张艳良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288,000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288,000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李文龙</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288,000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288,000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黎涛</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288,000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288,000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裘立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288,000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288,000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陈勇</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268,800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268,800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谢林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262,400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262,400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赵明媚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256,000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256,000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after="0" w:line="281" w:lineRule="exact"/>
        <w:jc w:val="left"/>
        <w:rPr>
          <w:rFonts w:ascii="宋体" w:hAnsi="宋体" w:cs="宋体" w:eastAsia="宋体" w:hint="default"/>
          <w:sz w:val="21"/>
          <w:szCs w:val="21"/>
        </w:rPr>
        <w:sectPr>
          <w:pgSz w:w="11910" w:h="16840"/>
          <w:pgMar w:header="884" w:footer="1007" w:top="1140" w:bottom="1200" w:left="1140" w:right="980"/>
        </w:sectPr>
      </w:pPr>
    </w:p>
    <w:p>
      <w:pPr>
        <w:spacing w:line="240" w:lineRule="auto" w:before="6"/>
        <w:rPr>
          <w:rFonts w:ascii="宋体" w:hAnsi="宋体" w:cs="宋体" w:eastAsia="宋体" w:hint="default"/>
          <w:b/>
          <w:bCs/>
          <w:sz w:val="21"/>
          <w:szCs w:val="21"/>
        </w:rPr>
      </w:pPr>
    </w:p>
    <w:tbl>
      <w:tblPr>
        <w:tblW w:w="0" w:type="auto"/>
        <w:jc w:val="left"/>
        <w:tblInd w:w="103" w:type="dxa"/>
        <w:tblLayout w:type="fixed"/>
        <w:tblCellMar>
          <w:top w:w="0" w:type="dxa"/>
          <w:left w:w="0" w:type="dxa"/>
          <w:bottom w:w="0" w:type="dxa"/>
          <w:right w:w="0" w:type="dxa"/>
        </w:tblCellMar>
        <w:tblLook w:val="01E0"/>
      </w:tblPr>
      <w:tblGrid>
        <w:gridCol w:w="1023"/>
        <w:gridCol w:w="1274"/>
        <w:gridCol w:w="1277"/>
        <w:gridCol w:w="1133"/>
        <w:gridCol w:w="1277"/>
        <w:gridCol w:w="1702"/>
        <w:gridCol w:w="1867"/>
      </w:tblGrid>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姚敏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256,000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256,000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安凯</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236,800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236,800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徐旭</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230,400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230,400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陈正</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230,400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230,400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白杨建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230,400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230,400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杨憬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230,400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230,400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赵巍</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224,000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224,000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章明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217,600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217,600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张俊平</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217,600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217,600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安代伟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217,600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217,600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龚娅杰</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2"/>
                <w:sz w:val="21"/>
              </w:rPr>
              <w:t>211,200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z w:val="21"/>
              </w:rPr>
              <w:t>52,800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spacing w:val="-1"/>
                <w:sz w:val="21"/>
              </w:rPr>
              <w:t>158,400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高管锁定</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李玮顾</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204,800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204,800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闫春利</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204,800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204,800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胡中南</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204,800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204,800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徐旺兴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204,800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204,800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4"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杨祖虎</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192,000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Times New Roman" w:hAnsi="Times New Roman" w:cs="Times New Roman" w:eastAsia="Times New Roman" w:hint="default"/>
                <w:sz w:val="21"/>
                <w:szCs w:val="21"/>
              </w:rPr>
            </w:pPr>
            <w:r>
              <w:rPr>
                <w:rFonts w:ascii="Times New Roman"/>
                <w:spacing w:val="-1"/>
                <w:sz w:val="21"/>
              </w:rPr>
              <w:t>192,000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4"/>
              <w:jc w:val="right"/>
              <w:rPr>
                <w:rFonts w:ascii="Times New Roman" w:hAnsi="Times New Roman" w:cs="Times New Roman" w:eastAsia="Times New Roman" w:hint="default"/>
                <w:sz w:val="21"/>
                <w:szCs w:val="21"/>
              </w:rPr>
            </w:pPr>
            <w:r>
              <w:rPr>
                <w:rFonts w:ascii="Times New Roman"/>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首发承诺到期</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77"/>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2" w:hRule="exact"/>
        </w:trPr>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51,993,600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spacing w:val="-1"/>
                <w:sz w:val="21"/>
              </w:rPr>
              <w:t>14,275,200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127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34"/>
              <w:ind w:right="16"/>
              <w:jc w:val="right"/>
              <w:rPr>
                <w:rFonts w:ascii="Times New Roman" w:hAnsi="Times New Roman" w:cs="Times New Roman" w:eastAsia="Times New Roman" w:hint="default"/>
                <w:sz w:val="21"/>
                <w:szCs w:val="21"/>
              </w:rPr>
            </w:pPr>
            <w:r>
              <w:rPr>
                <w:rFonts w:ascii="Times New Roman"/>
                <w:spacing w:val="-1"/>
                <w:sz w:val="21"/>
              </w:rPr>
              <w:t>37,718,400</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1"/>
        <w:rPr>
          <w:rFonts w:ascii="宋体" w:hAnsi="宋体" w:cs="宋体" w:eastAsia="宋体" w:hint="default"/>
          <w:b/>
          <w:bCs/>
          <w:sz w:val="18"/>
          <w:szCs w:val="18"/>
        </w:rPr>
      </w:pPr>
    </w:p>
    <w:p>
      <w:pPr>
        <w:spacing w:line="542" w:lineRule="auto" w:before="26"/>
        <w:ind w:left="137" w:right="6089" w:firstLine="0"/>
        <w:jc w:val="left"/>
        <w:rPr>
          <w:rFonts w:ascii="宋体" w:hAnsi="宋体" w:cs="宋体" w:eastAsia="宋体" w:hint="default"/>
          <w:sz w:val="24"/>
          <w:szCs w:val="24"/>
        </w:rPr>
      </w:pPr>
      <w:bookmarkStart w:name="_bookmark72" w:id="73"/>
      <w:bookmarkEnd w:id="73"/>
      <w:r>
        <w:rPr/>
      </w:r>
      <w:r>
        <w:rPr>
          <w:rFonts w:ascii="宋体" w:hAnsi="宋体" w:cs="宋体" w:eastAsia="宋体" w:hint="default"/>
          <w:b/>
          <w:bCs/>
          <w:sz w:val="24"/>
          <w:szCs w:val="24"/>
        </w:rPr>
        <w:t>二、证券发行与上市情况</w:t>
      </w:r>
      <w:r>
        <w:rPr>
          <w:rFonts w:ascii="宋体" w:hAnsi="宋体" w:cs="宋体" w:eastAsia="宋体" w:hint="default"/>
          <w:b/>
          <w:bCs/>
          <w:w w:val="99"/>
          <w:sz w:val="24"/>
          <w:szCs w:val="24"/>
        </w:rPr>
        <w:t> </w:t>
      </w:r>
      <w:bookmarkStart w:name="_bookmark73" w:id="74"/>
      <w:bookmarkEnd w:id="74"/>
      <w:r>
        <w:rPr>
          <w:rFonts w:ascii="宋体" w:hAnsi="宋体" w:cs="宋体" w:eastAsia="宋体" w:hint="default"/>
          <w:b/>
          <w:bCs/>
          <w:w w:val="99"/>
          <w:sz w:val="24"/>
          <w:szCs w:val="24"/>
        </w:rPr>
      </w:r>
      <w:r>
        <w:rPr>
          <w:rFonts w:ascii="Times New Roman" w:hAnsi="Times New Roman" w:cs="Times New Roman" w:eastAsia="Times New Roman" w:hint="default"/>
          <w:b/>
          <w:bCs/>
          <w:sz w:val="24"/>
          <w:szCs w:val="24"/>
        </w:rPr>
        <w:t>1</w:t>
      </w:r>
      <w:r>
        <w:rPr>
          <w:rFonts w:ascii="宋体" w:hAnsi="宋体" w:cs="宋体" w:eastAsia="宋体" w:hint="default"/>
          <w:b/>
          <w:bCs/>
          <w:sz w:val="24"/>
          <w:szCs w:val="24"/>
        </w:rPr>
        <w:t>、报告期内证券发行情况</w:t>
      </w:r>
      <w:r>
        <w:rPr>
          <w:rFonts w:ascii="宋体" w:hAnsi="宋体" w:cs="宋体" w:eastAsia="宋体" w:hint="default"/>
          <w:b/>
          <w:bCs/>
          <w:w w:val="99"/>
          <w:sz w:val="24"/>
          <w:szCs w:val="24"/>
        </w:rPr>
        <w:t> </w:t>
      </w:r>
      <w:r>
        <w:rPr>
          <w:rFonts w:ascii="宋体" w:hAnsi="宋体" w:cs="宋体" w:eastAsia="宋体" w:hint="default"/>
          <w:sz w:val="24"/>
          <w:szCs w:val="24"/>
        </w:rPr>
        <w:t>报告期内，公司无证券发行情况。</w:t>
      </w:r>
    </w:p>
    <w:p>
      <w:pPr>
        <w:pStyle w:val="Heading4"/>
        <w:spacing w:line="240" w:lineRule="auto" w:before="151"/>
        <w:ind w:right="89"/>
        <w:jc w:val="left"/>
        <w:rPr>
          <w:b w:val="0"/>
          <w:bCs w:val="0"/>
        </w:rPr>
      </w:pPr>
      <w:bookmarkStart w:name="_bookmark74" w:id="75"/>
      <w:bookmarkEnd w:id="75"/>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33"/>
          <w:szCs w:val="33"/>
        </w:rPr>
      </w:pPr>
    </w:p>
    <w:p>
      <w:pPr>
        <w:pStyle w:val="BodyText"/>
        <w:spacing w:line="357" w:lineRule="auto"/>
        <w:ind w:left="137" w:right="89"/>
        <w:jc w:val="left"/>
      </w:pPr>
      <w:r>
        <w:rPr/>
        <w:t>报告期内，公司不存在因送股、转增股本、配股、增发新股、非公开发行股票、权证行权、 </w:t>
      </w:r>
      <w:r>
        <w:rPr>
          <w:spacing w:val="-3"/>
        </w:rPr>
        <w:t>实施股权激励计划、企业合并、可转换公司债券转股、减资、债券发行或其他原因引起公司</w:t>
      </w:r>
      <w:r>
        <w:rPr>
          <w:spacing w:val="-108"/>
        </w:rPr>
        <w:t> </w:t>
      </w:r>
      <w:r>
        <w:rPr>
          <w:spacing w:val="-108"/>
        </w:rPr>
      </w:r>
      <w:r>
        <w:rPr/>
        <w:t>股份总数及结构的变动、公司资产负债结构的变动情况。</w:t>
      </w:r>
    </w:p>
    <w:p>
      <w:pPr>
        <w:spacing w:line="240" w:lineRule="auto" w:before="12"/>
        <w:rPr>
          <w:rFonts w:ascii="宋体" w:hAnsi="宋体" w:cs="宋体" w:eastAsia="宋体" w:hint="default"/>
          <w:sz w:val="19"/>
          <w:szCs w:val="19"/>
        </w:rPr>
      </w:pPr>
    </w:p>
    <w:p>
      <w:pPr>
        <w:pStyle w:val="Heading4"/>
        <w:spacing w:line="240" w:lineRule="auto"/>
        <w:ind w:right="89"/>
        <w:jc w:val="left"/>
        <w:rPr>
          <w:b w:val="0"/>
          <w:bCs w:val="0"/>
        </w:rPr>
      </w:pPr>
      <w:bookmarkStart w:name="_bookmark75" w:id="76"/>
      <w:bookmarkEnd w:id="76"/>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spacing w:before="0"/>
        <w:ind w:left="137" w:right="89" w:firstLine="0"/>
        <w:jc w:val="left"/>
        <w:rPr>
          <w:rFonts w:ascii="宋体" w:hAnsi="宋体" w:cs="宋体" w:eastAsia="宋体" w:hint="default"/>
          <w:sz w:val="21"/>
          <w:szCs w:val="21"/>
        </w:rPr>
      </w:pPr>
      <w:bookmarkStart w:name="_bookmark76" w:id="77"/>
      <w:bookmarkEnd w:id="7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、公司股东数量及持股情况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132" w:type="dxa"/>
        <w:tblLayout w:type="fixed"/>
        <w:tblCellMar>
          <w:top w:w="0" w:type="dxa"/>
          <w:left w:w="0" w:type="dxa"/>
          <w:bottom w:w="0" w:type="dxa"/>
          <w:right w:w="0" w:type="dxa"/>
        </w:tblCellMar>
        <w:tblLook w:val="01E0"/>
      </w:tblPr>
      <w:tblGrid>
        <w:gridCol w:w="1843"/>
        <w:gridCol w:w="875"/>
        <w:gridCol w:w="544"/>
        <w:gridCol w:w="848"/>
        <w:gridCol w:w="284"/>
        <w:gridCol w:w="1073"/>
        <w:gridCol w:w="1368"/>
        <w:gridCol w:w="1523"/>
        <w:gridCol w:w="1213"/>
      </w:tblGrid>
      <w:tr>
        <w:trPr>
          <w:trHeight w:val="326" w:hRule="exact"/>
        </w:trPr>
        <w:tc>
          <w:tcPr>
            <w:tcW w:w="27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报告期股东总数</w:t>
            </w:r>
          </w:p>
        </w:tc>
        <w:tc>
          <w:tcPr>
            <w:tcW w:w="1392" w:type="dxa"/>
            <w:gridSpan w:val="2"/>
            <w:tcBorders>
              <w:top w:val="single" w:sz="4" w:space="0" w:color="000000"/>
              <w:left w:val="single" w:sz="14" w:space="0" w:color="D2D2D2"/>
              <w:bottom w:val="single" w:sz="4" w:space="0" w:color="000000"/>
              <w:right w:val="single" w:sz="10" w:space="0" w:color="D2D2D2"/>
            </w:tcBorders>
          </w:tcPr>
          <w:p>
            <w:pPr>
              <w:pStyle w:val="TableParagraph"/>
              <w:spacing w:line="240" w:lineRule="auto" w:before="34"/>
              <w:ind w:left="861" w:right="0"/>
              <w:jc w:val="left"/>
              <w:rPr>
                <w:rFonts w:ascii="Times New Roman" w:hAnsi="Times New Roman" w:cs="Times New Roman" w:eastAsia="Times New Roman" w:hint="default"/>
                <w:sz w:val="21"/>
                <w:szCs w:val="21"/>
              </w:rPr>
            </w:pPr>
            <w:r>
              <w:rPr>
                <w:rFonts w:ascii="Times New Roman"/>
                <w:sz w:val="21"/>
              </w:rPr>
              <w:t>7,751</w:t>
            </w:r>
          </w:p>
        </w:tc>
        <w:tc>
          <w:tcPr>
            <w:tcW w:w="424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8" w:lineRule="exact"/>
              <w:ind w:left="10"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个交易日末的股东总数</w:t>
            </w:r>
          </w:p>
        </w:tc>
        <w:tc>
          <w:tcPr>
            <w:tcW w:w="12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left="692" w:right="0"/>
              <w:jc w:val="left"/>
              <w:rPr>
                <w:rFonts w:ascii="Times New Roman" w:hAnsi="Times New Roman" w:cs="Times New Roman" w:eastAsia="Times New Roman" w:hint="default"/>
                <w:sz w:val="21"/>
                <w:szCs w:val="21"/>
              </w:rPr>
            </w:pPr>
            <w:r>
              <w:rPr>
                <w:rFonts w:ascii="Times New Roman"/>
                <w:sz w:val="21"/>
              </w:rPr>
              <w:t>7,349</w:t>
            </w:r>
          </w:p>
        </w:tc>
      </w:tr>
      <w:tr>
        <w:trPr>
          <w:trHeight w:val="312"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名股东持股情况</w:t>
            </w:r>
            <w:r>
              <w:rPr>
                <w:rFonts w:ascii="宋体" w:hAnsi="宋体" w:cs="宋体" w:eastAsia="宋体" w:hint="default"/>
                <w:sz w:val="21"/>
                <w:szCs w:val="21"/>
              </w:rPr>
            </w:r>
          </w:p>
        </w:tc>
      </w:tr>
      <w:tr>
        <w:trPr>
          <w:trHeight w:val="170" w:hRule="exact"/>
        </w:trPr>
        <w:tc>
          <w:tcPr>
            <w:tcW w:w="1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3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持股比例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48" w:right="45"/>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件的股份数量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626"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51" w:hRule="exact"/>
        </w:trPr>
        <w:tc>
          <w:tcPr>
            <w:tcW w:w="1843"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494"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41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1133" w:type="dxa"/>
            <w:gridSpan w:val="2"/>
            <w:vMerge/>
            <w:tcBorders>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110" w:right="0"/>
              <w:jc w:val="left"/>
              <w:rPr>
                <w:rFonts w:ascii="宋体" w:hAnsi="宋体" w:cs="宋体" w:eastAsia="宋体" w:hint="default"/>
                <w:sz w:val="21"/>
                <w:szCs w:val="21"/>
              </w:rPr>
            </w:pPr>
            <w:r>
              <w:rPr>
                <w:rFonts w:ascii="宋体" w:hAnsi="宋体" w:cs="宋体" w:eastAsia="宋体" w:hint="default"/>
                <w:sz w:val="21"/>
                <w:szCs w:val="21"/>
              </w:rPr>
              <w:t>持股数量</w:t>
            </w:r>
          </w:p>
        </w:tc>
        <w:tc>
          <w:tcPr>
            <w:tcW w:w="1368"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843" w:type="dxa"/>
            <w:vMerge/>
            <w:tcBorders>
              <w:left w:val="single" w:sz="4" w:space="0" w:color="000000"/>
              <w:bottom w:val="nil" w:sz="6" w:space="0" w:color="auto"/>
              <w:right w:val="single" w:sz="4" w:space="0" w:color="000000"/>
            </w:tcBorders>
            <w:shd w:val="clear" w:color="auto" w:fill="D2D2D2"/>
          </w:tcPr>
          <w:p>
            <w:pPr/>
          </w:p>
        </w:tc>
        <w:tc>
          <w:tcPr>
            <w:tcW w:w="1419" w:type="dxa"/>
            <w:gridSpan w:val="2"/>
            <w:vMerge/>
            <w:tcBorders>
              <w:left w:val="single" w:sz="4" w:space="0" w:color="000000"/>
              <w:bottom w:val="nil" w:sz="6" w:space="0" w:color="auto"/>
              <w:right w:val="single" w:sz="4" w:space="0" w:color="000000"/>
            </w:tcBorders>
            <w:shd w:val="clear" w:color="auto" w:fill="D2D2D2"/>
          </w:tcPr>
          <w:p>
            <w:pPr/>
          </w:p>
        </w:tc>
        <w:tc>
          <w:tcPr>
            <w:tcW w:w="1133" w:type="dxa"/>
            <w:gridSpan w:val="2"/>
            <w:vMerge/>
            <w:tcBorders>
              <w:left w:val="single" w:sz="4" w:space="0" w:color="000000"/>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523"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338" w:right="0"/>
              <w:jc w:val="left"/>
              <w:rPr>
                <w:rFonts w:ascii="宋体" w:hAnsi="宋体" w:cs="宋体" w:eastAsia="宋体" w:hint="default"/>
                <w:sz w:val="21"/>
                <w:szCs w:val="21"/>
              </w:rPr>
            </w:pPr>
            <w:r>
              <w:rPr>
                <w:rFonts w:ascii="宋体" w:hAnsi="宋体" w:cs="宋体" w:eastAsia="宋体" w:hint="default"/>
                <w:sz w:val="21"/>
                <w:szCs w:val="21"/>
              </w:rPr>
              <w:t>股份状态</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392"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166" w:hRule="exact"/>
        </w:trPr>
        <w:tc>
          <w:tcPr>
            <w:tcW w:w="1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3" w:type="dxa"/>
            <w:gridSpan w:val="2"/>
            <w:vMerge/>
            <w:tcBorders>
              <w:left w:val="single" w:sz="4" w:space="0" w:color="000000"/>
              <w:bottom w:val="single" w:sz="4" w:space="0" w:color="000000"/>
              <w:right w:val="single" w:sz="4" w:space="0" w:color="000000"/>
            </w:tcBorders>
            <w:shd w:val="clear" w:color="auto" w:fill="D2D2D2"/>
          </w:tcPr>
          <w:p>
            <w:pPr/>
          </w:p>
        </w:tc>
        <w:tc>
          <w:tcPr>
            <w:tcW w:w="10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523"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r>
      <w:tr>
        <w:trPr>
          <w:trHeight w:val="348"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63"/>
              <w:ind w:left="600"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1419" w:type="dxa"/>
            <w:gridSpan w:val="2"/>
            <w:vMerge w:val="restart"/>
            <w:tcBorders>
              <w:top w:val="single" w:sz="4" w:space="0" w:color="000000"/>
              <w:left w:val="single" w:sz="4" w:space="0" w:color="000000"/>
              <w:right w:val="single" w:sz="4" w:space="0" w:color="000000"/>
            </w:tcBorders>
          </w:tcPr>
          <w:p>
            <w:pPr>
              <w:pStyle w:val="TableParagraph"/>
              <w:spacing w:line="240" w:lineRule="auto" w:before="163"/>
              <w:ind w:left="17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33" w:type="dxa"/>
            <w:gridSpan w:val="2"/>
            <w:vMerge w:val="restart"/>
            <w:tcBorders>
              <w:top w:val="single" w:sz="6"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16.91%</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57" w:right="0"/>
              <w:jc w:val="left"/>
              <w:rPr>
                <w:rFonts w:ascii="Times New Roman" w:hAnsi="Times New Roman" w:cs="Times New Roman" w:eastAsia="Times New Roman" w:hint="default"/>
                <w:sz w:val="21"/>
                <w:szCs w:val="21"/>
              </w:rPr>
            </w:pPr>
            <w:r>
              <w:rPr>
                <w:rFonts w:ascii="Times New Roman"/>
                <w:sz w:val="21"/>
              </w:rPr>
              <w:t>20,294,400</w:t>
            </w:r>
          </w:p>
        </w:tc>
        <w:tc>
          <w:tcPr>
            <w:tcW w:w="1368" w:type="dxa"/>
            <w:vMerge w:val="restart"/>
            <w:tcBorders>
              <w:top w:val="single" w:sz="6"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04" w:right="0"/>
              <w:jc w:val="left"/>
              <w:rPr>
                <w:rFonts w:ascii="Times New Roman" w:hAnsi="Times New Roman" w:cs="Times New Roman" w:eastAsia="Times New Roman" w:hint="default"/>
                <w:sz w:val="21"/>
                <w:szCs w:val="21"/>
              </w:rPr>
            </w:pPr>
            <w:r>
              <w:rPr>
                <w:rFonts w:ascii="Times New Roman"/>
                <w:sz w:val="21"/>
              </w:rPr>
              <w:t>20,294,400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42"/>
              <w:jc w:val="right"/>
              <w:rPr>
                <w:rFonts w:ascii="宋体" w:hAnsi="宋体" w:cs="宋体" w:eastAsia="宋体" w:hint="default"/>
                <w:sz w:val="21"/>
                <w:szCs w:val="21"/>
              </w:rPr>
            </w:pPr>
            <w:r>
              <w:rPr>
                <w:rFonts w:ascii="宋体" w:hAnsi="宋体" w:cs="宋体" w:eastAsia="宋体" w:hint="default"/>
                <w:sz w:val="21"/>
                <w:szCs w:val="21"/>
              </w:rPr>
              <w:t>质押</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548" w:right="0"/>
              <w:jc w:val="lef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1843" w:type="dxa"/>
            <w:vMerge/>
            <w:tcBorders>
              <w:left w:val="single" w:sz="4" w:space="0" w:color="000000"/>
              <w:bottom w:val="single" w:sz="4" w:space="0" w:color="000000"/>
              <w:right w:val="single" w:sz="4" w:space="0" w:color="000000"/>
            </w:tcBorders>
          </w:tcPr>
          <w:p>
            <w:pPr/>
          </w:p>
        </w:tc>
        <w:tc>
          <w:tcPr>
            <w:tcW w:w="1419" w:type="dxa"/>
            <w:gridSpan w:val="2"/>
            <w:vMerge/>
            <w:tcBorders>
              <w:left w:val="single" w:sz="4" w:space="0" w:color="000000"/>
              <w:bottom w:val="single" w:sz="4" w:space="0" w:color="000000"/>
              <w:right w:val="single" w:sz="4" w:space="0" w:color="000000"/>
            </w:tcBorders>
          </w:tcPr>
          <w:p>
            <w:pPr/>
          </w:p>
        </w:tc>
        <w:tc>
          <w:tcPr>
            <w:tcW w:w="1133" w:type="dxa"/>
            <w:gridSpan w:val="2"/>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42"/>
              <w:jc w:val="right"/>
              <w:rPr>
                <w:rFonts w:ascii="宋体" w:hAnsi="宋体" w:cs="宋体" w:eastAsia="宋体" w:hint="default"/>
                <w:sz w:val="21"/>
                <w:szCs w:val="21"/>
              </w:rPr>
            </w:pPr>
            <w:r>
              <w:rPr>
                <w:rFonts w:ascii="宋体" w:hAnsi="宋体" w:cs="宋体" w:eastAsia="宋体" w:hint="default"/>
                <w:sz w:val="21"/>
                <w:szCs w:val="21"/>
              </w:rPr>
              <w:t>冻结</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48" w:right="0"/>
              <w:jc w:val="left"/>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600"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14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87" w:right="0"/>
              <w:jc w:val="left"/>
              <w:rPr>
                <w:rFonts w:ascii="Times New Roman" w:hAnsi="Times New Roman" w:cs="Times New Roman" w:eastAsia="Times New Roman" w:hint="default"/>
                <w:sz w:val="21"/>
                <w:szCs w:val="21"/>
              </w:rPr>
            </w:pPr>
            <w:r>
              <w:rPr>
                <w:rFonts w:ascii="Times New Roman"/>
                <w:sz w:val="21"/>
              </w:rPr>
              <w:t>6.82%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0" w:right="0"/>
              <w:jc w:val="left"/>
              <w:rPr>
                <w:rFonts w:ascii="Times New Roman" w:hAnsi="Times New Roman" w:cs="Times New Roman" w:eastAsia="Times New Roman" w:hint="default"/>
                <w:sz w:val="21"/>
                <w:szCs w:val="21"/>
              </w:rPr>
            </w:pPr>
            <w:r>
              <w:rPr>
                <w:rFonts w:ascii="Times New Roman"/>
                <w:sz w:val="21"/>
              </w:rPr>
              <w:t>8,179,200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56" w:right="0"/>
              <w:jc w:val="left"/>
              <w:rPr>
                <w:rFonts w:ascii="Times New Roman" w:hAnsi="Times New Roman" w:cs="Times New Roman" w:eastAsia="Times New Roman" w:hint="default"/>
                <w:sz w:val="21"/>
                <w:szCs w:val="21"/>
              </w:rPr>
            </w:pPr>
            <w:r>
              <w:rPr>
                <w:rFonts w:ascii="Times New Roman"/>
                <w:sz w:val="21"/>
              </w:rPr>
              <w:t>6,134,400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42"/>
              <w:jc w:val="right"/>
              <w:rPr>
                <w:rFonts w:ascii="宋体" w:hAnsi="宋体" w:cs="宋体" w:eastAsia="宋体" w:hint="default"/>
                <w:sz w:val="21"/>
                <w:szCs w:val="21"/>
              </w:rPr>
            </w:pPr>
            <w:r>
              <w:rPr>
                <w:rFonts w:ascii="宋体" w:hAnsi="宋体" w:cs="宋体" w:eastAsia="宋体" w:hint="default"/>
                <w:sz w:val="21"/>
                <w:szCs w:val="21"/>
              </w:rPr>
              <w:t>质押</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48" w:right="0"/>
              <w:jc w:val="left"/>
              <w:rPr>
                <w:rFonts w:ascii="Times New Roman" w:hAnsi="Times New Roman" w:cs="Times New Roman" w:eastAsia="Times New Roman" w:hint="default"/>
                <w:sz w:val="21"/>
                <w:szCs w:val="21"/>
              </w:rPr>
            </w:pPr>
            <w:r>
              <w:rPr>
                <w:rFonts w:ascii="Times New Roman"/>
                <w:w w:val="100"/>
                <w:sz w:val="21"/>
              </w:rPr>
              <w:t>0</w:t>
            </w:r>
          </w:p>
        </w:tc>
      </w:tr>
    </w:tbl>
    <w:p>
      <w:pPr>
        <w:spacing w:after="0" w:line="240" w:lineRule="auto"/>
        <w:jc w:val="left"/>
        <w:rPr>
          <w:rFonts w:ascii="Times New Roman" w:hAnsi="Times New Roman" w:cs="Times New Roman" w:eastAsia="Times New Roman" w:hint="default"/>
          <w:sz w:val="21"/>
          <w:szCs w:val="21"/>
        </w:rPr>
        <w:sectPr>
          <w:pgSz w:w="11910" w:h="16840"/>
          <w:pgMar w:header="884" w:footer="1007" w:top="1140" w:bottom="1200" w:left="1140" w:right="920"/>
        </w:sectPr>
      </w:pPr>
    </w:p>
    <w:p>
      <w:pPr>
        <w:spacing w:line="240" w:lineRule="auto" w:before="6"/>
        <w:rPr>
          <w:rFonts w:ascii="宋体" w:hAnsi="宋体" w:cs="宋体" w:eastAsia="宋体" w:hint="default"/>
          <w:b/>
          <w:bCs/>
          <w:sz w:val="21"/>
          <w:szCs w:val="21"/>
        </w:rPr>
      </w:pPr>
    </w:p>
    <w:tbl>
      <w:tblPr>
        <w:tblW w:w="0" w:type="auto"/>
        <w:jc w:val="left"/>
        <w:tblInd w:w="132" w:type="dxa"/>
        <w:tblLayout w:type="fixed"/>
        <w:tblCellMar>
          <w:top w:w="0" w:type="dxa"/>
          <w:left w:w="0" w:type="dxa"/>
          <w:bottom w:w="0" w:type="dxa"/>
          <w:right w:w="0" w:type="dxa"/>
        </w:tblCellMar>
        <w:tblLook w:val="01E0"/>
      </w:tblPr>
      <w:tblGrid>
        <w:gridCol w:w="1843"/>
        <w:gridCol w:w="1419"/>
        <w:gridCol w:w="566"/>
        <w:gridCol w:w="566"/>
        <w:gridCol w:w="1073"/>
        <w:gridCol w:w="1195"/>
        <w:gridCol w:w="173"/>
        <w:gridCol w:w="1529"/>
        <w:gridCol w:w="1207"/>
      </w:tblGrid>
      <w:tr>
        <w:trPr>
          <w:trHeight w:val="322" w:hRule="exact"/>
        </w:trPr>
        <w:tc>
          <w:tcPr>
            <w:tcW w:w="184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133" w:type="dxa"/>
            <w:gridSpan w:val="2"/>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冻结</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1843" w:type="dxa"/>
            <w:vMerge w:val="restart"/>
            <w:tcBorders>
              <w:top w:val="single" w:sz="4" w:space="0" w:color="000000"/>
              <w:left w:val="single" w:sz="4" w:space="0" w:color="000000"/>
              <w:right w:val="single" w:sz="4" w:space="0" w:color="000000"/>
            </w:tcBorders>
          </w:tcPr>
          <w:p>
            <w:pPr>
              <w:pStyle w:val="TableParagraph"/>
              <w:spacing w:line="273" w:lineRule="auto" w:before="38"/>
              <w:ind w:left="180" w:right="74" w:hanging="106"/>
              <w:jc w:val="left"/>
              <w:rPr>
                <w:rFonts w:ascii="宋体" w:hAnsi="宋体" w:cs="宋体" w:eastAsia="宋体" w:hint="default"/>
                <w:sz w:val="21"/>
                <w:szCs w:val="21"/>
              </w:rPr>
            </w:pPr>
            <w:r>
              <w:rPr>
                <w:rFonts w:ascii="宋体" w:hAnsi="宋体" w:cs="宋体" w:eastAsia="宋体" w:hint="default"/>
                <w:sz w:val="21"/>
                <w:szCs w:val="21"/>
              </w:rPr>
              <w:t>中国科学院地理科</w:t>
            </w:r>
            <w:r>
              <w:rPr>
                <w:rFonts w:ascii="宋体" w:hAnsi="宋体" w:cs="宋体" w:eastAsia="宋体" w:hint="default"/>
                <w:w w:val="100"/>
                <w:sz w:val="21"/>
                <w:szCs w:val="21"/>
              </w:rPr>
              <w:t> </w:t>
            </w:r>
            <w:r>
              <w:rPr>
                <w:rFonts w:ascii="宋体" w:hAnsi="宋体" w:cs="宋体" w:eastAsia="宋体" w:hint="default"/>
                <w:sz w:val="21"/>
                <w:szCs w:val="21"/>
              </w:rPr>
              <w:t>学与资源研究所</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83" w:right="0"/>
              <w:jc w:val="left"/>
              <w:rPr>
                <w:rFonts w:ascii="宋体" w:hAnsi="宋体" w:cs="宋体" w:eastAsia="宋体" w:hint="default"/>
                <w:sz w:val="21"/>
                <w:szCs w:val="21"/>
              </w:rPr>
            </w:pPr>
            <w:r>
              <w:rPr>
                <w:rFonts w:ascii="宋体" w:hAnsi="宋体" w:cs="宋体" w:eastAsia="宋体" w:hint="default"/>
                <w:sz w:val="21"/>
                <w:szCs w:val="21"/>
              </w:rPr>
              <w:t>国有法人</w:t>
            </w:r>
          </w:p>
        </w:tc>
        <w:tc>
          <w:tcPr>
            <w:tcW w:w="1133"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40" w:right="0"/>
              <w:jc w:val="left"/>
              <w:rPr>
                <w:rFonts w:ascii="Times New Roman" w:hAnsi="Times New Roman" w:cs="Times New Roman" w:eastAsia="Times New Roman" w:hint="default"/>
                <w:sz w:val="21"/>
                <w:szCs w:val="21"/>
              </w:rPr>
            </w:pPr>
            <w:r>
              <w:rPr>
                <w:rFonts w:ascii="Times New Roman"/>
                <w:sz w:val="21"/>
              </w:rPr>
              <w:t>5.4%</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6,481,469</w:t>
            </w:r>
          </w:p>
        </w:tc>
        <w:tc>
          <w:tcPr>
            <w:tcW w:w="1368" w:type="dxa"/>
            <w:gridSpan w:val="2"/>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质押</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413" w:hRule="exact"/>
        </w:trPr>
        <w:tc>
          <w:tcPr>
            <w:tcW w:w="184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133" w:type="dxa"/>
            <w:gridSpan w:val="2"/>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1368" w:type="dxa"/>
            <w:gridSpan w:val="2"/>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冻结</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324"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50"/>
              <w:ind w:left="600" w:right="0"/>
              <w:jc w:val="left"/>
              <w:rPr>
                <w:rFonts w:ascii="宋体" w:hAnsi="宋体" w:cs="宋体" w:eastAsia="宋体" w:hint="default"/>
                <w:sz w:val="21"/>
                <w:szCs w:val="21"/>
              </w:rPr>
            </w:pPr>
            <w:r>
              <w:rPr>
                <w:rFonts w:ascii="宋体" w:hAnsi="宋体" w:cs="宋体" w:eastAsia="宋体" w:hint="default"/>
                <w:sz w:val="21"/>
                <w:szCs w:val="21"/>
              </w:rPr>
              <w:t>吴秋华</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50"/>
              <w:ind w:left="17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33"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3.75%</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4,502,439</w:t>
            </w:r>
          </w:p>
        </w:tc>
        <w:tc>
          <w:tcPr>
            <w:tcW w:w="1368"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质押</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sz w:val="21"/>
              </w:rPr>
              <w:t>1,100,000</w:t>
            </w:r>
          </w:p>
        </w:tc>
      </w:tr>
      <w:tr>
        <w:trPr>
          <w:trHeight w:val="322" w:hRule="exact"/>
        </w:trPr>
        <w:tc>
          <w:tcPr>
            <w:tcW w:w="184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133" w:type="dxa"/>
            <w:gridSpan w:val="2"/>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1368" w:type="dxa"/>
            <w:gridSpan w:val="2"/>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冻结</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48"/>
              <w:ind w:left="600" w:right="0"/>
              <w:jc w:val="left"/>
              <w:rPr>
                <w:rFonts w:ascii="宋体" w:hAnsi="宋体" w:cs="宋体" w:eastAsia="宋体" w:hint="default"/>
                <w:sz w:val="21"/>
                <w:szCs w:val="21"/>
              </w:rPr>
            </w:pPr>
            <w:r>
              <w:rPr>
                <w:rFonts w:ascii="宋体" w:hAnsi="宋体" w:cs="宋体" w:eastAsia="宋体" w:hint="default"/>
                <w:sz w:val="21"/>
                <w:szCs w:val="21"/>
              </w:rPr>
              <w:t>王尔琪</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48"/>
              <w:ind w:left="17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33"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3.24%</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3,891,200</w:t>
            </w:r>
          </w:p>
        </w:tc>
        <w:tc>
          <w:tcPr>
            <w:tcW w:w="1368"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2,918,400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质押</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184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133" w:type="dxa"/>
            <w:gridSpan w:val="2"/>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1368" w:type="dxa"/>
            <w:gridSpan w:val="2"/>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冻结</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48"/>
              <w:ind w:left="600" w:right="0"/>
              <w:jc w:val="left"/>
              <w:rPr>
                <w:rFonts w:ascii="宋体" w:hAnsi="宋体" w:cs="宋体" w:eastAsia="宋体" w:hint="default"/>
                <w:sz w:val="21"/>
                <w:szCs w:val="21"/>
              </w:rPr>
            </w:pPr>
            <w:r>
              <w:rPr>
                <w:rFonts w:ascii="宋体" w:hAnsi="宋体" w:cs="宋体" w:eastAsia="宋体" w:hint="default"/>
                <w:sz w:val="21"/>
                <w:szCs w:val="21"/>
              </w:rPr>
              <w:t>王康弘</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48"/>
              <w:ind w:left="17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33"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40" w:right="0"/>
              <w:jc w:val="left"/>
              <w:rPr>
                <w:rFonts w:ascii="Times New Roman" w:hAnsi="Times New Roman" w:cs="Times New Roman" w:eastAsia="Times New Roman" w:hint="default"/>
                <w:sz w:val="21"/>
                <w:szCs w:val="21"/>
              </w:rPr>
            </w:pPr>
            <w:r>
              <w:rPr>
                <w:rFonts w:ascii="Times New Roman"/>
                <w:sz w:val="21"/>
              </w:rPr>
              <w:t>3.2%</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3,840,000</w:t>
            </w:r>
          </w:p>
        </w:tc>
        <w:tc>
          <w:tcPr>
            <w:tcW w:w="1368"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2,880,000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质押</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184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133" w:type="dxa"/>
            <w:gridSpan w:val="2"/>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1368" w:type="dxa"/>
            <w:gridSpan w:val="2"/>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冻结</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324"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sz w:val="21"/>
                <w:szCs w:val="21"/>
              </w:rPr>
              <w:t>梁军</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50"/>
              <w:ind w:left="17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33"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340" w:right="0"/>
              <w:jc w:val="left"/>
              <w:rPr>
                <w:rFonts w:ascii="Times New Roman" w:hAnsi="Times New Roman" w:cs="Times New Roman" w:eastAsia="Times New Roman" w:hint="default"/>
                <w:sz w:val="21"/>
                <w:szCs w:val="21"/>
              </w:rPr>
            </w:pPr>
            <w:r>
              <w:rPr>
                <w:rFonts w:ascii="Times New Roman"/>
                <w:sz w:val="21"/>
              </w:rPr>
              <w:t>3.2%</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3,840,000</w:t>
            </w:r>
          </w:p>
        </w:tc>
        <w:tc>
          <w:tcPr>
            <w:tcW w:w="1368" w:type="dxa"/>
            <w:gridSpan w:val="2"/>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2,880,000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质押</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184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133" w:type="dxa"/>
            <w:gridSpan w:val="2"/>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1368" w:type="dxa"/>
            <w:gridSpan w:val="2"/>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冻结</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398" w:hRule="exact"/>
        </w:trPr>
        <w:tc>
          <w:tcPr>
            <w:tcW w:w="1843" w:type="dxa"/>
            <w:vMerge w:val="restart"/>
            <w:tcBorders>
              <w:top w:val="single" w:sz="4" w:space="0" w:color="000000"/>
              <w:left w:val="single" w:sz="4" w:space="0" w:color="000000"/>
              <w:right w:val="single" w:sz="4" w:space="0" w:color="000000"/>
            </w:tcBorders>
          </w:tcPr>
          <w:p>
            <w:pPr>
              <w:pStyle w:val="TableParagraph"/>
              <w:spacing w:line="273" w:lineRule="auto"/>
              <w:ind w:left="74" w:right="74"/>
              <w:jc w:val="both"/>
              <w:rPr>
                <w:rFonts w:ascii="宋体" w:hAnsi="宋体" w:cs="宋体" w:eastAsia="宋体" w:hint="default"/>
                <w:sz w:val="21"/>
                <w:szCs w:val="21"/>
              </w:rPr>
            </w:pPr>
            <w:r>
              <w:rPr>
                <w:rFonts w:ascii="宋体" w:hAnsi="宋体" w:cs="宋体" w:eastAsia="宋体" w:hint="default"/>
                <w:sz w:val="21"/>
                <w:szCs w:val="21"/>
              </w:rPr>
              <w:t>中国工商银行－易</w:t>
            </w:r>
            <w:r>
              <w:rPr>
                <w:rFonts w:ascii="宋体" w:hAnsi="宋体" w:cs="宋体" w:eastAsia="宋体" w:hint="default"/>
                <w:w w:val="100"/>
                <w:sz w:val="21"/>
                <w:szCs w:val="21"/>
              </w:rPr>
              <w:t> </w:t>
            </w:r>
            <w:r>
              <w:rPr>
                <w:rFonts w:ascii="宋体" w:hAnsi="宋体" w:cs="宋体" w:eastAsia="宋体" w:hint="default"/>
                <w:sz w:val="21"/>
                <w:szCs w:val="21"/>
              </w:rPr>
              <w:t>方达价值成长混合</w:t>
            </w:r>
            <w:r>
              <w:rPr>
                <w:rFonts w:ascii="宋体" w:hAnsi="宋体" w:cs="宋体" w:eastAsia="宋体" w:hint="default"/>
                <w:w w:val="100"/>
                <w:sz w:val="21"/>
                <w:szCs w:val="21"/>
              </w:rPr>
              <w:t> </w:t>
            </w:r>
            <w:r>
              <w:rPr>
                <w:rFonts w:ascii="宋体" w:hAnsi="宋体" w:cs="宋体" w:eastAsia="宋体" w:hint="default"/>
                <w:sz w:val="21"/>
                <w:szCs w:val="21"/>
              </w:rPr>
              <w:t>型证券投资基金</w:t>
            </w:r>
          </w:p>
        </w:tc>
        <w:tc>
          <w:tcPr>
            <w:tcW w:w="1419" w:type="dxa"/>
            <w:vMerge w:val="restart"/>
            <w:tcBorders>
              <w:top w:val="single" w:sz="4" w:space="0" w:color="000000"/>
              <w:left w:val="single" w:sz="4" w:space="0" w:color="000000"/>
              <w:right w:val="single" w:sz="4" w:space="0" w:color="000000"/>
            </w:tcBorders>
          </w:tcPr>
          <w:p>
            <w:pPr>
              <w:pStyle w:val="TableParagraph"/>
              <w:spacing w:line="273" w:lineRule="auto" w:before="143"/>
              <w:ind w:left="597" w:right="72" w:hanging="526"/>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133" w:type="dxa"/>
            <w:gridSpan w:val="2"/>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2.13%</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2,556,171</w:t>
            </w:r>
          </w:p>
        </w:tc>
        <w:tc>
          <w:tcPr>
            <w:tcW w:w="1368" w:type="dxa"/>
            <w:gridSpan w:val="2"/>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质押</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547" w:hRule="exact"/>
        </w:trPr>
        <w:tc>
          <w:tcPr>
            <w:tcW w:w="184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133" w:type="dxa"/>
            <w:gridSpan w:val="2"/>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1368" w:type="dxa"/>
            <w:gridSpan w:val="2"/>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冻结</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1843" w:type="dxa"/>
            <w:vMerge w:val="restart"/>
            <w:tcBorders>
              <w:top w:val="single" w:sz="4" w:space="0" w:color="000000"/>
              <w:left w:val="single" w:sz="4" w:space="0" w:color="000000"/>
              <w:right w:val="single" w:sz="4" w:space="0" w:color="000000"/>
            </w:tcBorders>
          </w:tcPr>
          <w:p>
            <w:pPr>
              <w:pStyle w:val="TableParagraph"/>
              <w:spacing w:line="273" w:lineRule="auto"/>
              <w:ind w:left="74" w:right="74"/>
              <w:jc w:val="center"/>
              <w:rPr>
                <w:rFonts w:ascii="宋体" w:hAnsi="宋体" w:cs="宋体" w:eastAsia="宋体" w:hint="default"/>
                <w:sz w:val="21"/>
                <w:szCs w:val="21"/>
              </w:rPr>
            </w:pPr>
            <w:r>
              <w:rPr>
                <w:rFonts w:ascii="宋体" w:hAnsi="宋体" w:cs="宋体" w:eastAsia="宋体" w:hint="default"/>
                <w:spacing w:val="-2"/>
                <w:sz w:val="21"/>
                <w:szCs w:val="21"/>
              </w:rPr>
              <w:t>中国光大银行股份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有限公司－光大保</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德信量化核心证券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投资基金</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597" w:right="72" w:hanging="526"/>
              <w:jc w:val="left"/>
              <w:rPr>
                <w:rFonts w:ascii="宋体" w:hAnsi="宋体" w:cs="宋体" w:eastAsia="宋体" w:hint="default"/>
                <w:sz w:val="21"/>
                <w:szCs w:val="21"/>
              </w:rPr>
            </w:pPr>
            <w:r>
              <w:rPr>
                <w:rFonts w:ascii="宋体" w:hAnsi="宋体" w:cs="宋体" w:eastAsia="宋体" w:hint="default"/>
                <w:sz w:val="21"/>
                <w:szCs w:val="21"/>
              </w:rPr>
              <w:t>境内非国有法</w:t>
            </w:r>
            <w:r>
              <w:rPr>
                <w:rFonts w:ascii="宋体" w:hAnsi="宋体" w:cs="宋体" w:eastAsia="宋体" w:hint="default"/>
                <w:w w:val="100"/>
                <w:sz w:val="21"/>
                <w:szCs w:val="21"/>
              </w:rPr>
              <w:t> </w:t>
            </w:r>
            <w:r>
              <w:rPr>
                <w:rFonts w:ascii="宋体" w:hAnsi="宋体" w:cs="宋体" w:eastAsia="宋体" w:hint="default"/>
                <w:sz w:val="21"/>
                <w:szCs w:val="21"/>
              </w:rPr>
              <w:t>人</w:t>
            </w:r>
          </w:p>
        </w:tc>
        <w:tc>
          <w:tcPr>
            <w:tcW w:w="1133"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1.94%</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2,323,909</w:t>
            </w:r>
          </w:p>
        </w:tc>
        <w:tc>
          <w:tcPr>
            <w:tcW w:w="1368" w:type="dxa"/>
            <w:gridSpan w:val="2"/>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质押</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936" w:hRule="exact"/>
        </w:trPr>
        <w:tc>
          <w:tcPr>
            <w:tcW w:w="184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133" w:type="dxa"/>
            <w:gridSpan w:val="2"/>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1368" w:type="dxa"/>
            <w:gridSpan w:val="2"/>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冻结</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6"/>
                <w:szCs w:val="26"/>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322" w:hRule="exact"/>
        </w:trPr>
        <w:tc>
          <w:tcPr>
            <w:tcW w:w="1843" w:type="dxa"/>
            <w:vMerge w:val="restart"/>
            <w:tcBorders>
              <w:top w:val="single" w:sz="4" w:space="0" w:color="000000"/>
              <w:left w:val="single" w:sz="4" w:space="0" w:color="000000"/>
              <w:right w:val="single" w:sz="4" w:space="0" w:color="000000"/>
            </w:tcBorders>
          </w:tcPr>
          <w:p>
            <w:pPr>
              <w:pStyle w:val="TableParagraph"/>
              <w:spacing w:line="240" w:lineRule="auto" w:before="148"/>
              <w:ind w:left="600" w:right="0"/>
              <w:jc w:val="left"/>
              <w:rPr>
                <w:rFonts w:ascii="宋体" w:hAnsi="宋体" w:cs="宋体" w:eastAsia="宋体" w:hint="default"/>
                <w:sz w:val="21"/>
                <w:szCs w:val="21"/>
              </w:rPr>
            </w:pPr>
            <w:r>
              <w:rPr>
                <w:rFonts w:ascii="宋体" w:hAnsi="宋体" w:cs="宋体" w:eastAsia="宋体" w:hint="default"/>
                <w:sz w:val="21"/>
                <w:szCs w:val="21"/>
              </w:rPr>
              <w:t>杜庆娥</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48"/>
              <w:ind w:left="17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1133"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87" w:right="0"/>
              <w:jc w:val="left"/>
              <w:rPr>
                <w:rFonts w:ascii="Times New Roman" w:hAnsi="Times New Roman" w:cs="Times New Roman" w:eastAsia="Times New Roman" w:hint="default"/>
                <w:sz w:val="21"/>
                <w:szCs w:val="21"/>
              </w:rPr>
            </w:pPr>
            <w:r>
              <w:rPr>
                <w:rFonts w:ascii="Times New Roman"/>
                <w:sz w:val="21"/>
              </w:rPr>
              <w:t>1.87%</w:t>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10" w:right="0"/>
              <w:jc w:val="left"/>
              <w:rPr>
                <w:rFonts w:ascii="Times New Roman" w:hAnsi="Times New Roman" w:cs="Times New Roman" w:eastAsia="Times New Roman" w:hint="default"/>
                <w:sz w:val="21"/>
                <w:szCs w:val="21"/>
              </w:rPr>
            </w:pPr>
            <w:r>
              <w:rPr>
                <w:rFonts w:ascii="Times New Roman"/>
                <w:sz w:val="21"/>
              </w:rPr>
              <w:t>2,240,000</w:t>
            </w:r>
          </w:p>
        </w:tc>
        <w:tc>
          <w:tcPr>
            <w:tcW w:w="1368"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56" w:right="0"/>
              <w:jc w:val="left"/>
              <w:rPr>
                <w:rFonts w:ascii="Times New Roman" w:hAnsi="Times New Roman" w:cs="Times New Roman" w:eastAsia="Times New Roman" w:hint="default"/>
                <w:sz w:val="21"/>
                <w:szCs w:val="21"/>
              </w:rPr>
            </w:pPr>
            <w:r>
              <w:rPr>
                <w:rFonts w:ascii="Times New Roman"/>
                <w:sz w:val="21"/>
              </w:rPr>
              <w:t>1,680,000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质押</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323" w:hRule="exact"/>
        </w:trPr>
        <w:tc>
          <w:tcPr>
            <w:tcW w:w="1843"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133" w:type="dxa"/>
            <w:gridSpan w:val="2"/>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c>
          <w:tcPr>
            <w:tcW w:w="1368" w:type="dxa"/>
            <w:gridSpan w:val="2"/>
            <w:vMerge/>
            <w:tcBorders>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冻结</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5"/>
              <w:jc w:val="center"/>
              <w:rPr>
                <w:rFonts w:ascii="Times New Roman" w:hAnsi="Times New Roman" w:cs="Times New Roman" w:eastAsia="Times New Roman" w:hint="default"/>
                <w:sz w:val="21"/>
                <w:szCs w:val="21"/>
              </w:rPr>
            </w:pPr>
            <w:r>
              <w:rPr>
                <w:rFonts w:ascii="Times New Roman"/>
                <w:w w:val="100"/>
                <w:sz w:val="21"/>
              </w:rPr>
              <w:t>0</w:t>
            </w:r>
          </w:p>
        </w:tc>
      </w:tr>
      <w:tr>
        <w:trPr>
          <w:trHeight w:val="32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9" w:lineRule="exact"/>
              <w:ind w:left="-1" w:right="3"/>
              <w:jc w:val="center"/>
              <w:rPr>
                <w:rFonts w:ascii="宋体" w:hAnsi="宋体" w:cs="宋体" w:eastAsia="宋体" w:hint="default"/>
                <w:sz w:val="21"/>
                <w:szCs w:val="21"/>
              </w:rPr>
            </w:pPr>
            <w:r>
              <w:rPr>
                <w:rFonts w:ascii="宋体" w:hAnsi="宋体" w:cs="宋体" w:eastAsia="宋体" w:hint="default"/>
                <w:b/>
                <w:bCs/>
                <w:sz w:val="21"/>
                <w:szCs w:val="21"/>
              </w:rPr>
              <w:t>前</w:t>
            </w:r>
            <w:r>
              <w:rPr>
                <w:rFonts w:ascii="宋体" w:hAnsi="宋体" w:cs="宋体" w:eastAsia="宋体" w:hint="default"/>
                <w:b/>
                <w:bCs/>
                <w:spacing w:val="-51"/>
                <w:sz w:val="21"/>
                <w:szCs w:val="21"/>
              </w:rPr>
              <w:t> </w:t>
            </w:r>
            <w:r>
              <w:rPr>
                <w:rFonts w:ascii="Times New Roman" w:hAnsi="Times New Roman" w:cs="Times New Roman" w:eastAsia="Times New Roman" w:hint="default"/>
                <w:b/>
                <w:bCs/>
                <w:sz w:val="21"/>
                <w:szCs w:val="21"/>
              </w:rPr>
              <w:t>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名无限售条件股东持股情况</w:t>
            </w:r>
            <w:r>
              <w:rPr>
                <w:rFonts w:ascii="宋体" w:hAnsi="宋体" w:cs="宋体" w:eastAsia="宋体" w:hint="default"/>
                <w:sz w:val="21"/>
                <w:szCs w:val="21"/>
              </w:rPr>
            </w:r>
          </w:p>
        </w:tc>
      </w:tr>
      <w:tr>
        <w:trPr>
          <w:trHeight w:val="322" w:hRule="exact"/>
        </w:trPr>
        <w:tc>
          <w:tcPr>
            <w:tcW w:w="382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28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left="254"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90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322" w:hRule="exact"/>
        </w:trPr>
        <w:tc>
          <w:tcPr>
            <w:tcW w:w="3829" w:type="dxa"/>
            <w:gridSpan w:val="3"/>
            <w:vMerge/>
            <w:tcBorders>
              <w:left w:val="single" w:sz="4" w:space="0" w:color="000000"/>
              <w:bottom w:val="single" w:sz="4" w:space="0" w:color="000000"/>
              <w:right w:val="single" w:sz="4" w:space="0" w:color="000000"/>
            </w:tcBorders>
            <w:shd w:val="clear" w:color="auto" w:fill="D2D2D2"/>
          </w:tcPr>
          <w:p>
            <w:pPr/>
          </w:p>
        </w:tc>
        <w:tc>
          <w:tcPr>
            <w:tcW w:w="2835" w:type="dxa"/>
            <w:gridSpan w:val="3"/>
            <w:vMerge/>
            <w:tcBorders>
              <w:left w:val="single" w:sz="4" w:space="0" w:color="000000"/>
              <w:bottom w:val="single" w:sz="4" w:space="0" w:color="000000"/>
              <w:right w:val="single" w:sz="4" w:space="0" w:color="000000"/>
            </w:tcBorders>
            <w:shd w:val="clear" w:color="auto" w:fill="D2D2D2"/>
          </w:tcPr>
          <w:p>
            <w:pPr/>
          </w:p>
        </w:tc>
        <w:tc>
          <w:tcPr>
            <w:tcW w:w="17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sz w:val="21"/>
                <w:szCs w:val="21"/>
              </w:rPr>
              <w:t>股份种类</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22" w:hRule="exact"/>
        </w:trPr>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1" w:right="0"/>
              <w:jc w:val="left"/>
              <w:rPr>
                <w:rFonts w:ascii="宋体" w:hAnsi="宋体" w:cs="宋体" w:eastAsia="宋体" w:hint="default"/>
                <w:sz w:val="21"/>
                <w:szCs w:val="21"/>
              </w:rPr>
            </w:pPr>
            <w:r>
              <w:rPr>
                <w:rFonts w:ascii="宋体" w:hAnsi="宋体" w:cs="宋体" w:eastAsia="宋体" w:hint="default"/>
                <w:sz w:val="21"/>
                <w:szCs w:val="21"/>
              </w:rPr>
              <w:t>中国科学院地理科学与资源研究所</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6,481,469</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6,481,469</w:t>
            </w:r>
          </w:p>
        </w:tc>
      </w:tr>
      <w:tr>
        <w:trPr>
          <w:trHeight w:val="322" w:hRule="exact"/>
        </w:trPr>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吴秋华</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4,502,439</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4,502,439</w:t>
            </w:r>
          </w:p>
        </w:tc>
      </w:tr>
      <w:tr>
        <w:trPr>
          <w:trHeight w:val="634" w:hRule="exact"/>
        </w:trPr>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276" w:right="120" w:hanging="1155"/>
              <w:jc w:val="left"/>
              <w:rPr>
                <w:rFonts w:ascii="宋体" w:hAnsi="宋体" w:cs="宋体" w:eastAsia="宋体" w:hint="default"/>
                <w:sz w:val="21"/>
                <w:szCs w:val="21"/>
              </w:rPr>
            </w:pPr>
            <w:r>
              <w:rPr>
                <w:rFonts w:ascii="宋体" w:hAnsi="宋体" w:cs="宋体" w:eastAsia="宋体" w:hint="default"/>
                <w:spacing w:val="-2"/>
                <w:sz w:val="21"/>
                <w:szCs w:val="21"/>
              </w:rPr>
              <w:t>中国工商银行－易方达价值成长混合型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证券投资基金</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2,556,171</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2,556,171</w:t>
            </w:r>
          </w:p>
        </w:tc>
      </w:tr>
      <w:tr>
        <w:trPr>
          <w:trHeight w:val="636" w:hRule="exact"/>
        </w:trPr>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51" w:right="120" w:hanging="629"/>
              <w:jc w:val="left"/>
              <w:rPr>
                <w:rFonts w:ascii="宋体" w:hAnsi="宋体" w:cs="宋体" w:eastAsia="宋体" w:hint="default"/>
                <w:sz w:val="21"/>
                <w:szCs w:val="21"/>
              </w:rPr>
            </w:pPr>
            <w:r>
              <w:rPr>
                <w:rFonts w:ascii="宋体" w:hAnsi="宋体" w:cs="宋体" w:eastAsia="宋体" w:hint="default"/>
                <w:spacing w:val="-2"/>
                <w:sz w:val="21"/>
                <w:szCs w:val="21"/>
              </w:rPr>
              <w:t>中国光大银行股份有限公司－光大保德</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信量化核心证券投资基金</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2,323,909</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2,323,909</w:t>
            </w:r>
          </w:p>
        </w:tc>
      </w:tr>
      <w:tr>
        <w:trPr>
          <w:trHeight w:val="322" w:hRule="exact"/>
        </w:trPr>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51" w:right="0"/>
              <w:jc w:val="left"/>
              <w:rPr>
                <w:rFonts w:ascii="宋体" w:hAnsi="宋体" w:cs="宋体" w:eastAsia="宋体" w:hint="default"/>
                <w:sz w:val="21"/>
                <w:szCs w:val="21"/>
              </w:rPr>
            </w:pPr>
            <w:r>
              <w:rPr>
                <w:rFonts w:ascii="宋体" w:hAnsi="宋体" w:cs="宋体" w:eastAsia="宋体" w:hint="default"/>
                <w:sz w:val="21"/>
                <w:szCs w:val="21"/>
              </w:rPr>
              <w:t>全国社保基金四零四组合</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2,049,731</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2,049,731</w:t>
            </w:r>
          </w:p>
        </w:tc>
      </w:tr>
      <w:tr>
        <w:trPr>
          <w:trHeight w:val="322" w:hRule="exact"/>
        </w:trPr>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宋关福</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2,044,800</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2,044,800</w:t>
            </w:r>
          </w:p>
        </w:tc>
      </w:tr>
      <w:tr>
        <w:trPr>
          <w:trHeight w:val="634" w:hRule="exact"/>
        </w:trPr>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751" w:right="120" w:hanging="629"/>
              <w:jc w:val="left"/>
              <w:rPr>
                <w:rFonts w:ascii="宋体" w:hAnsi="宋体" w:cs="宋体" w:eastAsia="宋体" w:hint="default"/>
                <w:sz w:val="21"/>
                <w:szCs w:val="21"/>
              </w:rPr>
            </w:pPr>
            <w:r>
              <w:rPr>
                <w:rFonts w:ascii="宋体" w:hAnsi="宋体" w:cs="宋体" w:eastAsia="宋体" w:hint="default"/>
                <w:spacing w:val="-2"/>
                <w:sz w:val="21"/>
                <w:szCs w:val="21"/>
              </w:rPr>
              <w:t>中国光大银行股份有限公司－泰信先行</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策略开放式证券投资基金</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1,600,000</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1,600,000</w:t>
            </w:r>
          </w:p>
        </w:tc>
      </w:tr>
      <w:tr>
        <w:trPr>
          <w:trHeight w:val="634" w:hRule="exact"/>
        </w:trPr>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1487" w:right="87" w:hanging="1402"/>
              <w:jc w:val="left"/>
              <w:rPr>
                <w:rFonts w:ascii="宋体" w:hAnsi="宋体" w:cs="宋体" w:eastAsia="宋体" w:hint="default"/>
                <w:sz w:val="21"/>
                <w:szCs w:val="21"/>
              </w:rPr>
            </w:pPr>
            <w:r>
              <w:rPr>
                <w:rFonts w:ascii="宋体" w:hAnsi="宋体" w:cs="宋体" w:eastAsia="宋体" w:hint="default"/>
                <w:spacing w:val="-2"/>
                <w:sz w:val="21"/>
                <w:szCs w:val="21"/>
              </w:rPr>
              <w:t>中国农业银行</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银华内需精选股票型证券</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投资基金</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1,003,082</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1,003,082</w:t>
            </w:r>
          </w:p>
        </w:tc>
      </w:tr>
      <w:tr>
        <w:trPr>
          <w:trHeight w:val="322" w:hRule="exact"/>
        </w:trPr>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31" w:right="0"/>
              <w:jc w:val="left"/>
              <w:rPr>
                <w:rFonts w:ascii="宋体" w:hAnsi="宋体" w:cs="宋体" w:eastAsia="宋体" w:hint="default"/>
                <w:sz w:val="21"/>
                <w:szCs w:val="21"/>
              </w:rPr>
            </w:pPr>
            <w:r>
              <w:rPr>
                <w:rFonts w:ascii="宋体" w:hAnsi="宋体" w:cs="宋体" w:eastAsia="宋体" w:hint="default"/>
                <w:sz w:val="21"/>
                <w:szCs w:val="21"/>
              </w:rPr>
              <w:t>中国银行－招商先锋证券投资基金</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1,000,278</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sz w:val="21"/>
              </w:rPr>
              <w:t>1,000,278</w:t>
            </w:r>
          </w:p>
        </w:tc>
      </w:tr>
      <w:tr>
        <w:trPr>
          <w:trHeight w:val="324" w:hRule="exact"/>
        </w:trPr>
        <w:tc>
          <w:tcPr>
            <w:tcW w:w="38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sz w:val="21"/>
                <w:szCs w:val="21"/>
              </w:rPr>
              <w:t>王尔琪</w:t>
            </w:r>
          </w:p>
        </w:tc>
        <w:tc>
          <w:tcPr>
            <w:tcW w:w="28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972,800</w:t>
            </w:r>
          </w:p>
        </w:tc>
        <w:tc>
          <w:tcPr>
            <w:tcW w:w="17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
              <w:jc w:val="center"/>
              <w:rPr>
                <w:rFonts w:ascii="Times New Roman" w:hAnsi="Times New Roman" w:cs="Times New Roman" w:eastAsia="Times New Roman" w:hint="default"/>
                <w:sz w:val="21"/>
                <w:szCs w:val="21"/>
              </w:rPr>
            </w:pPr>
            <w:r>
              <w:rPr>
                <w:rFonts w:ascii="Times New Roman"/>
                <w:sz w:val="21"/>
              </w:rPr>
              <w:t>972,800</w:t>
            </w:r>
          </w:p>
        </w:tc>
      </w:tr>
      <w:tr>
        <w:trPr>
          <w:trHeight w:val="946" w:hRule="exact"/>
        </w:trPr>
        <w:tc>
          <w:tcPr>
            <w:tcW w:w="38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744" w:type="dxa"/>
            <w:gridSpan w:val="6"/>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6" w:right="29" w:firstLine="28"/>
              <w:jc w:val="both"/>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大股东之间不存在关联关系</w:t>
            </w:r>
            <w:r>
              <w:rPr>
                <w:rFonts w:ascii="Times New Roman" w:hAnsi="Times New Roman" w:cs="Times New Roman" w:eastAsia="Times New Roman" w:hint="default"/>
                <w:sz w:val="21"/>
                <w:szCs w:val="21"/>
              </w:rPr>
              <w:t>,</w:t>
            </w:r>
            <w:r>
              <w:rPr>
                <w:rFonts w:ascii="宋体" w:hAnsi="宋体" w:cs="宋体" w:eastAsia="宋体" w:hint="default"/>
                <w:sz w:val="21"/>
                <w:szCs w:val="21"/>
              </w:rPr>
              <w:t>不属于一致行动人。公司未</w:t>
            </w:r>
            <w:r>
              <w:rPr>
                <w:rFonts w:ascii="宋体" w:hAnsi="宋体" w:cs="宋体" w:eastAsia="宋体" w:hint="default"/>
                <w:w w:val="100"/>
                <w:sz w:val="21"/>
                <w:szCs w:val="21"/>
              </w:rPr>
              <w:t> </w:t>
            </w:r>
            <w:r>
              <w:rPr>
                <w:rFonts w:ascii="宋体" w:hAnsi="宋体" w:cs="宋体" w:eastAsia="宋体" w:hint="default"/>
                <w:spacing w:val="-2"/>
                <w:sz w:val="21"/>
                <w:szCs w:val="21"/>
              </w:rPr>
              <w:t>知前十名无限售条件股东之间是否存在关联关系，也未知是否</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属于《上市公司信息披露管理办法》中规定的一致行动人。</w:t>
            </w:r>
          </w:p>
        </w:tc>
      </w:tr>
    </w:tbl>
    <w:p>
      <w:pPr>
        <w:spacing w:line="278" w:lineRule="exact" w:before="0"/>
        <w:ind w:left="137" w:right="183"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Times New Roman" w:hAnsi="Times New Roman" w:cs="Times New Roman" w:eastAsia="Times New Roman" w:hint="default"/>
          <w:sz w:val="21"/>
          <w:szCs w:val="21"/>
        </w:rPr>
        <w:t>1</w:t>
      </w:r>
      <w:r>
        <w:rPr>
          <w:rFonts w:ascii="宋体" w:hAnsi="宋体" w:cs="宋体" w:eastAsia="宋体" w:hint="default"/>
          <w:sz w:val="21"/>
          <w:szCs w:val="21"/>
        </w:rPr>
        <w:t>、股东性质包括国家、国有法人、境内非国有法人、境内自然人、境外法人、境外自然人等。</w:t>
      </w:r>
    </w:p>
    <w:p>
      <w:pPr>
        <w:spacing w:before="21"/>
        <w:ind w:left="137" w:right="18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、股份种类包括人民币普通股、境内上市外资股、境外上市外资股和其他。</w:t>
      </w:r>
    </w:p>
    <w:p>
      <w:pPr>
        <w:spacing w:after="0"/>
        <w:jc w:val="left"/>
        <w:rPr>
          <w:rFonts w:ascii="宋体" w:hAnsi="宋体" w:cs="宋体" w:eastAsia="宋体" w:hint="default"/>
          <w:sz w:val="21"/>
          <w:szCs w:val="21"/>
        </w:rPr>
        <w:sectPr>
          <w:pgSz w:w="11910" w:h="16840"/>
          <w:pgMar w:header="884" w:footer="1007" w:top="1140" w:bottom="1200" w:left="1140" w:right="940"/>
        </w:sectPr>
      </w:pPr>
    </w:p>
    <w:p>
      <w:pPr>
        <w:spacing w:line="240" w:lineRule="auto" w:before="6"/>
        <w:rPr>
          <w:rFonts w:ascii="宋体" w:hAnsi="宋体" w:cs="宋体" w:eastAsia="宋体" w:hint="default"/>
          <w:sz w:val="22"/>
          <w:szCs w:val="22"/>
        </w:rPr>
      </w:pPr>
    </w:p>
    <w:p>
      <w:pPr>
        <w:spacing w:line="338" w:lineRule="auto" w:before="26"/>
        <w:ind w:left="617" w:right="143" w:hanging="480"/>
        <w:jc w:val="left"/>
        <w:rPr>
          <w:rFonts w:ascii="宋体" w:hAnsi="宋体" w:cs="宋体" w:eastAsia="宋体" w:hint="default"/>
          <w:sz w:val="24"/>
          <w:szCs w:val="24"/>
        </w:rPr>
      </w:pPr>
      <w:bookmarkStart w:name="_bookmark77" w:id="78"/>
      <w:bookmarkEnd w:id="78"/>
      <w:r>
        <w:rPr/>
      </w:r>
      <w:r>
        <w:rPr>
          <w:rFonts w:ascii="Times New Roman" w:hAnsi="Times New Roman" w:cs="Times New Roman" w:eastAsia="Times New Roman" w:hint="default"/>
          <w:b/>
          <w:bCs/>
          <w:sz w:val="24"/>
          <w:szCs w:val="24"/>
        </w:rPr>
        <w:t>2</w:t>
      </w:r>
      <w:r>
        <w:rPr>
          <w:rFonts w:ascii="宋体" w:hAnsi="宋体" w:cs="宋体" w:eastAsia="宋体" w:hint="default"/>
          <w:b/>
          <w:bCs/>
          <w:sz w:val="24"/>
          <w:szCs w:val="24"/>
        </w:rPr>
        <w:t>、公司控股股东情况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公司控股股东为钟耳顺先生，钟耳顺先生中国国籍，在其他国家或地区无居留权，钟耳</w:t>
      </w:r>
    </w:p>
    <w:p>
      <w:pPr>
        <w:pStyle w:val="BodyText"/>
        <w:spacing w:line="240" w:lineRule="auto" w:before="55"/>
        <w:ind w:left="137" w:right="0"/>
        <w:jc w:val="left"/>
      </w:pPr>
      <w:r>
        <w:rPr/>
        <w:t>顺先生最近</w:t>
      </w:r>
      <w:r>
        <w:rPr>
          <w:rFonts w:ascii="Times New Roman" w:hAnsi="Times New Roman" w:cs="Times New Roman" w:eastAsia="Times New Roman" w:hint="default"/>
        </w:rPr>
        <w:t>5</w:t>
      </w:r>
      <w:r>
        <w:rPr/>
        <w:t>年一直工作于北京超图软件股份有限公司，任董事长职务。</w:t>
      </w:r>
    </w:p>
    <w:p>
      <w:pPr>
        <w:spacing w:line="338" w:lineRule="auto" w:before="135"/>
        <w:ind w:left="617" w:right="143" w:hanging="480"/>
        <w:jc w:val="left"/>
        <w:rPr>
          <w:rFonts w:ascii="宋体" w:hAnsi="宋体" w:cs="宋体" w:eastAsia="宋体" w:hint="default"/>
          <w:sz w:val="24"/>
          <w:szCs w:val="24"/>
        </w:rPr>
      </w:pPr>
      <w:bookmarkStart w:name="_bookmark78" w:id="79"/>
      <w:bookmarkEnd w:id="79"/>
      <w:r>
        <w:rPr/>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、公司实际控制人情况</w:t>
      </w:r>
      <w:r>
        <w:rPr>
          <w:rFonts w:ascii="宋体" w:hAnsi="宋体" w:cs="宋体" w:eastAsia="宋体" w:hint="default"/>
          <w:b/>
          <w:bCs/>
          <w:w w:val="99"/>
          <w:sz w:val="24"/>
          <w:szCs w:val="24"/>
        </w:rPr>
        <w:t> </w:t>
      </w:r>
      <w:r>
        <w:rPr>
          <w:rFonts w:ascii="宋体" w:hAnsi="宋体" w:cs="宋体" w:eastAsia="宋体" w:hint="default"/>
          <w:spacing w:val="-3"/>
          <w:sz w:val="24"/>
          <w:szCs w:val="24"/>
        </w:rPr>
        <w:t>公司实际控制人为钟耳顺先生，钟耳顺先生中国国籍，在其他国家或地区无居留权，钟</w:t>
      </w:r>
    </w:p>
    <w:p>
      <w:pPr>
        <w:pStyle w:val="BodyText"/>
        <w:spacing w:line="338" w:lineRule="auto" w:before="55"/>
        <w:ind w:left="137" w:right="1829"/>
        <w:jc w:val="left"/>
      </w:pPr>
      <w:r>
        <w:rPr/>
        <w:pict>
          <v:group style="position:absolute;margin-left:327.399994pt;margin-top:67.685631pt;width:8.6pt;height:64.1500pt;mso-position-horizontal-relative:page;mso-position-vertical-relative:paragraph;z-index:-918208" coordorigin="6548,1354" coordsize="172,1283">
            <v:shape style="position:absolute;left:6548;top:1354;width:172;height:1283" coordorigin="6548,1354" coordsize="172,1283" path="m6720,2316l6677,2316,6677,1354,6591,1354,6591,2316,6548,2316,6634,2637,6720,2316xe" filled="false" stroked="true" strokeweight=".75pt" strokecolor="#000000">
              <v:path arrowok="t"/>
            </v:shape>
            <w10:wrap type="none"/>
          </v:group>
        </w:pict>
      </w:r>
      <w:r>
        <w:rPr/>
        <w:t>耳顺先生最近</w:t>
      </w:r>
      <w:r>
        <w:rPr>
          <w:rFonts w:ascii="Times New Roman" w:hAnsi="Times New Roman" w:cs="Times New Roman" w:eastAsia="Times New Roman" w:hint="default"/>
        </w:rPr>
        <w:t>5</w:t>
      </w:r>
      <w:r>
        <w:rPr/>
        <w:t>年一直工作于北京超图软件股份有限公司，任董事长职务。 公司与实际控制人之间的产权及控制关系的方框图</w:t>
      </w:r>
    </w:p>
    <w:p>
      <w:pPr>
        <w:spacing w:line="420" w:lineRule="exact"/>
        <w:ind w:left="4147"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151.5pt;height:21pt;mso-position-horizontal-relative:char;mso-position-vertical-relative:line" type="#_x0000_t202" filled="true" fillcolor="#fad3b4" stroked="true" strokeweight=".75pt" strokecolor="#000000">
            <w10:anchorlock/>
            <v:textbox inset="0,0,0,0">
              <w:txbxContent>
                <w:p>
                  <w:pPr>
                    <w:spacing w:before="33"/>
                    <w:ind w:left="423" w:right="0" w:firstLine="0"/>
                    <w:jc w:val="left"/>
                    <w:rPr>
                      <w:rFonts w:ascii="宋体" w:hAnsi="宋体" w:cs="宋体" w:eastAsia="宋体" w:hint="default"/>
                      <w:sz w:val="24"/>
                      <w:szCs w:val="24"/>
                    </w:rPr>
                  </w:pPr>
                  <w:r>
                    <w:rPr>
                      <w:rFonts w:ascii="宋体" w:hAnsi="宋体" w:cs="宋体" w:eastAsia="宋体" w:hint="default"/>
                      <w:b/>
                      <w:bCs/>
                      <w:sz w:val="24"/>
                      <w:szCs w:val="24"/>
                    </w:rPr>
                    <w:t>实际控制人：钟耳顺</w:t>
                  </w:r>
                  <w:r>
                    <w:rPr>
                      <w:rFonts w:ascii="宋体" w:hAnsi="宋体" w:cs="宋体" w:eastAsia="宋体" w:hint="default"/>
                      <w:sz w:val="24"/>
                      <w:szCs w:val="24"/>
                    </w:rPr>
                  </w:r>
                </w:p>
              </w:txbxContent>
            </v:textbox>
            <v:fill type="solid"/>
          </v:shape>
        </w:pict>
      </w:r>
      <w:r>
        <w:rPr>
          <w:rFonts w:ascii="宋体" w:hAnsi="宋体" w:cs="宋体" w:eastAsia="宋体" w:hint="default"/>
          <w:position w:val="-7"/>
          <w:sz w:val="20"/>
          <w:szCs w:val="20"/>
        </w:rPr>
      </w:r>
    </w:p>
    <w:p>
      <w:pPr>
        <w:spacing w:line="240" w:lineRule="auto" w:before="0"/>
        <w:rPr>
          <w:rFonts w:ascii="宋体" w:hAnsi="宋体" w:cs="宋体" w:eastAsia="宋体" w:hint="default"/>
          <w:sz w:val="24"/>
          <w:szCs w:val="24"/>
        </w:rPr>
      </w:pPr>
    </w:p>
    <w:p>
      <w:pPr>
        <w:spacing w:before="213"/>
        <w:ind w:left="5725" w:right="0" w:firstLine="0"/>
        <w:jc w:val="left"/>
        <w:rPr>
          <w:rFonts w:ascii="宋体" w:hAnsi="宋体" w:cs="宋体" w:eastAsia="宋体" w:hint="default"/>
          <w:sz w:val="21"/>
          <w:szCs w:val="21"/>
        </w:rPr>
      </w:pPr>
      <w:r>
        <w:rPr>
          <w:rFonts w:ascii="宋体" w:hAnsi="宋体" w:cs="宋体" w:eastAsia="宋体" w:hint="default"/>
          <w:b/>
          <w:bCs/>
          <w:sz w:val="21"/>
          <w:szCs w:val="21"/>
        </w:rPr>
        <w:t>股份占比</w:t>
      </w:r>
      <w:r>
        <w:rPr>
          <w:rFonts w:ascii="Times New Roman" w:hAnsi="Times New Roman" w:cs="Times New Roman" w:eastAsia="Times New Roman" w:hint="default"/>
          <w:b/>
          <w:bCs/>
          <w:sz w:val="21"/>
          <w:szCs w:val="21"/>
        </w:rPr>
        <w:t>16.91</w:t>
      </w:r>
      <w:r>
        <w:rPr>
          <w:rFonts w:ascii="宋体" w:hAnsi="宋体" w:cs="宋体" w:eastAsia="宋体" w:hint="default"/>
          <w:b/>
          <w:bCs/>
          <w:sz w:val="21"/>
          <w:szCs w:val="21"/>
        </w:rPr>
        <w:t>％</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spacing w:line="510" w:lineRule="exact"/>
        <w:ind w:left="4069"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160.5pt;height:25.5pt;mso-position-horizontal-relative:char;mso-position-vertical-relative:line" type="#_x0000_t202" filled="true" fillcolor="#fad3b4" stroked="true" strokeweight=".75pt" strokecolor="#000000">
            <w10:anchorlock/>
            <v:textbox inset="0,0,0,0">
              <w:txbxContent>
                <w:p>
                  <w:pPr>
                    <w:spacing w:before="32"/>
                    <w:ind w:left="153" w:right="0" w:firstLine="0"/>
                    <w:jc w:val="left"/>
                    <w:rPr>
                      <w:rFonts w:ascii="宋体" w:hAnsi="宋体" w:cs="宋体" w:eastAsia="宋体" w:hint="default"/>
                      <w:sz w:val="24"/>
                      <w:szCs w:val="24"/>
                    </w:rPr>
                  </w:pPr>
                  <w:r>
                    <w:rPr>
                      <w:rFonts w:ascii="宋体" w:hAnsi="宋体" w:cs="宋体" w:eastAsia="宋体" w:hint="default"/>
                      <w:b/>
                      <w:bCs/>
                      <w:sz w:val="24"/>
                      <w:szCs w:val="24"/>
                    </w:rPr>
                    <w:t>北京超图软件股份有限公司</w:t>
                  </w:r>
                  <w:r>
                    <w:rPr>
                      <w:rFonts w:ascii="宋体" w:hAnsi="宋体" w:cs="宋体" w:eastAsia="宋体" w:hint="default"/>
                      <w:sz w:val="24"/>
                      <w:szCs w:val="24"/>
                    </w:rPr>
                  </w:r>
                </w:p>
              </w:txbxContent>
            </v:textbox>
            <v:fill type="solid"/>
          </v:shape>
        </w:pict>
      </w:r>
      <w:r>
        <w:rPr>
          <w:rFonts w:ascii="宋体" w:hAnsi="宋体" w:cs="宋体" w:eastAsia="宋体" w:hint="default"/>
          <w:position w:val="-9"/>
          <w:sz w:val="20"/>
          <w:szCs w:val="20"/>
        </w:rPr>
      </w:r>
    </w:p>
    <w:p>
      <w:pPr>
        <w:spacing w:line="240" w:lineRule="auto" w:before="0"/>
        <w:rPr>
          <w:rFonts w:ascii="宋体" w:hAnsi="宋体" w:cs="宋体" w:eastAsia="宋体" w:hint="default"/>
          <w:b/>
          <w:bCs/>
          <w:sz w:val="22"/>
          <w:szCs w:val="22"/>
        </w:rPr>
      </w:pPr>
    </w:p>
    <w:p>
      <w:pPr>
        <w:pStyle w:val="BodyText"/>
        <w:spacing w:line="240" w:lineRule="auto" w:before="189"/>
        <w:ind w:left="137" w:right="0"/>
        <w:jc w:val="left"/>
      </w:pPr>
      <w:r>
        <w:rPr/>
        <w:t>实际控制人通过信托或其他资产管理方式控制公司</w:t>
      </w:r>
    </w:p>
    <w:p>
      <w:pPr>
        <w:pStyle w:val="BodyText"/>
        <w:spacing w:line="240" w:lineRule="auto" w:before="154"/>
        <w:ind w:left="137"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6"/>
        <w:rPr>
          <w:rFonts w:ascii="宋体" w:hAnsi="宋体" w:cs="宋体" w:eastAsia="宋体" w:hint="default"/>
          <w:sz w:val="27"/>
          <w:szCs w:val="27"/>
        </w:rPr>
      </w:pPr>
    </w:p>
    <w:p>
      <w:pPr>
        <w:spacing w:line="441" w:lineRule="auto" w:before="0"/>
        <w:ind w:left="137" w:right="5291" w:firstLine="0"/>
        <w:jc w:val="left"/>
        <w:rPr>
          <w:rFonts w:ascii="宋体" w:hAnsi="宋体" w:cs="宋体" w:eastAsia="宋体" w:hint="default"/>
          <w:sz w:val="24"/>
          <w:szCs w:val="24"/>
        </w:rPr>
      </w:pPr>
      <w:bookmarkStart w:name="_bookmark79" w:id="80"/>
      <w:bookmarkEnd w:id="80"/>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、其他持股在</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以上的法人股东</w:t>
      </w:r>
      <w:r>
        <w:rPr>
          <w:rFonts w:ascii="宋体" w:hAnsi="宋体" w:cs="宋体" w:eastAsia="宋体" w:hint="default"/>
          <w:b/>
          <w:bCs/>
          <w:w w:val="99"/>
          <w:sz w:val="24"/>
          <w:szCs w:val="24"/>
        </w:rPr>
        <w:t> </w:t>
      </w:r>
      <w:r>
        <w:rPr>
          <w:rFonts w:ascii="宋体" w:hAnsi="宋体" w:cs="宋体" w:eastAsia="宋体" w:hint="default"/>
          <w:sz w:val="24"/>
          <w:szCs w:val="24"/>
        </w:rPr>
        <w:t>公司不存在持股在</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以上的法人股东。</w:t>
      </w:r>
    </w:p>
    <w:p>
      <w:pPr>
        <w:pStyle w:val="Heading4"/>
        <w:spacing w:line="240" w:lineRule="auto" w:before="59"/>
        <w:ind w:right="0"/>
        <w:jc w:val="left"/>
        <w:rPr>
          <w:b w:val="0"/>
          <w:bCs w:val="0"/>
        </w:rPr>
      </w:pPr>
      <w:bookmarkStart w:name="_bookmark80" w:id="81"/>
      <w:bookmarkEnd w:id="81"/>
      <w:r>
        <w:rPr>
          <w:b w:val="0"/>
          <w:bCs w:val="0"/>
        </w:rPr>
      </w:r>
      <w:r>
        <w:rPr>
          <w:rFonts w:ascii="Times New Roman" w:hAnsi="Times New Roman" w:cs="Times New Roman" w:eastAsia="Times New Roman" w:hint="default"/>
        </w:rPr>
        <w:t>5</w:t>
      </w:r>
      <w:r>
        <w:rPr/>
        <w:t>、前</w:t>
      </w:r>
      <w:r>
        <w:rPr>
          <w:spacing w:val="-61"/>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名有限售条件股东持股数量及限售条件</w:t>
      </w:r>
      <w:r>
        <w:rPr>
          <w:b w:val="0"/>
          <w:bCs w:val="0"/>
        </w:rPr>
      </w:r>
    </w:p>
    <w:p>
      <w:pPr>
        <w:spacing w:line="240" w:lineRule="auto" w:before="4"/>
        <w:rPr>
          <w:rFonts w:ascii="宋体" w:hAnsi="宋体" w:cs="宋体" w:eastAsia="宋体" w:hint="default"/>
          <w:b/>
          <w:bCs/>
          <w:sz w:val="24"/>
          <w:szCs w:val="24"/>
        </w:rPr>
      </w:pPr>
    </w:p>
    <w:tbl>
      <w:tblPr>
        <w:tblW w:w="0" w:type="auto"/>
        <w:jc w:val="left"/>
        <w:tblInd w:w="132" w:type="dxa"/>
        <w:tblLayout w:type="fixed"/>
        <w:tblCellMar>
          <w:top w:w="0" w:type="dxa"/>
          <w:left w:w="0" w:type="dxa"/>
          <w:bottom w:w="0" w:type="dxa"/>
          <w:right w:w="0" w:type="dxa"/>
        </w:tblCellMar>
        <w:tblLook w:val="01E0"/>
      </w:tblPr>
      <w:tblGrid>
        <w:gridCol w:w="1135"/>
        <w:gridCol w:w="1841"/>
        <w:gridCol w:w="1987"/>
        <w:gridCol w:w="1558"/>
        <w:gridCol w:w="2693"/>
      </w:tblGrid>
      <w:tr>
        <w:trPr>
          <w:trHeight w:val="634" w:hRule="exact"/>
        </w:trPr>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39" w:right="33" w:hanging="106"/>
              <w:jc w:val="left"/>
              <w:rPr>
                <w:rFonts w:ascii="宋体" w:hAnsi="宋体" w:cs="宋体" w:eastAsia="宋体" w:hint="default"/>
                <w:sz w:val="21"/>
                <w:szCs w:val="21"/>
              </w:rPr>
            </w:pPr>
            <w:r>
              <w:rPr>
                <w:rFonts w:ascii="宋体" w:hAnsi="宋体" w:cs="宋体" w:eastAsia="宋体" w:hint="default"/>
                <w:b/>
                <w:bCs/>
                <w:sz w:val="21"/>
                <w:szCs w:val="21"/>
              </w:rPr>
              <w:t>有限售条件</w:t>
            </w:r>
            <w:r>
              <w:rPr>
                <w:rFonts w:ascii="宋体" w:hAnsi="宋体" w:cs="宋体" w:eastAsia="宋体" w:hint="default"/>
                <w:b/>
                <w:bCs/>
                <w:w w:val="100"/>
                <w:sz w:val="21"/>
                <w:szCs w:val="21"/>
              </w:rPr>
              <w:t> </w:t>
            </w:r>
            <w:r>
              <w:rPr>
                <w:rFonts w:ascii="宋体" w:hAnsi="宋体" w:cs="宋体" w:eastAsia="宋体" w:hint="default"/>
                <w:b/>
                <w:bCs/>
                <w:sz w:val="21"/>
                <w:szCs w:val="21"/>
              </w:rPr>
              <w:t>股东名称</w:t>
            </w:r>
            <w:r>
              <w:rPr>
                <w:rFonts w:ascii="宋体" w:hAnsi="宋体" w:cs="宋体" w:eastAsia="宋体" w:hint="default"/>
                <w:sz w:val="21"/>
                <w:szCs w:val="21"/>
              </w:rPr>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77" w:right="68" w:hanging="106"/>
              <w:jc w:val="left"/>
              <w:rPr>
                <w:rFonts w:ascii="宋体" w:hAnsi="宋体" w:cs="宋体" w:eastAsia="宋体" w:hint="default"/>
                <w:sz w:val="21"/>
                <w:szCs w:val="21"/>
              </w:rPr>
            </w:pPr>
            <w:r>
              <w:rPr>
                <w:rFonts w:ascii="宋体" w:hAnsi="宋体" w:cs="宋体" w:eastAsia="宋体" w:hint="default"/>
                <w:b/>
                <w:bCs/>
                <w:sz w:val="21"/>
                <w:szCs w:val="21"/>
              </w:rPr>
              <w:t>持有的有限售条件</w:t>
            </w:r>
            <w:r>
              <w:rPr>
                <w:rFonts w:ascii="宋体" w:hAnsi="宋体" w:cs="宋体" w:eastAsia="宋体" w:hint="default"/>
                <w:b/>
                <w:bCs/>
                <w:spacing w:val="-103"/>
                <w:sz w:val="21"/>
                <w:szCs w:val="21"/>
              </w:rPr>
              <w:t> </w:t>
            </w:r>
            <w:r>
              <w:rPr>
                <w:rFonts w:ascii="宋体" w:hAnsi="宋体" w:cs="宋体" w:eastAsia="宋体" w:hint="default"/>
                <w:b/>
                <w:bCs/>
                <w:sz w:val="21"/>
                <w:szCs w:val="21"/>
              </w:rPr>
              <w:t>股份数量（股）</w:t>
            </w:r>
            <w:r>
              <w:rPr>
                <w:rFonts w:ascii="宋体" w:hAnsi="宋体" w:cs="宋体" w:eastAsia="宋体" w:hint="default"/>
                <w:sz w:val="21"/>
                <w:szCs w:val="21"/>
              </w:rPr>
            </w:r>
          </w:p>
        </w:tc>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49" w:right="0"/>
              <w:jc w:val="left"/>
              <w:rPr>
                <w:rFonts w:ascii="宋体" w:hAnsi="宋体" w:cs="宋体" w:eastAsia="宋体" w:hint="default"/>
                <w:sz w:val="21"/>
                <w:szCs w:val="21"/>
              </w:rPr>
            </w:pPr>
            <w:r>
              <w:rPr>
                <w:rFonts w:ascii="宋体" w:hAnsi="宋体" w:cs="宋体" w:eastAsia="宋体" w:hint="default"/>
                <w:b/>
                <w:bCs/>
                <w:sz w:val="21"/>
                <w:szCs w:val="21"/>
              </w:rPr>
              <w:t>可上市交易时间</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3" w:right="34"/>
              <w:jc w:val="left"/>
              <w:rPr>
                <w:rFonts w:ascii="宋体" w:hAnsi="宋体" w:cs="宋体" w:eastAsia="宋体" w:hint="default"/>
                <w:sz w:val="21"/>
                <w:szCs w:val="21"/>
              </w:rPr>
            </w:pPr>
            <w:r>
              <w:rPr>
                <w:rFonts w:ascii="宋体" w:hAnsi="宋体" w:cs="宋体" w:eastAsia="宋体" w:hint="default"/>
                <w:b/>
                <w:bCs/>
                <w:sz w:val="21"/>
                <w:szCs w:val="21"/>
              </w:rPr>
              <w:t>新增可上市交易</w:t>
            </w:r>
            <w:r>
              <w:rPr>
                <w:rFonts w:ascii="宋体" w:hAnsi="宋体" w:cs="宋体" w:eastAsia="宋体" w:hint="default"/>
                <w:b/>
                <w:bCs/>
                <w:spacing w:val="-104"/>
                <w:sz w:val="21"/>
                <w:szCs w:val="21"/>
              </w:rPr>
              <w:t> </w:t>
            </w:r>
            <w:r>
              <w:rPr>
                <w:rFonts w:ascii="宋体" w:hAnsi="宋体" w:cs="宋体" w:eastAsia="宋体" w:hint="default"/>
                <w:b/>
                <w:bCs/>
                <w:sz w:val="21"/>
                <w:szCs w:val="21"/>
              </w:rPr>
              <w:t>股份数量（股）</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限售条件</w:t>
            </w:r>
            <w:r>
              <w:rPr>
                <w:rFonts w:ascii="宋体" w:hAnsi="宋体" w:cs="宋体" w:eastAsia="宋体" w:hint="default"/>
                <w:sz w:val="21"/>
                <w:szCs w:val="21"/>
              </w:rPr>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钟耳顺</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41" w:right="0"/>
              <w:jc w:val="left"/>
              <w:rPr>
                <w:rFonts w:ascii="Times New Roman" w:hAnsi="Times New Roman" w:cs="Times New Roman" w:eastAsia="Times New Roman" w:hint="default"/>
                <w:sz w:val="21"/>
                <w:szCs w:val="21"/>
              </w:rPr>
            </w:pPr>
            <w:r>
              <w:rPr>
                <w:rFonts w:ascii="Times New Roman"/>
                <w:sz w:val="21"/>
              </w:rPr>
              <w:t>20,294,400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17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w w:val="100"/>
                <w:sz w:val="21"/>
              </w:rPr>
              <w:t>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0"/>
              <w:jc w:val="center"/>
              <w:rPr>
                <w:rFonts w:ascii="宋体" w:hAnsi="宋体" w:cs="宋体" w:eastAsia="宋体" w:hint="default"/>
                <w:sz w:val="21"/>
                <w:szCs w:val="21"/>
              </w:rPr>
            </w:pPr>
            <w:r>
              <w:rPr>
                <w:rFonts w:ascii="宋体" w:hAnsi="宋体" w:cs="宋体" w:eastAsia="宋体" w:hint="default"/>
                <w:sz w:val="21"/>
                <w:szCs w:val="21"/>
              </w:rPr>
              <w:t>延长至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日</w:t>
            </w:r>
          </w:p>
        </w:tc>
      </w:tr>
      <w:tr>
        <w:trPr>
          <w:trHeight w:val="325"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宋关福</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94" w:right="0"/>
              <w:jc w:val="left"/>
              <w:rPr>
                <w:rFonts w:ascii="Times New Roman" w:hAnsi="Times New Roman" w:cs="Times New Roman" w:eastAsia="Times New Roman" w:hint="default"/>
                <w:sz w:val="21"/>
                <w:szCs w:val="21"/>
              </w:rPr>
            </w:pPr>
            <w:r>
              <w:rPr>
                <w:rFonts w:ascii="Times New Roman"/>
                <w:sz w:val="21"/>
              </w:rPr>
              <w:t>6,134,400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1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Times New Roman" w:hAnsi="Times New Roman" w:cs="Times New Roman" w:eastAsia="Times New Roman" w:hint="default"/>
                <w:sz w:val="21"/>
                <w:szCs w:val="21"/>
              </w:rPr>
            </w:pPr>
            <w:r>
              <w:rPr>
                <w:rFonts w:ascii="Times New Roman"/>
                <w:sz w:val="21"/>
              </w:rPr>
              <w:t>2,044,800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王尔琪</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94" w:right="0"/>
              <w:jc w:val="left"/>
              <w:rPr>
                <w:rFonts w:ascii="Times New Roman" w:hAnsi="Times New Roman" w:cs="Times New Roman" w:eastAsia="Times New Roman" w:hint="default"/>
                <w:sz w:val="21"/>
                <w:szCs w:val="21"/>
              </w:rPr>
            </w:pPr>
            <w:r>
              <w:rPr>
                <w:rFonts w:ascii="Times New Roman"/>
                <w:sz w:val="21"/>
              </w:rPr>
              <w:t>2,918,400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972,800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王康弘</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94" w:right="0"/>
              <w:jc w:val="left"/>
              <w:rPr>
                <w:rFonts w:ascii="Times New Roman" w:hAnsi="Times New Roman" w:cs="Times New Roman" w:eastAsia="Times New Roman" w:hint="default"/>
                <w:sz w:val="21"/>
                <w:szCs w:val="21"/>
              </w:rPr>
            </w:pPr>
            <w:r>
              <w:rPr>
                <w:rFonts w:ascii="Times New Roman"/>
                <w:sz w:val="21"/>
              </w:rPr>
              <w:t>2,880,000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960,000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梁军</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94" w:right="0"/>
              <w:jc w:val="left"/>
              <w:rPr>
                <w:rFonts w:ascii="Times New Roman" w:hAnsi="Times New Roman" w:cs="Times New Roman" w:eastAsia="Times New Roman" w:hint="default"/>
                <w:sz w:val="21"/>
                <w:szCs w:val="21"/>
              </w:rPr>
            </w:pPr>
            <w:r>
              <w:rPr>
                <w:rFonts w:ascii="Times New Roman"/>
                <w:sz w:val="21"/>
              </w:rPr>
              <w:t>2,880,000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960,000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杜庆娥</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94" w:right="0"/>
              <w:jc w:val="left"/>
              <w:rPr>
                <w:rFonts w:ascii="Times New Roman" w:hAnsi="Times New Roman" w:cs="Times New Roman" w:eastAsia="Times New Roman" w:hint="default"/>
                <w:sz w:val="21"/>
                <w:szCs w:val="21"/>
              </w:rPr>
            </w:pPr>
            <w:r>
              <w:rPr>
                <w:rFonts w:ascii="Times New Roman"/>
                <w:sz w:val="21"/>
              </w:rPr>
              <w:t>1,680,000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560,000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王继晖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3" w:right="0"/>
              <w:jc w:val="left"/>
              <w:rPr>
                <w:rFonts w:ascii="Times New Roman" w:hAnsi="Times New Roman" w:cs="Times New Roman" w:eastAsia="Times New Roman" w:hint="default"/>
                <w:sz w:val="21"/>
                <w:szCs w:val="21"/>
              </w:rPr>
            </w:pPr>
            <w:r>
              <w:rPr>
                <w:rFonts w:ascii="Times New Roman"/>
                <w:sz w:val="21"/>
              </w:rPr>
              <w:t>288,000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96,000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r>
        <w:trPr>
          <w:trHeight w:val="324"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杨雪斌</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573" w:right="0"/>
              <w:jc w:val="left"/>
              <w:rPr>
                <w:rFonts w:ascii="Times New Roman" w:hAnsi="Times New Roman" w:cs="Times New Roman" w:eastAsia="Times New Roman" w:hint="default"/>
                <w:sz w:val="21"/>
                <w:szCs w:val="21"/>
              </w:rPr>
            </w:pPr>
            <w:r>
              <w:rPr>
                <w:rFonts w:ascii="Times New Roman"/>
                <w:sz w:val="21"/>
              </w:rPr>
              <w:t>249,600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Times New Roman" w:hAnsi="Times New Roman" w:cs="Times New Roman" w:eastAsia="Times New Roman" w:hint="default"/>
                <w:sz w:val="21"/>
                <w:szCs w:val="21"/>
              </w:rPr>
            </w:pPr>
            <w:r>
              <w:rPr>
                <w:rFonts w:ascii="Times New Roman"/>
                <w:sz w:val="21"/>
              </w:rPr>
              <w:t>83,200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10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曾志明</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3" w:right="0"/>
              <w:jc w:val="left"/>
              <w:rPr>
                <w:rFonts w:ascii="Times New Roman" w:hAnsi="Times New Roman" w:cs="Times New Roman" w:eastAsia="Times New Roman" w:hint="default"/>
                <w:sz w:val="21"/>
                <w:szCs w:val="21"/>
              </w:rPr>
            </w:pPr>
            <w:r>
              <w:rPr>
                <w:rFonts w:ascii="Times New Roman"/>
                <w:sz w:val="21"/>
              </w:rPr>
              <w:t>235,200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78,400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10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r>
        <w:trPr>
          <w:trHeight w:val="322" w:hRule="exact"/>
        </w:trPr>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龚娅杰</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573" w:right="0"/>
              <w:jc w:val="left"/>
              <w:rPr>
                <w:rFonts w:ascii="Times New Roman" w:hAnsi="Times New Roman" w:cs="Times New Roman" w:eastAsia="Times New Roman" w:hint="default"/>
                <w:sz w:val="21"/>
                <w:szCs w:val="21"/>
              </w:rPr>
            </w:pPr>
            <w:r>
              <w:rPr>
                <w:rFonts w:ascii="Times New Roman"/>
                <w:sz w:val="21"/>
              </w:rPr>
              <w:t>158,400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52,800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高管锁定股，每年解锁</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25%</w:t>
            </w:r>
            <w:r>
              <w:rPr>
                <w:rFonts w:ascii="Times New Roman" w:hAnsi="Times New Roman" w:cs="Times New Roman" w:eastAsia="Times New Roman" w:hint="default"/>
                <w:sz w:val="21"/>
                <w:szCs w:val="21"/>
              </w:rPr>
            </w:r>
          </w:p>
        </w:tc>
      </w:tr>
    </w:tbl>
    <w:p>
      <w:pPr>
        <w:spacing w:after="0" w:line="278" w:lineRule="exact"/>
        <w:jc w:val="center"/>
        <w:rPr>
          <w:rFonts w:ascii="Times New Roman" w:hAnsi="Times New Roman" w:cs="Times New Roman" w:eastAsia="Times New Roman" w:hint="default"/>
          <w:sz w:val="21"/>
          <w:szCs w:val="21"/>
        </w:rPr>
        <w:sectPr>
          <w:pgSz w:w="11910" w:h="16840"/>
          <w:pgMar w:header="884" w:footer="1007" w:top="1140" w:bottom="1200" w:left="1140" w:right="980"/>
        </w:sectPr>
      </w:pPr>
    </w:p>
    <w:p>
      <w:pPr>
        <w:tabs>
          <w:tab w:pos="4343" w:val="left" w:leader="none"/>
          <w:tab w:pos="7393" w:val="left" w:leader="none"/>
        </w:tabs>
        <w:spacing w:line="290" w:lineRule="exact" w:before="14"/>
        <w:ind w:left="140" w:right="0" w:firstLine="0"/>
        <w:jc w:val="left"/>
        <w:rPr>
          <w:rFonts w:ascii="宋体" w:hAnsi="宋体" w:cs="宋体" w:eastAsia="宋体" w:hint="default"/>
          <w:sz w:val="21"/>
          <w:szCs w:val="21"/>
        </w:rPr>
      </w:pPr>
      <w:r>
        <w:rPr>
          <w:rFonts w:ascii="宋体" w:hAnsi="宋体" w:cs="宋体" w:eastAsia="宋体" w:hint="default"/>
          <w:spacing w:val="-2"/>
          <w:sz w:val="21"/>
          <w:szCs w:val="21"/>
        </w:rPr>
        <w:t>北京超图软件股份有限公司</w:t>
        <w:tab/>
      </w:r>
      <w:r>
        <w:rPr>
          <w:rFonts w:ascii="Calibri" w:hAnsi="Calibri" w:cs="Calibri" w:eastAsia="Calibri" w:hint="default"/>
          <w:spacing w:val="-1"/>
          <w:sz w:val="21"/>
          <w:szCs w:val="21"/>
        </w:rPr>
        <w:t>300036</w:t>
        <w:tab/>
      </w:r>
      <w:r>
        <w:rPr>
          <w:rFonts w:ascii="Calibri" w:hAnsi="Calibri" w:cs="Calibri" w:eastAsia="Calibri" w:hint="default"/>
          <w:sz w:val="21"/>
          <w:szCs w:val="21"/>
        </w:rPr>
        <w:t>2012</w:t>
      </w:r>
      <w:r>
        <w:rPr>
          <w:rFonts w:ascii="Calibri" w:hAnsi="Calibri" w:cs="Calibri" w:eastAsia="Calibri" w:hint="default"/>
          <w:spacing w:val="13"/>
          <w:sz w:val="21"/>
          <w:szCs w:val="21"/>
        </w:rPr>
        <w:t> </w:t>
      </w:r>
      <w:r>
        <w:rPr>
          <w:rFonts w:ascii="宋体" w:hAnsi="宋体" w:cs="宋体" w:eastAsia="宋体" w:hint="default"/>
          <w:spacing w:val="-1"/>
          <w:sz w:val="21"/>
          <w:szCs w:val="21"/>
        </w:rPr>
        <w:t>年度报告</w:t>
      </w:r>
    </w:p>
    <w:p>
      <w:pPr>
        <w:pStyle w:val="Heading1"/>
        <w:tabs>
          <w:tab w:pos="5130" w:val="left" w:leader="none"/>
        </w:tabs>
        <w:spacing w:line="460" w:lineRule="exact"/>
        <w:ind w:left="3683" w:right="0"/>
        <w:jc w:val="left"/>
        <w:rPr>
          <w:b w:val="0"/>
          <w:bCs w:val="0"/>
        </w:rPr>
      </w:pPr>
      <w:r>
        <w:rPr/>
        <w:pict>
          <v:group style="position:absolute;margin-left:70.559998pt;margin-top:2.071809pt;width:700.95pt;height:.1pt;mso-position-horizontal-relative:page;mso-position-vertical-relative:paragraph;z-index:-918184" coordorigin="1411,41" coordsize="14019,2">
            <v:shape style="position:absolute;left:1411;top:41;width:14019;height:2" coordorigin="1411,41" coordsize="14019,0" path="m1411,41l15430,41e" filled="false" stroked="true" strokeweight=".72pt" strokecolor="#000000">
              <v:path arrowok="t"/>
            </v:shape>
            <w10:wrap type="none"/>
          </v:group>
        </w:pict>
      </w:r>
      <w:bookmarkStart w:name="_bookmark81" w:id="82"/>
      <w:bookmarkEnd w:id="82"/>
      <w:r>
        <w:rPr>
          <w:b w:val="0"/>
          <w:bCs w:val="0"/>
        </w:rPr>
      </w:r>
      <w:r>
        <w:rPr>
          <w:w w:val="95"/>
        </w:rPr>
        <w:t>第七节</w:t>
        <w:tab/>
      </w:r>
      <w:r>
        <w:rPr/>
        <w:t>董事、监事和高级管理人员的情况</w:t>
      </w:r>
      <w:r>
        <w:rPr>
          <w:b w:val="0"/>
          <w:bCs w:val="0"/>
        </w:rPr>
      </w:r>
    </w:p>
    <w:p>
      <w:pPr>
        <w:pStyle w:val="Heading3"/>
        <w:spacing w:line="240" w:lineRule="auto" w:before="263"/>
        <w:ind w:left="140" w:right="0"/>
        <w:jc w:val="left"/>
        <w:rPr>
          <w:b w:val="0"/>
          <w:bCs w:val="0"/>
        </w:rPr>
      </w:pPr>
      <w:bookmarkStart w:name="_bookmark82" w:id="83"/>
      <w:bookmarkEnd w:id="83"/>
      <w:r>
        <w:rPr>
          <w:b w:val="0"/>
          <w:bCs w:val="0"/>
        </w:rPr>
      </w:r>
      <w:r>
        <w:rPr/>
        <w:t>一、董事、监事和高级管理人员持股变动</w:t>
      </w:r>
      <w:r>
        <w:rPr>
          <w:b w:val="0"/>
          <w:bCs w:val="0"/>
        </w:rPr>
      </w:r>
    </w:p>
    <w:p>
      <w:pPr>
        <w:spacing w:line="240" w:lineRule="auto" w:before="10"/>
        <w:rPr>
          <w:rFonts w:ascii="宋体" w:hAnsi="宋体" w:cs="宋体" w:eastAsia="宋体" w:hint="default"/>
          <w:b/>
          <w:bCs/>
          <w:sz w:val="3"/>
          <w:szCs w:val="3"/>
        </w:rPr>
      </w:pPr>
    </w:p>
    <w:tbl>
      <w:tblPr>
        <w:tblW w:w="0" w:type="auto"/>
        <w:jc w:val="left"/>
        <w:tblInd w:w="209" w:type="dxa"/>
        <w:tblLayout w:type="fixed"/>
        <w:tblCellMar>
          <w:top w:w="0" w:type="dxa"/>
          <w:left w:w="0" w:type="dxa"/>
          <w:bottom w:w="0" w:type="dxa"/>
          <w:right w:w="0" w:type="dxa"/>
        </w:tblCellMar>
        <w:tblLook w:val="01E0"/>
      </w:tblPr>
      <w:tblGrid>
        <w:gridCol w:w="929"/>
        <w:gridCol w:w="1274"/>
        <w:gridCol w:w="713"/>
        <w:gridCol w:w="565"/>
        <w:gridCol w:w="1327"/>
        <w:gridCol w:w="1234"/>
        <w:gridCol w:w="1196"/>
        <w:gridCol w:w="994"/>
        <w:gridCol w:w="850"/>
        <w:gridCol w:w="1028"/>
        <w:gridCol w:w="852"/>
        <w:gridCol w:w="866"/>
        <w:gridCol w:w="852"/>
        <w:gridCol w:w="1114"/>
      </w:tblGrid>
      <w:tr>
        <w:trPr>
          <w:trHeight w:val="1188" w:hRule="exact"/>
        </w:trPr>
        <w:tc>
          <w:tcPr>
            <w:tcW w:w="92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b/>
                <w:bCs/>
                <w:sz w:val="18"/>
                <w:szCs w:val="18"/>
              </w:rPr>
              <w:t>姓名</w:t>
            </w:r>
            <w:r>
              <w:rPr>
                <w:rFonts w:ascii="宋体" w:hAnsi="宋体" w:cs="宋体" w:eastAsia="宋体" w:hint="default"/>
                <w:sz w:val="18"/>
                <w:szCs w:val="18"/>
              </w:rPr>
            </w:r>
          </w:p>
        </w:tc>
        <w:tc>
          <w:tcPr>
            <w:tcW w:w="127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职务</w:t>
            </w:r>
            <w:r>
              <w:rPr>
                <w:rFonts w:ascii="宋体" w:hAnsi="宋体" w:cs="宋体" w:eastAsia="宋体" w:hint="default"/>
                <w:sz w:val="18"/>
                <w:szCs w:val="18"/>
              </w:rPr>
            </w:r>
          </w:p>
        </w:tc>
        <w:tc>
          <w:tcPr>
            <w:tcW w:w="71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b/>
                <w:bCs/>
                <w:sz w:val="18"/>
                <w:szCs w:val="18"/>
              </w:rPr>
              <w:t>性别</w:t>
            </w:r>
            <w:r>
              <w:rPr>
                <w:rFonts w:ascii="宋体" w:hAnsi="宋体" w:cs="宋体" w:eastAsia="宋体" w:hint="default"/>
                <w:sz w:val="18"/>
                <w:szCs w:val="18"/>
              </w:rPr>
            </w:r>
          </w:p>
        </w:tc>
        <w:tc>
          <w:tcPr>
            <w:tcW w:w="56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32" w:lineRule="exact"/>
              <w:ind w:left="184" w:right="183"/>
              <w:jc w:val="center"/>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b/>
                <w:bCs/>
                <w:w w:val="99"/>
                <w:sz w:val="18"/>
                <w:szCs w:val="18"/>
              </w:rPr>
              <w:t> </w:t>
            </w:r>
            <w:r>
              <w:rPr>
                <w:rFonts w:ascii="宋体" w:hAnsi="宋体" w:cs="宋体" w:eastAsia="宋体" w:hint="default"/>
                <w:b/>
                <w:bCs/>
                <w:sz w:val="18"/>
                <w:szCs w:val="18"/>
              </w:rPr>
              <w:t>龄</w:t>
            </w:r>
            <w:r>
              <w:rPr>
                <w:rFonts w:ascii="宋体" w:hAnsi="宋体" w:cs="宋体" w:eastAsia="宋体" w:hint="default"/>
                <w:sz w:val="18"/>
                <w:szCs w:val="18"/>
              </w:rPr>
            </w:r>
          </w:p>
        </w:tc>
        <w:tc>
          <w:tcPr>
            <w:tcW w:w="13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任期起止日期</w:t>
            </w:r>
            <w:r>
              <w:rPr>
                <w:rFonts w:ascii="宋体" w:hAnsi="宋体" w:cs="宋体" w:eastAsia="宋体" w:hint="default"/>
                <w:sz w:val="18"/>
                <w:szCs w:val="18"/>
              </w:rPr>
            </w:r>
          </w:p>
        </w:tc>
        <w:tc>
          <w:tcPr>
            <w:tcW w:w="12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32" w:lineRule="exact"/>
              <w:ind w:left="518" w:right="156" w:hanging="360"/>
              <w:jc w:val="left"/>
              <w:rPr>
                <w:rFonts w:ascii="宋体" w:hAnsi="宋体" w:cs="宋体" w:eastAsia="宋体" w:hint="default"/>
                <w:sz w:val="18"/>
                <w:szCs w:val="18"/>
              </w:rPr>
            </w:pPr>
            <w:r>
              <w:rPr>
                <w:rFonts w:ascii="宋体" w:hAnsi="宋体" w:cs="宋体" w:eastAsia="宋体" w:hint="default"/>
                <w:b/>
                <w:bCs/>
                <w:sz w:val="18"/>
                <w:szCs w:val="18"/>
              </w:rPr>
              <w:t>任期终止日</w:t>
            </w:r>
            <w:r>
              <w:rPr>
                <w:rFonts w:ascii="宋体" w:hAnsi="宋体" w:cs="宋体" w:eastAsia="宋体" w:hint="default"/>
                <w:b/>
                <w:bCs/>
                <w:w w:val="99"/>
                <w:sz w:val="18"/>
                <w:szCs w:val="18"/>
              </w:rPr>
              <w:t> </w:t>
            </w:r>
            <w:r>
              <w:rPr>
                <w:rFonts w:ascii="宋体" w:hAnsi="宋体" w:cs="宋体" w:eastAsia="宋体" w:hint="default"/>
                <w:b/>
                <w:bCs/>
                <w:sz w:val="18"/>
                <w:szCs w:val="18"/>
              </w:rPr>
              <w:t>期</w:t>
            </w:r>
            <w:r>
              <w:rPr>
                <w:rFonts w:ascii="宋体" w:hAnsi="宋体" w:cs="宋体" w:eastAsia="宋体" w:hint="default"/>
                <w:sz w:val="18"/>
                <w:szCs w:val="18"/>
              </w:rPr>
            </w:r>
          </w:p>
        </w:tc>
        <w:tc>
          <w:tcPr>
            <w:tcW w:w="119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b/>
                <w:bCs/>
                <w:sz w:val="18"/>
                <w:szCs w:val="18"/>
              </w:rPr>
              <w:t>期初持股数</w:t>
            </w:r>
            <w:r>
              <w:rPr>
                <w:rFonts w:ascii="宋体" w:hAnsi="宋体" w:cs="宋体" w:eastAsia="宋体" w:hint="default"/>
                <w:sz w:val="18"/>
                <w:szCs w:val="18"/>
              </w:rPr>
            </w:r>
          </w:p>
          <w:p>
            <w:pPr>
              <w:pStyle w:val="TableParagraph"/>
              <w:spacing w:line="248" w:lineRule="exact"/>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27" w:right="0"/>
              <w:jc w:val="left"/>
              <w:rPr>
                <w:rFonts w:ascii="宋体" w:hAnsi="宋体" w:cs="宋体" w:eastAsia="宋体" w:hint="default"/>
                <w:sz w:val="18"/>
                <w:szCs w:val="18"/>
              </w:rPr>
            </w:pPr>
            <w:r>
              <w:rPr>
                <w:rFonts w:ascii="宋体" w:hAnsi="宋体" w:cs="宋体" w:eastAsia="宋体" w:hint="default"/>
                <w:b/>
                <w:bCs/>
                <w:sz w:val="18"/>
                <w:szCs w:val="18"/>
              </w:rPr>
              <w:t>本期增持</w:t>
            </w:r>
            <w:r>
              <w:rPr>
                <w:rFonts w:ascii="宋体" w:hAnsi="宋体" w:cs="宋体" w:eastAsia="宋体" w:hint="default"/>
                <w:sz w:val="18"/>
                <w:szCs w:val="18"/>
              </w:rPr>
            </w:r>
          </w:p>
          <w:p>
            <w:pPr>
              <w:pStyle w:val="TableParagraph"/>
              <w:spacing w:line="234" w:lineRule="exact"/>
              <w:ind w:left="127" w:right="0"/>
              <w:jc w:val="left"/>
              <w:rPr>
                <w:rFonts w:ascii="宋体" w:hAnsi="宋体" w:cs="宋体" w:eastAsia="宋体" w:hint="default"/>
                <w:sz w:val="18"/>
                <w:szCs w:val="18"/>
              </w:rPr>
            </w:pPr>
            <w:r>
              <w:rPr>
                <w:rFonts w:ascii="宋体" w:hAnsi="宋体" w:cs="宋体" w:eastAsia="宋体" w:hint="default"/>
                <w:b/>
                <w:bCs/>
                <w:sz w:val="18"/>
                <w:szCs w:val="18"/>
              </w:rPr>
              <w:t>股份数量</w:t>
            </w:r>
            <w:r>
              <w:rPr>
                <w:rFonts w:ascii="宋体" w:hAnsi="宋体" w:cs="宋体" w:eastAsia="宋体" w:hint="default"/>
                <w:sz w:val="18"/>
                <w:szCs w:val="18"/>
              </w:rPr>
            </w: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本期减</w:t>
            </w:r>
            <w:r>
              <w:rPr>
                <w:rFonts w:ascii="宋体" w:hAnsi="宋体" w:cs="宋体" w:eastAsia="宋体" w:hint="default"/>
                <w:sz w:val="18"/>
                <w:szCs w:val="18"/>
              </w:rPr>
            </w:r>
          </w:p>
          <w:p>
            <w:pPr>
              <w:pStyle w:val="TableParagraph"/>
              <w:spacing w:line="240" w:lineRule="auto"/>
              <w:ind w:left="235" w:right="144" w:hanging="89"/>
              <w:jc w:val="left"/>
              <w:rPr>
                <w:rFonts w:ascii="宋体" w:hAnsi="宋体" w:cs="宋体" w:eastAsia="宋体" w:hint="default"/>
                <w:sz w:val="18"/>
                <w:szCs w:val="18"/>
              </w:rPr>
            </w:pPr>
            <w:r>
              <w:rPr>
                <w:rFonts w:ascii="宋体" w:hAnsi="宋体" w:cs="宋体" w:eastAsia="宋体" w:hint="default"/>
                <w:b/>
                <w:bCs/>
                <w:sz w:val="18"/>
                <w:szCs w:val="18"/>
              </w:rPr>
              <w:t>持股份</w:t>
            </w:r>
            <w:r>
              <w:rPr>
                <w:rFonts w:ascii="宋体" w:hAnsi="宋体" w:cs="宋体" w:eastAsia="宋体" w:hint="default"/>
                <w:b/>
                <w:bCs/>
                <w:w w:val="99"/>
                <w:sz w:val="18"/>
                <w:szCs w:val="18"/>
              </w:rPr>
              <w:t> </w:t>
            </w:r>
            <w:r>
              <w:rPr>
                <w:rFonts w:ascii="宋体" w:hAnsi="宋体" w:cs="宋体" w:eastAsia="宋体" w:hint="default"/>
                <w:b/>
                <w:bCs/>
                <w:sz w:val="18"/>
                <w:szCs w:val="18"/>
              </w:rPr>
              <w:t>数量</w:t>
            </w:r>
            <w:r>
              <w:rPr>
                <w:rFonts w:ascii="宋体" w:hAnsi="宋体" w:cs="宋体" w:eastAsia="宋体" w:hint="default"/>
                <w:sz w:val="18"/>
                <w:szCs w:val="18"/>
              </w:rPr>
            </w:r>
          </w:p>
          <w:p>
            <w:pPr>
              <w:pStyle w:val="TableParagraph"/>
              <w:spacing w:line="233"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tc>
        <w:tc>
          <w:tcPr>
            <w:tcW w:w="102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44" w:right="146"/>
              <w:jc w:val="center"/>
              <w:rPr>
                <w:rFonts w:ascii="宋体" w:hAnsi="宋体" w:cs="宋体" w:eastAsia="宋体" w:hint="default"/>
                <w:sz w:val="18"/>
                <w:szCs w:val="18"/>
              </w:rPr>
            </w:pPr>
            <w:r>
              <w:rPr>
                <w:rFonts w:ascii="宋体" w:hAnsi="宋体" w:cs="宋体" w:eastAsia="宋体" w:hint="default"/>
                <w:b/>
                <w:bCs/>
                <w:sz w:val="18"/>
                <w:szCs w:val="18"/>
              </w:rPr>
              <w:t>期末持股</w:t>
            </w:r>
            <w:r>
              <w:rPr>
                <w:rFonts w:ascii="宋体" w:hAnsi="宋体" w:cs="宋体" w:eastAsia="宋体" w:hint="default"/>
                <w:b/>
                <w:bCs/>
                <w:w w:val="99"/>
                <w:sz w:val="18"/>
                <w:szCs w:val="18"/>
              </w:rPr>
              <w:t> </w:t>
            </w:r>
            <w:r>
              <w:rPr>
                <w:rFonts w:ascii="宋体" w:hAnsi="宋体" w:cs="宋体" w:eastAsia="宋体" w:hint="default"/>
                <w:b/>
                <w:bCs/>
                <w:sz w:val="18"/>
                <w:szCs w:val="18"/>
              </w:rPr>
              <w:t>数</w:t>
            </w:r>
            <w:r>
              <w:rPr>
                <w:rFonts w:ascii="宋体" w:hAnsi="宋体" w:cs="宋体" w:eastAsia="宋体" w:hint="default"/>
                <w:sz w:val="18"/>
                <w:szCs w:val="18"/>
              </w:rPr>
            </w:r>
          </w:p>
          <w:p>
            <w:pPr>
              <w:pStyle w:val="TableParagraph"/>
              <w:spacing w:line="246"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股</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852"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hAnsi="宋体" w:cs="宋体" w:eastAsia="宋体" w:hint="default"/>
                <w:b/>
                <w:bCs/>
                <w:sz w:val="18"/>
                <w:szCs w:val="18"/>
              </w:rPr>
              <w:t>期初持</w:t>
            </w:r>
            <w:r>
              <w:rPr>
                <w:rFonts w:ascii="宋体" w:hAnsi="宋体" w:cs="宋体" w:eastAsia="宋体" w:hint="default"/>
                <w:sz w:val="18"/>
                <w:szCs w:val="18"/>
              </w:rPr>
            </w:r>
          </w:p>
          <w:p>
            <w:pPr>
              <w:pStyle w:val="TableParagraph"/>
              <w:spacing w:line="237" w:lineRule="auto"/>
              <w:ind w:left="100" w:right="12" w:firstLine="45"/>
              <w:jc w:val="left"/>
              <w:rPr>
                <w:rFonts w:ascii="宋体" w:hAnsi="宋体" w:cs="宋体" w:eastAsia="宋体" w:hint="default"/>
                <w:sz w:val="18"/>
                <w:szCs w:val="18"/>
              </w:rPr>
            </w:pPr>
            <w:r>
              <w:rPr>
                <w:rFonts w:ascii="宋体" w:hAnsi="宋体" w:cs="宋体" w:eastAsia="宋体" w:hint="default"/>
                <w:b/>
                <w:bCs/>
                <w:sz w:val="18"/>
                <w:szCs w:val="18"/>
              </w:rPr>
              <w:t>有股票</w:t>
            </w:r>
            <w:r>
              <w:rPr>
                <w:rFonts w:ascii="宋体" w:hAnsi="宋体" w:cs="宋体" w:eastAsia="宋体" w:hint="default"/>
                <w:b/>
                <w:bCs/>
                <w:w w:val="99"/>
                <w:sz w:val="18"/>
                <w:szCs w:val="18"/>
              </w:rPr>
              <w:t> </w:t>
            </w:r>
            <w:r>
              <w:rPr>
                <w:rFonts w:ascii="宋体" w:hAnsi="宋体" w:cs="宋体" w:eastAsia="宋体" w:hint="default"/>
                <w:b/>
                <w:bCs/>
                <w:sz w:val="18"/>
                <w:szCs w:val="18"/>
              </w:rPr>
              <w:t>期权数</w:t>
            </w:r>
            <w:r>
              <w:rPr>
                <w:rFonts w:ascii="宋体" w:hAnsi="宋体" w:cs="宋体" w:eastAsia="宋体" w:hint="default"/>
                <w:b/>
                <w:bCs/>
                <w:w w:val="99"/>
                <w:sz w:val="18"/>
                <w:szCs w:val="18"/>
              </w:rPr>
              <w:t> </w:t>
            </w:r>
            <w:r>
              <w:rPr>
                <w:rFonts w:ascii="宋体" w:hAnsi="宋体" w:cs="宋体" w:eastAsia="宋体" w:hint="default"/>
                <w:b/>
                <w:bCs/>
                <w:sz w:val="18"/>
                <w:szCs w:val="18"/>
              </w:rPr>
              <w:t>量（股）</w:t>
            </w:r>
            <w:r>
              <w:rPr>
                <w:rFonts w:ascii="宋体" w:hAnsi="宋体" w:cs="宋体" w:eastAsia="宋体" w:hint="default"/>
                <w:sz w:val="18"/>
                <w:szCs w:val="18"/>
              </w:rPr>
            </w:r>
          </w:p>
        </w:tc>
        <w:tc>
          <w:tcPr>
            <w:tcW w:w="866"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b/>
                <w:bCs/>
                <w:spacing w:val="2"/>
                <w:w w:val="99"/>
                <w:sz w:val="18"/>
                <w:szCs w:val="18"/>
              </w:rPr>
              <w:t>其</w:t>
            </w:r>
            <w:r>
              <w:rPr>
                <w:rFonts w:ascii="宋体" w:hAnsi="宋体" w:cs="宋体" w:eastAsia="宋体" w:hint="default"/>
                <w:b/>
                <w:bCs/>
                <w:w w:val="99"/>
                <w:sz w:val="18"/>
                <w:szCs w:val="18"/>
              </w:rPr>
              <w:t>中</w:t>
            </w:r>
            <w:r>
              <w:rPr>
                <w:rFonts w:ascii="宋体" w:hAnsi="宋体" w:cs="宋体" w:eastAsia="宋体" w:hint="default"/>
                <w:b/>
                <w:bCs/>
                <w:spacing w:val="-72"/>
                <w:w w:val="99"/>
                <w:sz w:val="18"/>
                <w:szCs w:val="18"/>
              </w:rPr>
              <w:t>：</w:t>
            </w:r>
            <w:r>
              <w:rPr>
                <w:rFonts w:ascii="宋体" w:hAnsi="宋体" w:cs="宋体" w:eastAsia="宋体" w:hint="default"/>
                <w:b/>
                <w:bCs/>
                <w:w w:val="99"/>
                <w:sz w:val="18"/>
                <w:szCs w:val="18"/>
              </w:rPr>
              <w:t>被</w:t>
            </w:r>
            <w:r>
              <w:rPr>
                <w:rFonts w:ascii="宋体" w:hAnsi="宋体" w:cs="宋体" w:eastAsia="宋体" w:hint="default"/>
                <w:sz w:val="18"/>
                <w:szCs w:val="18"/>
              </w:rPr>
            </w:r>
          </w:p>
          <w:p>
            <w:pPr>
              <w:pStyle w:val="TableParagraph"/>
              <w:spacing w:line="237" w:lineRule="auto"/>
              <w:ind w:left="153" w:right="154"/>
              <w:jc w:val="center"/>
              <w:rPr>
                <w:rFonts w:ascii="宋体" w:hAnsi="宋体" w:cs="宋体" w:eastAsia="宋体" w:hint="default"/>
                <w:sz w:val="18"/>
                <w:szCs w:val="18"/>
              </w:rPr>
            </w:pPr>
            <w:r>
              <w:rPr>
                <w:rFonts w:ascii="宋体" w:hAnsi="宋体" w:cs="宋体" w:eastAsia="宋体" w:hint="default"/>
                <w:b/>
                <w:bCs/>
                <w:sz w:val="18"/>
                <w:szCs w:val="18"/>
              </w:rPr>
              <w:t>授予的</w:t>
            </w:r>
            <w:r>
              <w:rPr>
                <w:rFonts w:ascii="宋体" w:hAnsi="宋体" w:cs="宋体" w:eastAsia="宋体" w:hint="default"/>
                <w:b/>
                <w:bCs/>
                <w:w w:val="99"/>
                <w:sz w:val="18"/>
                <w:szCs w:val="18"/>
              </w:rPr>
              <w:t> </w:t>
            </w:r>
            <w:r>
              <w:rPr>
                <w:rFonts w:ascii="宋体" w:hAnsi="宋体" w:cs="宋体" w:eastAsia="宋体" w:hint="default"/>
                <w:b/>
                <w:bCs/>
                <w:sz w:val="18"/>
                <w:szCs w:val="18"/>
              </w:rPr>
              <w:t>限制性</w:t>
            </w:r>
            <w:r>
              <w:rPr>
                <w:rFonts w:ascii="宋体" w:hAnsi="宋体" w:cs="宋体" w:eastAsia="宋体" w:hint="default"/>
                <w:b/>
                <w:bCs/>
                <w:w w:val="99"/>
                <w:sz w:val="18"/>
                <w:szCs w:val="18"/>
              </w:rPr>
              <w:t> </w:t>
            </w:r>
            <w:r>
              <w:rPr>
                <w:rFonts w:ascii="宋体" w:hAnsi="宋体" w:cs="宋体" w:eastAsia="宋体" w:hint="default"/>
                <w:b/>
                <w:bCs/>
                <w:sz w:val="18"/>
                <w:szCs w:val="18"/>
              </w:rPr>
              <w:t>股票数</w:t>
            </w:r>
            <w:r>
              <w:rPr>
                <w:rFonts w:ascii="宋体" w:hAnsi="宋体" w:cs="宋体" w:eastAsia="宋体" w:hint="default"/>
                <w:b/>
                <w:bCs/>
                <w:w w:val="99"/>
                <w:sz w:val="18"/>
                <w:szCs w:val="18"/>
              </w:rPr>
              <w:t> </w:t>
            </w:r>
            <w:r>
              <w:rPr>
                <w:rFonts w:ascii="宋体" w:hAnsi="宋体" w:cs="宋体" w:eastAsia="宋体" w:hint="default"/>
                <w:b/>
                <w:bCs/>
                <w:sz w:val="18"/>
                <w:szCs w:val="18"/>
              </w:rPr>
              <w:t>量</w:t>
            </w:r>
            <w:r>
              <w:rPr>
                <w:rFonts w:ascii="宋体" w:hAnsi="宋体" w:cs="宋体" w:eastAsia="宋体" w:hint="default"/>
                <w:sz w:val="18"/>
                <w:szCs w:val="18"/>
              </w:rPr>
            </w:r>
          </w:p>
        </w:tc>
        <w:tc>
          <w:tcPr>
            <w:tcW w:w="852" w:type="dxa"/>
            <w:tcBorders>
              <w:top w:val="single" w:sz="12"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b/>
                <w:bCs/>
                <w:spacing w:val="32"/>
                <w:sz w:val="18"/>
                <w:szCs w:val="18"/>
              </w:rPr>
              <w:t>期末持</w:t>
            </w:r>
            <w:r>
              <w:rPr>
                <w:rFonts w:ascii="宋体" w:hAnsi="宋体" w:cs="宋体" w:eastAsia="宋体" w:hint="default"/>
                <w:b/>
                <w:bCs/>
                <w:spacing w:val="-43"/>
                <w:sz w:val="18"/>
                <w:szCs w:val="18"/>
              </w:rPr>
              <w:t> </w:t>
            </w:r>
            <w:r>
              <w:rPr>
                <w:rFonts w:ascii="宋体" w:hAnsi="宋体" w:cs="宋体" w:eastAsia="宋体" w:hint="default"/>
                <w:sz w:val="18"/>
                <w:szCs w:val="18"/>
              </w:rPr>
            </w:r>
          </w:p>
          <w:p>
            <w:pPr>
              <w:pStyle w:val="TableParagraph"/>
              <w:spacing w:line="240" w:lineRule="auto"/>
              <w:ind w:left="100" w:right="50"/>
              <w:jc w:val="left"/>
              <w:rPr>
                <w:rFonts w:ascii="宋体" w:hAnsi="宋体" w:cs="宋体" w:eastAsia="宋体" w:hint="default"/>
                <w:sz w:val="18"/>
                <w:szCs w:val="18"/>
              </w:rPr>
            </w:pPr>
            <w:r>
              <w:rPr>
                <w:rFonts w:ascii="宋体" w:hAnsi="宋体" w:cs="宋体" w:eastAsia="宋体" w:hint="default"/>
                <w:b/>
                <w:bCs/>
                <w:spacing w:val="32"/>
                <w:sz w:val="18"/>
                <w:szCs w:val="18"/>
              </w:rPr>
              <w:t>股票期</w:t>
            </w:r>
            <w:r>
              <w:rPr>
                <w:rFonts w:ascii="宋体" w:hAnsi="宋体" w:cs="宋体" w:eastAsia="宋体" w:hint="default"/>
                <w:b/>
                <w:bCs/>
                <w:spacing w:val="-43"/>
                <w:sz w:val="18"/>
                <w:szCs w:val="18"/>
              </w:rPr>
              <w:t> </w:t>
            </w:r>
            <w:r>
              <w:rPr>
                <w:rFonts w:ascii="宋体" w:hAnsi="宋体" w:cs="宋体" w:eastAsia="宋体" w:hint="default"/>
                <w:b/>
                <w:bCs/>
                <w:spacing w:val="32"/>
                <w:sz w:val="18"/>
                <w:szCs w:val="18"/>
              </w:rPr>
              <w:t>权数量</w:t>
            </w:r>
            <w:r>
              <w:rPr>
                <w:rFonts w:ascii="宋体" w:hAnsi="宋体" w:cs="宋体" w:eastAsia="宋体" w:hint="default"/>
                <w:b/>
                <w:bCs/>
                <w:spacing w:val="-43"/>
                <w:sz w:val="18"/>
                <w:szCs w:val="18"/>
              </w:rPr>
              <w:t> </w:t>
            </w:r>
            <w:r>
              <w:rPr>
                <w:rFonts w:ascii="宋体" w:hAnsi="宋体" w:cs="宋体" w:eastAsia="宋体" w:hint="default"/>
                <w:sz w:val="18"/>
                <w:szCs w:val="18"/>
              </w:rPr>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（股）</w:t>
            </w:r>
            <w:r>
              <w:rPr>
                <w:rFonts w:ascii="宋体" w:hAnsi="宋体" w:cs="宋体" w:eastAsia="宋体" w:hint="default"/>
                <w:sz w:val="18"/>
                <w:szCs w:val="18"/>
              </w:rPr>
            </w:r>
          </w:p>
        </w:tc>
        <w:tc>
          <w:tcPr>
            <w:tcW w:w="111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变动原因</w:t>
            </w:r>
            <w:r>
              <w:rPr>
                <w:rFonts w:ascii="宋体" w:hAnsi="宋体" w:cs="宋体" w:eastAsia="宋体" w:hint="default"/>
                <w:sz w:val="18"/>
                <w:szCs w:val="18"/>
              </w:rPr>
            </w:r>
          </w:p>
        </w:tc>
      </w:tr>
      <w:tr>
        <w:trPr>
          <w:trHeight w:val="250" w:hRule="exact"/>
        </w:trPr>
        <w:tc>
          <w:tcPr>
            <w:tcW w:w="929"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sz w:val="18"/>
                <w:szCs w:val="18"/>
              </w:rPr>
              <w:t>钟耳顺</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4" w:right="0"/>
              <w:jc w:val="left"/>
              <w:rPr>
                <w:rFonts w:ascii="Times New Roman" w:hAnsi="Times New Roman" w:cs="Times New Roman" w:eastAsia="Times New Roman" w:hint="default"/>
                <w:sz w:val="18"/>
                <w:szCs w:val="18"/>
              </w:rPr>
            </w:pPr>
            <w:r>
              <w:rPr>
                <w:rFonts w:ascii="Times New Roman"/>
                <w:sz w:val="18"/>
              </w:rPr>
              <w:t>57</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81"/>
              <w:jc w:val="right"/>
              <w:rPr>
                <w:rFonts w:ascii="Times New Roman" w:hAnsi="Times New Roman" w:cs="Times New Roman" w:eastAsia="Times New Roman" w:hint="default"/>
                <w:sz w:val="18"/>
                <w:szCs w:val="18"/>
              </w:rPr>
            </w:pPr>
            <w:r>
              <w:rPr>
                <w:rFonts w:ascii="Times New Roman"/>
                <w:spacing w:val="-1"/>
                <w:sz w:val="18"/>
              </w:rPr>
              <w:t>20,294,400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4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371"/>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20,294,400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929" w:type="dxa"/>
            <w:vMerge w:val="restart"/>
            <w:tcBorders>
              <w:top w:val="single" w:sz="6" w:space="0" w:color="000000"/>
              <w:left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宋关福</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1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5"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8,179,200</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28" w:type="dxa"/>
            <w:vMerge w:val="restart"/>
            <w:tcBorders>
              <w:top w:val="single" w:sz="6" w:space="0" w:color="000000"/>
              <w:left w:val="single" w:sz="6" w:space="0" w:color="000000"/>
              <w:right w:val="single" w:sz="6" w:space="0" w:color="000000"/>
            </w:tcBorders>
          </w:tcPr>
          <w:p>
            <w:pPr>
              <w:pStyle w:val="TableParagraph"/>
              <w:spacing w:line="240" w:lineRule="auto" w:before="111"/>
              <w:ind w:right="176"/>
              <w:jc w:val="center"/>
              <w:rPr>
                <w:rFonts w:ascii="Times New Roman" w:hAnsi="Times New Roman" w:cs="Times New Roman" w:eastAsia="Times New Roman" w:hint="default"/>
                <w:sz w:val="18"/>
                <w:szCs w:val="18"/>
              </w:rPr>
            </w:pPr>
            <w:r>
              <w:rPr>
                <w:rFonts w:ascii="Times New Roman"/>
                <w:sz w:val="18"/>
              </w:rPr>
              <w:t>8,179,20</w:t>
            </w:r>
          </w:p>
          <w:p>
            <w:pPr>
              <w:pStyle w:val="TableParagraph"/>
              <w:spacing w:line="240" w:lineRule="auto" w:before="2"/>
              <w:ind w:right="182"/>
              <w:jc w:val="center"/>
              <w:rPr>
                <w:rFonts w:ascii="Times New Roman" w:hAnsi="Times New Roman" w:cs="Times New Roman" w:eastAsia="Times New Roman" w:hint="default"/>
                <w:sz w:val="18"/>
                <w:szCs w:val="18"/>
              </w:rPr>
            </w:pPr>
            <w:r>
              <w:rPr>
                <w:rFonts w:ascii="Times New Roman"/>
                <w:sz w:val="18"/>
              </w:rPr>
              <w:t>0</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6"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14" w:type="dxa"/>
            <w:vMerge w:val="restart"/>
            <w:tcBorders>
              <w:top w:val="single" w:sz="6" w:space="0" w:color="000000"/>
              <w:left w:val="single" w:sz="6" w:space="0" w:color="000000"/>
              <w:right w:val="single" w:sz="12" w:space="0" w:color="000000"/>
            </w:tcBorders>
          </w:tcPr>
          <w:p>
            <w:pPr>
              <w:pStyle w:val="TableParagraph"/>
              <w:spacing w:line="240" w:lineRule="auto" w:before="5"/>
              <w:ind w:right="0"/>
              <w:jc w:val="left"/>
              <w:rPr>
                <w:rFonts w:ascii="宋体" w:hAnsi="宋体" w:cs="宋体" w:eastAsia="宋体" w:hint="default"/>
                <w:b/>
                <w:bCs/>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929" w:type="dxa"/>
            <w:vMerge/>
            <w:tcBorders>
              <w:left w:val="single" w:sz="12"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713" w:type="dxa"/>
            <w:vMerge/>
            <w:tcBorders>
              <w:left w:val="single" w:sz="6" w:space="0" w:color="000000"/>
              <w:bottom w:val="single" w:sz="6" w:space="0" w:color="000000"/>
              <w:right w:val="single" w:sz="6" w:space="0" w:color="000000"/>
            </w:tcBorders>
          </w:tcPr>
          <w:p>
            <w:pPr/>
          </w:p>
        </w:tc>
        <w:tc>
          <w:tcPr>
            <w:tcW w:w="565" w:type="dxa"/>
            <w:vMerge/>
            <w:tcBorders>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96"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1028"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866"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1114" w:type="dxa"/>
            <w:vMerge/>
            <w:tcBorders>
              <w:left w:val="single" w:sz="6" w:space="0" w:color="000000"/>
              <w:bottom w:val="single" w:sz="6" w:space="0" w:color="000000"/>
              <w:right w:val="single" w:sz="12" w:space="0" w:color="000000"/>
            </w:tcBorders>
          </w:tcPr>
          <w:p>
            <w:pPr/>
          </w:p>
        </w:tc>
      </w:tr>
      <w:tr>
        <w:trPr>
          <w:trHeight w:val="247" w:hRule="exact"/>
        </w:trPr>
        <w:tc>
          <w:tcPr>
            <w:tcW w:w="929"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7"/>
              <w:jc w:val="center"/>
              <w:rPr>
                <w:rFonts w:ascii="宋体" w:hAnsi="宋体" w:cs="宋体" w:eastAsia="宋体" w:hint="default"/>
                <w:sz w:val="18"/>
                <w:szCs w:val="18"/>
              </w:rPr>
            </w:pPr>
            <w:r>
              <w:rPr>
                <w:rFonts w:ascii="宋体" w:hAnsi="宋体" w:cs="宋体" w:eastAsia="宋体" w:hint="default"/>
                <w:sz w:val="18"/>
                <w:szCs w:val="18"/>
              </w:rPr>
              <w:t>高星</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4" w:right="0"/>
              <w:jc w:val="left"/>
              <w:rPr>
                <w:rFonts w:ascii="Times New Roman" w:hAnsi="Times New Roman" w:cs="Times New Roman" w:eastAsia="Times New Roman" w:hint="default"/>
                <w:sz w:val="18"/>
                <w:szCs w:val="18"/>
              </w:rPr>
            </w:pPr>
            <w:r>
              <w:rPr>
                <w:rFonts w:ascii="Times New Roman"/>
                <w:sz w:val="18"/>
              </w:rPr>
              <w:t>46</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4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371"/>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929" w:type="dxa"/>
            <w:tcBorders>
              <w:top w:val="single" w:sz="6" w:space="0" w:color="000000"/>
              <w:left w:val="single" w:sz="12" w:space="0" w:color="000000"/>
              <w:bottom w:val="single" w:sz="6" w:space="0" w:color="000000"/>
              <w:right w:val="single" w:sz="6" w:space="0" w:color="000000"/>
            </w:tcBorders>
          </w:tcPr>
          <w:p>
            <w:pPr>
              <w:pStyle w:val="TableParagraph"/>
              <w:spacing w:line="208" w:lineRule="exact"/>
              <w:ind w:right="4"/>
              <w:jc w:val="center"/>
              <w:rPr>
                <w:rFonts w:ascii="宋体" w:hAnsi="宋体" w:cs="宋体" w:eastAsia="宋体" w:hint="default"/>
                <w:sz w:val="18"/>
                <w:szCs w:val="18"/>
              </w:rPr>
            </w:pPr>
            <w:r>
              <w:rPr>
                <w:rFonts w:ascii="宋体" w:hAnsi="宋体" w:cs="宋体" w:eastAsia="宋体" w:hint="default"/>
                <w:sz w:val="18"/>
                <w:szCs w:val="18"/>
              </w:rPr>
              <w:t>徐立新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4" w:right="0"/>
              <w:jc w:val="left"/>
              <w:rPr>
                <w:rFonts w:ascii="Times New Roman" w:hAnsi="Times New Roman" w:cs="Times New Roman" w:eastAsia="Times New Roman" w:hint="default"/>
                <w:sz w:val="18"/>
                <w:szCs w:val="18"/>
              </w:rPr>
            </w:pPr>
            <w:r>
              <w:rPr>
                <w:rFonts w:ascii="Times New Roman"/>
                <w:sz w:val="18"/>
              </w:rPr>
              <w:t>45</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4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371"/>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29" w:hRule="exact"/>
        </w:trPr>
        <w:tc>
          <w:tcPr>
            <w:tcW w:w="929" w:type="dxa"/>
            <w:vMerge w:val="restart"/>
            <w:tcBorders>
              <w:top w:val="single" w:sz="6" w:space="0" w:color="000000"/>
              <w:left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王尔琪</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1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41</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3,891,200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4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71"/>
              <w:jc w:val="right"/>
              <w:rPr>
                <w:rFonts w:ascii="Times New Roman" w:hAnsi="Times New Roman" w:cs="Times New Roman" w:eastAsia="Times New Roman" w:hint="default"/>
                <w:sz w:val="18"/>
                <w:szCs w:val="18"/>
              </w:rPr>
            </w:pPr>
            <w:r>
              <w:rPr>
                <w:rFonts w:ascii="Times New Roman"/>
                <w:sz w:val="18"/>
              </w:rPr>
              <w:t>0</w:t>
            </w:r>
          </w:p>
        </w:tc>
        <w:tc>
          <w:tcPr>
            <w:tcW w:w="102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3,891,200</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14" w:type="dxa"/>
            <w:vMerge w:val="restart"/>
            <w:tcBorders>
              <w:top w:val="single" w:sz="6" w:space="0" w:color="000000"/>
              <w:left w:val="single" w:sz="6" w:space="0" w:color="000000"/>
              <w:right w:val="single" w:sz="12" w:space="0" w:color="000000"/>
            </w:tcBorders>
          </w:tcPr>
          <w:p>
            <w:pPr>
              <w:pStyle w:val="TableParagraph"/>
              <w:spacing w:line="240" w:lineRule="auto" w:before="110"/>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929" w:type="dxa"/>
            <w:vMerge/>
            <w:tcBorders>
              <w:left w:val="single" w:sz="12"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13" w:type="dxa"/>
            <w:vMerge/>
            <w:tcBorders>
              <w:left w:val="single" w:sz="6" w:space="0" w:color="000000"/>
              <w:bottom w:val="single" w:sz="6" w:space="0" w:color="000000"/>
              <w:right w:val="single" w:sz="6" w:space="0" w:color="000000"/>
            </w:tcBorders>
          </w:tcPr>
          <w:p>
            <w:pPr/>
          </w:p>
        </w:tc>
        <w:tc>
          <w:tcPr>
            <w:tcW w:w="565" w:type="dxa"/>
            <w:vMerge/>
            <w:tcBorders>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196" w:type="dxa"/>
            <w:vMerge/>
            <w:tcBorders>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4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71"/>
              <w:jc w:val="right"/>
              <w:rPr>
                <w:rFonts w:ascii="Times New Roman" w:hAnsi="Times New Roman" w:cs="Times New Roman" w:eastAsia="Times New Roman" w:hint="default"/>
                <w:sz w:val="18"/>
                <w:szCs w:val="18"/>
              </w:rPr>
            </w:pPr>
            <w:r>
              <w:rPr>
                <w:rFonts w:ascii="Times New Roman"/>
                <w:sz w:val="18"/>
              </w:rPr>
              <w:t>0</w:t>
            </w:r>
          </w:p>
        </w:tc>
        <w:tc>
          <w:tcPr>
            <w:tcW w:w="1028"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866"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1114" w:type="dxa"/>
            <w:vMerge/>
            <w:tcBorders>
              <w:left w:val="single" w:sz="6" w:space="0" w:color="000000"/>
              <w:bottom w:val="single" w:sz="6" w:space="0" w:color="000000"/>
              <w:right w:val="single" w:sz="12" w:space="0" w:color="000000"/>
            </w:tcBorders>
          </w:tcPr>
          <w:p>
            <w:pPr/>
          </w:p>
        </w:tc>
      </w:tr>
      <w:tr>
        <w:trPr>
          <w:trHeight w:val="329" w:hRule="exact"/>
        </w:trPr>
        <w:tc>
          <w:tcPr>
            <w:tcW w:w="929" w:type="dxa"/>
            <w:vMerge w:val="restart"/>
            <w:tcBorders>
              <w:top w:val="single" w:sz="6" w:space="0" w:color="000000"/>
              <w:left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王康弘</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71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40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3,840,000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4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71"/>
              <w:jc w:val="right"/>
              <w:rPr>
                <w:rFonts w:ascii="Times New Roman" w:hAnsi="Times New Roman" w:cs="Times New Roman" w:eastAsia="Times New Roman" w:hint="default"/>
                <w:sz w:val="18"/>
                <w:szCs w:val="18"/>
              </w:rPr>
            </w:pPr>
            <w:r>
              <w:rPr>
                <w:rFonts w:ascii="Times New Roman"/>
                <w:sz w:val="18"/>
              </w:rPr>
              <w:t>0</w:t>
            </w:r>
          </w:p>
        </w:tc>
        <w:tc>
          <w:tcPr>
            <w:tcW w:w="1028"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3,840,000</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14" w:type="dxa"/>
            <w:vMerge w:val="restart"/>
            <w:tcBorders>
              <w:top w:val="single" w:sz="6" w:space="0" w:color="000000"/>
              <w:left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31" w:hRule="exact"/>
        </w:trPr>
        <w:tc>
          <w:tcPr>
            <w:tcW w:w="929" w:type="dxa"/>
            <w:vMerge/>
            <w:tcBorders>
              <w:left w:val="single" w:sz="12"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13" w:type="dxa"/>
            <w:vMerge/>
            <w:tcBorders>
              <w:left w:val="single" w:sz="6" w:space="0" w:color="000000"/>
              <w:bottom w:val="single" w:sz="6" w:space="0" w:color="000000"/>
              <w:right w:val="single" w:sz="6" w:space="0" w:color="000000"/>
            </w:tcBorders>
          </w:tcPr>
          <w:p>
            <w:pPr/>
          </w:p>
        </w:tc>
        <w:tc>
          <w:tcPr>
            <w:tcW w:w="565" w:type="dxa"/>
            <w:vMerge/>
            <w:tcBorders>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196" w:type="dxa"/>
            <w:vMerge/>
            <w:tcBorders>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44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371"/>
              <w:jc w:val="right"/>
              <w:rPr>
                <w:rFonts w:ascii="Times New Roman" w:hAnsi="Times New Roman" w:cs="Times New Roman" w:eastAsia="Times New Roman" w:hint="default"/>
                <w:sz w:val="18"/>
                <w:szCs w:val="18"/>
              </w:rPr>
            </w:pPr>
            <w:r>
              <w:rPr>
                <w:rFonts w:ascii="Times New Roman"/>
                <w:sz w:val="18"/>
              </w:rPr>
              <w:t>0</w:t>
            </w:r>
          </w:p>
        </w:tc>
        <w:tc>
          <w:tcPr>
            <w:tcW w:w="1028"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866"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1114" w:type="dxa"/>
            <w:vMerge/>
            <w:tcBorders>
              <w:left w:val="single" w:sz="6" w:space="0" w:color="000000"/>
              <w:bottom w:val="single" w:sz="6" w:space="0" w:color="000000"/>
              <w:right w:val="single" w:sz="12" w:space="0" w:color="000000"/>
            </w:tcBorders>
          </w:tcPr>
          <w:p>
            <w:pPr/>
          </w:p>
        </w:tc>
      </w:tr>
      <w:tr>
        <w:trPr>
          <w:trHeight w:val="250" w:hRule="exact"/>
        </w:trPr>
        <w:tc>
          <w:tcPr>
            <w:tcW w:w="929"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right="7"/>
              <w:jc w:val="center"/>
              <w:rPr>
                <w:rFonts w:ascii="宋体" w:hAnsi="宋体" w:cs="宋体" w:eastAsia="宋体" w:hint="default"/>
                <w:sz w:val="18"/>
                <w:szCs w:val="18"/>
              </w:rPr>
            </w:pPr>
            <w:r>
              <w:rPr>
                <w:rFonts w:ascii="宋体" w:hAnsi="宋体" w:cs="宋体" w:eastAsia="宋体" w:hint="default"/>
                <w:sz w:val="18"/>
                <w:szCs w:val="18"/>
              </w:rPr>
              <w:t>王浩</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84" w:right="0"/>
              <w:jc w:val="left"/>
              <w:rPr>
                <w:rFonts w:ascii="Times New Roman" w:hAnsi="Times New Roman" w:cs="Times New Roman" w:eastAsia="Times New Roman" w:hint="default"/>
                <w:sz w:val="18"/>
                <w:szCs w:val="18"/>
              </w:rPr>
            </w:pPr>
            <w:r>
              <w:rPr>
                <w:rFonts w:ascii="Times New Roman"/>
                <w:sz w:val="18"/>
              </w:rPr>
              <w:t>59</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44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371"/>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0</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7" w:hRule="exact"/>
        </w:trPr>
        <w:tc>
          <w:tcPr>
            <w:tcW w:w="929"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董云庭</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84" w:right="0"/>
              <w:jc w:val="left"/>
              <w:rPr>
                <w:rFonts w:ascii="Times New Roman" w:hAnsi="Times New Roman" w:cs="Times New Roman" w:eastAsia="Times New Roman" w:hint="default"/>
                <w:sz w:val="18"/>
                <w:szCs w:val="18"/>
              </w:rPr>
            </w:pPr>
            <w:r>
              <w:rPr>
                <w:rFonts w:ascii="Times New Roman"/>
                <w:sz w:val="18"/>
              </w:rPr>
              <w:t>67</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44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371"/>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929"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谢德仁</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4" w:right="0"/>
              <w:jc w:val="left"/>
              <w:rPr>
                <w:rFonts w:ascii="Times New Roman" w:hAnsi="Times New Roman" w:cs="Times New Roman" w:eastAsia="Times New Roman" w:hint="default"/>
                <w:sz w:val="18"/>
                <w:szCs w:val="18"/>
              </w:rPr>
            </w:pPr>
            <w:r>
              <w:rPr>
                <w:rFonts w:ascii="Times New Roman"/>
                <w:sz w:val="18"/>
              </w:rPr>
              <w:t>41</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4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371"/>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7" w:hRule="exact"/>
        </w:trPr>
        <w:tc>
          <w:tcPr>
            <w:tcW w:w="929"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曾志明</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84" w:right="0"/>
              <w:jc w:val="left"/>
              <w:rPr>
                <w:rFonts w:ascii="Times New Roman" w:hAnsi="Times New Roman" w:cs="Times New Roman" w:eastAsia="Times New Roman" w:hint="default"/>
                <w:sz w:val="18"/>
                <w:szCs w:val="18"/>
              </w:rPr>
            </w:pPr>
            <w:r>
              <w:rPr>
                <w:rFonts w:ascii="Times New Roman"/>
                <w:sz w:val="18"/>
              </w:rPr>
              <w:t>34</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97" w:right="0"/>
              <w:jc w:val="left"/>
              <w:rPr>
                <w:rFonts w:ascii="Times New Roman" w:hAnsi="Times New Roman" w:cs="Times New Roman" w:eastAsia="Times New Roman" w:hint="default"/>
                <w:sz w:val="18"/>
                <w:szCs w:val="18"/>
              </w:rPr>
            </w:pPr>
            <w:r>
              <w:rPr>
                <w:rFonts w:ascii="Times New Roman"/>
                <w:sz w:val="18"/>
              </w:rPr>
              <w:t>313,600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44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371"/>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313,600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929"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杨雪斌</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4" w:right="0"/>
              <w:jc w:val="left"/>
              <w:rPr>
                <w:rFonts w:ascii="Times New Roman" w:hAnsi="Times New Roman" w:cs="Times New Roman" w:eastAsia="Times New Roman" w:hint="default"/>
                <w:sz w:val="18"/>
                <w:szCs w:val="18"/>
              </w:rPr>
            </w:pPr>
            <w:r>
              <w:rPr>
                <w:rFonts w:ascii="Times New Roman"/>
                <w:sz w:val="18"/>
              </w:rPr>
              <w:t>37</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97" w:right="0"/>
              <w:jc w:val="left"/>
              <w:rPr>
                <w:rFonts w:ascii="Times New Roman" w:hAnsi="Times New Roman" w:cs="Times New Roman" w:eastAsia="Times New Roman" w:hint="default"/>
                <w:sz w:val="18"/>
                <w:szCs w:val="18"/>
              </w:rPr>
            </w:pPr>
            <w:r>
              <w:rPr>
                <w:rFonts w:ascii="Times New Roman"/>
                <w:sz w:val="18"/>
              </w:rPr>
              <w:t>332,800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44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371"/>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 w:right="0"/>
              <w:jc w:val="center"/>
              <w:rPr>
                <w:rFonts w:ascii="Times New Roman" w:hAnsi="Times New Roman" w:cs="Times New Roman" w:eastAsia="Times New Roman" w:hint="default"/>
                <w:sz w:val="18"/>
                <w:szCs w:val="18"/>
              </w:rPr>
            </w:pPr>
            <w:r>
              <w:rPr>
                <w:rFonts w:ascii="Times New Roman"/>
                <w:sz w:val="18"/>
              </w:rPr>
              <w:t>332,800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7" w:hRule="exact"/>
        </w:trPr>
        <w:tc>
          <w:tcPr>
            <w:tcW w:w="929"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刘英利</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84" w:right="0"/>
              <w:jc w:val="left"/>
              <w:rPr>
                <w:rFonts w:ascii="Times New Roman" w:hAnsi="Times New Roman" w:cs="Times New Roman" w:eastAsia="Times New Roman" w:hint="default"/>
                <w:sz w:val="18"/>
                <w:szCs w:val="18"/>
              </w:rPr>
            </w:pPr>
            <w:r>
              <w:rPr>
                <w:rFonts w:ascii="Times New Roman"/>
                <w:sz w:val="18"/>
              </w:rPr>
              <w:t>36</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44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371"/>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74" w:hRule="exact"/>
        </w:trPr>
        <w:tc>
          <w:tcPr>
            <w:tcW w:w="929" w:type="dxa"/>
            <w:vMerge w:val="restart"/>
            <w:tcBorders>
              <w:top w:val="single" w:sz="6" w:space="0" w:color="000000"/>
              <w:left w:val="single" w:sz="12" w:space="0" w:color="000000"/>
              <w:right w:val="single" w:sz="6" w:space="0" w:color="000000"/>
            </w:tcBorders>
          </w:tcPr>
          <w:p>
            <w:pPr>
              <w:pStyle w:val="TableParagraph"/>
              <w:spacing w:line="240" w:lineRule="auto" w:before="128"/>
              <w:ind w:left="180" w:right="0"/>
              <w:jc w:val="left"/>
              <w:rPr>
                <w:rFonts w:ascii="宋体" w:hAnsi="宋体" w:cs="宋体" w:eastAsia="宋体" w:hint="default"/>
                <w:sz w:val="18"/>
                <w:szCs w:val="18"/>
              </w:rPr>
            </w:pPr>
            <w:r>
              <w:rPr>
                <w:rFonts w:ascii="宋体" w:hAnsi="宋体" w:cs="宋体" w:eastAsia="宋体" w:hint="default"/>
                <w:sz w:val="18"/>
                <w:szCs w:val="18"/>
              </w:rPr>
              <w:t>龚娅杰</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713" w:type="dxa"/>
            <w:vMerge w:val="restart"/>
            <w:tcBorders>
              <w:top w:val="single" w:sz="6" w:space="0" w:color="000000"/>
              <w:left w:val="single" w:sz="6" w:space="0" w:color="000000"/>
              <w:right w:val="single" w:sz="6"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5"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3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9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302" w:right="0"/>
              <w:jc w:val="left"/>
              <w:rPr>
                <w:rFonts w:ascii="Times New Roman" w:hAnsi="Times New Roman" w:cs="Times New Roman" w:eastAsia="Times New Roman" w:hint="default"/>
                <w:sz w:val="18"/>
                <w:szCs w:val="18"/>
              </w:rPr>
            </w:pPr>
            <w:r>
              <w:rPr>
                <w:rFonts w:ascii="Times New Roman"/>
                <w:sz w:val="18"/>
              </w:rPr>
              <w:t>211,200</w:t>
            </w:r>
          </w:p>
        </w:tc>
        <w:tc>
          <w:tcPr>
            <w:tcW w:w="99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028"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211,200</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6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85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114" w:type="dxa"/>
            <w:vMerge w:val="restart"/>
            <w:tcBorders>
              <w:top w:val="single" w:sz="6" w:space="0" w:color="000000"/>
              <w:left w:val="single" w:sz="6" w:space="0" w:color="000000"/>
              <w:right w:val="single" w:sz="12"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p>
            <w:pPr>
              <w:pStyle w:val="TableParagraph"/>
              <w:spacing w:line="240" w:lineRule="auto" w:before="2"/>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90" w:hRule="exact"/>
        </w:trPr>
        <w:tc>
          <w:tcPr>
            <w:tcW w:w="929" w:type="dxa"/>
            <w:vMerge/>
            <w:tcBorders>
              <w:left w:val="single" w:sz="12" w:space="0" w:color="000000"/>
              <w:bottom w:val="single" w:sz="6" w:space="0" w:color="000000"/>
              <w:right w:val="single" w:sz="6" w:space="0" w:color="000000"/>
            </w:tcBorders>
          </w:tcPr>
          <w:p>
            <w:pP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13" w:type="dxa"/>
            <w:vMerge/>
            <w:tcBorders>
              <w:left w:val="single" w:sz="6" w:space="0" w:color="000000"/>
              <w:bottom w:val="single" w:sz="6" w:space="0" w:color="000000"/>
              <w:right w:val="single" w:sz="6" w:space="0" w:color="000000"/>
            </w:tcBorders>
          </w:tcPr>
          <w:p>
            <w:pPr/>
          </w:p>
        </w:tc>
        <w:tc>
          <w:tcPr>
            <w:tcW w:w="565" w:type="dxa"/>
            <w:vMerge/>
            <w:tcBorders>
              <w:left w:val="single" w:sz="6" w:space="0" w:color="000000"/>
              <w:bottom w:val="single" w:sz="6" w:space="0" w:color="000000"/>
              <w:right w:val="single" w:sz="6" w:space="0" w:color="000000"/>
            </w:tcBorders>
          </w:tcPr>
          <w:p>
            <w:pP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96" w:type="dxa"/>
            <w:vMerge/>
            <w:tcBorders>
              <w:left w:val="single" w:sz="6" w:space="0" w:color="000000"/>
              <w:bottom w:val="single" w:sz="6" w:space="0" w:color="000000"/>
              <w:right w:val="single" w:sz="6" w:space="0" w:color="000000"/>
            </w:tcBorders>
          </w:tcPr>
          <w:p>
            <w:pPr/>
          </w:p>
        </w:tc>
        <w:tc>
          <w:tcPr>
            <w:tcW w:w="994" w:type="dxa"/>
            <w:vMerge/>
            <w:tcBorders>
              <w:left w:val="single" w:sz="6" w:space="0" w:color="000000"/>
              <w:bottom w:val="single" w:sz="6" w:space="0" w:color="000000"/>
              <w:right w:val="single" w:sz="6" w:space="0" w:color="000000"/>
            </w:tcBorders>
          </w:tcPr>
          <w:p>
            <w:pPr/>
          </w:p>
        </w:tc>
        <w:tc>
          <w:tcPr>
            <w:tcW w:w="850" w:type="dxa"/>
            <w:vMerge/>
            <w:tcBorders>
              <w:left w:val="single" w:sz="6" w:space="0" w:color="000000"/>
              <w:bottom w:val="single" w:sz="6" w:space="0" w:color="000000"/>
              <w:right w:val="single" w:sz="6" w:space="0" w:color="000000"/>
            </w:tcBorders>
          </w:tcPr>
          <w:p>
            <w:pPr/>
          </w:p>
        </w:tc>
        <w:tc>
          <w:tcPr>
            <w:tcW w:w="1028"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866" w:type="dxa"/>
            <w:vMerge/>
            <w:tcBorders>
              <w:left w:val="single" w:sz="6" w:space="0" w:color="000000"/>
              <w:bottom w:val="single" w:sz="6" w:space="0" w:color="000000"/>
              <w:right w:val="single" w:sz="6" w:space="0" w:color="000000"/>
            </w:tcBorders>
          </w:tcPr>
          <w:p>
            <w:pPr/>
          </w:p>
        </w:tc>
        <w:tc>
          <w:tcPr>
            <w:tcW w:w="852" w:type="dxa"/>
            <w:vMerge/>
            <w:tcBorders>
              <w:left w:val="single" w:sz="6" w:space="0" w:color="000000"/>
              <w:bottom w:val="single" w:sz="6" w:space="0" w:color="000000"/>
              <w:right w:val="single" w:sz="6" w:space="0" w:color="000000"/>
            </w:tcBorders>
          </w:tcPr>
          <w:p>
            <w:pPr/>
          </w:p>
        </w:tc>
        <w:tc>
          <w:tcPr>
            <w:tcW w:w="1114" w:type="dxa"/>
            <w:vMerge/>
            <w:tcBorders>
              <w:left w:val="single" w:sz="6" w:space="0" w:color="000000"/>
              <w:bottom w:val="single" w:sz="6" w:space="0" w:color="000000"/>
              <w:right w:val="single" w:sz="12" w:space="0" w:color="000000"/>
            </w:tcBorders>
          </w:tcPr>
          <w:p>
            <w:pPr/>
          </w:p>
        </w:tc>
      </w:tr>
      <w:tr>
        <w:trPr>
          <w:trHeight w:val="250" w:hRule="exact"/>
        </w:trPr>
        <w:tc>
          <w:tcPr>
            <w:tcW w:w="929"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杜庆娥</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4" w:right="0"/>
              <w:jc w:val="left"/>
              <w:rPr>
                <w:rFonts w:ascii="Times New Roman" w:hAnsi="Times New Roman" w:cs="Times New Roman" w:eastAsia="Times New Roman" w:hint="default"/>
                <w:sz w:val="18"/>
                <w:szCs w:val="18"/>
              </w:rPr>
            </w:pPr>
            <w:r>
              <w:rPr>
                <w:rFonts w:ascii="Times New Roman"/>
                <w:sz w:val="18"/>
              </w:rPr>
              <w:t>38</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227"/>
              <w:jc w:val="right"/>
              <w:rPr>
                <w:rFonts w:ascii="Times New Roman" w:hAnsi="Times New Roman" w:cs="Times New Roman" w:eastAsia="Times New Roman" w:hint="default"/>
                <w:sz w:val="18"/>
                <w:szCs w:val="18"/>
              </w:rPr>
            </w:pPr>
            <w:r>
              <w:rPr>
                <w:rFonts w:ascii="Times New Roman"/>
                <w:spacing w:val="-1"/>
                <w:sz w:val="18"/>
              </w:rPr>
              <w:t>2,240,000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2,240,000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1"/>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7" w:hRule="exact"/>
        </w:trPr>
        <w:tc>
          <w:tcPr>
            <w:tcW w:w="929" w:type="dxa"/>
            <w:tcBorders>
              <w:top w:val="single" w:sz="6" w:space="0" w:color="000000"/>
              <w:left w:val="single" w:sz="12" w:space="0" w:color="000000"/>
              <w:bottom w:val="single" w:sz="6" w:space="0" w:color="000000"/>
              <w:right w:val="single" w:sz="6" w:space="0" w:color="000000"/>
            </w:tcBorders>
          </w:tcPr>
          <w:p>
            <w:pPr>
              <w:pStyle w:val="TableParagraph"/>
              <w:spacing w:line="205" w:lineRule="exact"/>
              <w:ind w:right="4"/>
              <w:jc w:val="center"/>
              <w:rPr>
                <w:rFonts w:ascii="宋体" w:hAnsi="宋体" w:cs="宋体" w:eastAsia="宋体" w:hint="default"/>
                <w:sz w:val="18"/>
                <w:szCs w:val="18"/>
              </w:rPr>
            </w:pPr>
            <w:r>
              <w:rPr>
                <w:rFonts w:ascii="宋体" w:hAnsi="宋体" w:cs="宋体" w:eastAsia="宋体" w:hint="default"/>
                <w:sz w:val="18"/>
                <w:szCs w:val="18"/>
              </w:rPr>
              <w:t>王继晖</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84" w:right="0"/>
              <w:jc w:val="left"/>
              <w:rPr>
                <w:rFonts w:ascii="Times New Roman" w:hAnsi="Times New Roman" w:cs="Times New Roman" w:eastAsia="Times New Roman" w:hint="default"/>
                <w:sz w:val="18"/>
                <w:szCs w:val="18"/>
              </w:rPr>
            </w:pPr>
            <w:r>
              <w:rPr>
                <w:rFonts w:ascii="Times New Roman"/>
                <w:sz w:val="18"/>
              </w:rPr>
              <w:t>40</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297" w:right="0"/>
              <w:jc w:val="left"/>
              <w:rPr>
                <w:rFonts w:ascii="Times New Roman" w:hAnsi="Times New Roman" w:cs="Times New Roman" w:eastAsia="Times New Roman" w:hint="default"/>
                <w:sz w:val="18"/>
                <w:szCs w:val="18"/>
              </w:rPr>
            </w:pPr>
            <w:r>
              <w:rPr>
                <w:rFonts w:ascii="Times New Roman"/>
                <w:sz w:val="18"/>
              </w:rPr>
              <w:t>384,000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384,000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50" w:hRule="exact"/>
        </w:trPr>
        <w:tc>
          <w:tcPr>
            <w:tcW w:w="929" w:type="dxa"/>
            <w:tcBorders>
              <w:top w:val="single" w:sz="6" w:space="0" w:color="000000"/>
              <w:left w:val="single" w:sz="12" w:space="0" w:color="000000"/>
              <w:bottom w:val="single" w:sz="6" w:space="0" w:color="000000"/>
              <w:right w:val="single" w:sz="6" w:space="0" w:color="000000"/>
            </w:tcBorders>
          </w:tcPr>
          <w:p>
            <w:pPr>
              <w:pStyle w:val="TableParagraph"/>
              <w:spacing w:line="206" w:lineRule="exact"/>
              <w:ind w:right="7"/>
              <w:jc w:val="center"/>
              <w:rPr>
                <w:rFonts w:ascii="宋体" w:hAnsi="宋体" w:cs="宋体" w:eastAsia="宋体" w:hint="default"/>
                <w:sz w:val="18"/>
                <w:szCs w:val="18"/>
              </w:rPr>
            </w:pPr>
            <w:r>
              <w:rPr>
                <w:rFonts w:ascii="宋体" w:hAnsi="宋体" w:cs="宋体" w:eastAsia="宋体" w:hint="default"/>
                <w:sz w:val="18"/>
                <w:szCs w:val="18"/>
              </w:rPr>
              <w:t>梁军</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84" w:right="0"/>
              <w:jc w:val="left"/>
              <w:rPr>
                <w:rFonts w:ascii="Times New Roman" w:hAnsi="Times New Roman" w:cs="Times New Roman" w:eastAsia="Times New Roman" w:hint="default"/>
                <w:sz w:val="18"/>
                <w:szCs w:val="18"/>
              </w:rPr>
            </w:pPr>
            <w:r>
              <w:rPr>
                <w:rFonts w:ascii="Times New Roman"/>
                <w:sz w:val="18"/>
              </w:rPr>
              <w:t>47</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27"/>
              <w:jc w:val="right"/>
              <w:rPr>
                <w:rFonts w:ascii="Times New Roman" w:hAnsi="Times New Roman" w:cs="Times New Roman" w:eastAsia="Times New Roman" w:hint="default"/>
                <w:sz w:val="18"/>
                <w:szCs w:val="18"/>
              </w:rPr>
            </w:pPr>
            <w:r>
              <w:rPr>
                <w:rFonts w:ascii="Times New Roman"/>
                <w:spacing w:val="-1"/>
                <w:sz w:val="18"/>
              </w:rPr>
              <w:t>3,840,000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00" w:right="0"/>
              <w:jc w:val="lef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18"/>
                <w:szCs w:val="18"/>
              </w:rPr>
            </w:pPr>
            <w:r>
              <w:rPr>
                <w:rFonts w:ascii="Times New Roman"/>
                <w:sz w:val="18"/>
              </w:rPr>
              <w:t>3,840,000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0</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948" w:hRule="exact"/>
        </w:trPr>
        <w:tc>
          <w:tcPr>
            <w:tcW w:w="92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鹿麒</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财务负责人</w:t>
            </w:r>
          </w:p>
        </w:tc>
        <w:tc>
          <w:tcPr>
            <w:tcW w:w="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84" w:right="0"/>
              <w:jc w:val="left"/>
              <w:rPr>
                <w:rFonts w:ascii="Times New Roman" w:hAnsi="Times New Roman" w:cs="Times New Roman" w:eastAsia="Times New Roman" w:hint="default"/>
                <w:sz w:val="18"/>
                <w:szCs w:val="18"/>
              </w:rPr>
            </w:pPr>
            <w:r>
              <w:rPr>
                <w:rFonts w:ascii="Times New Roman"/>
                <w:sz w:val="18"/>
              </w:rPr>
              <w:t>42</w:t>
            </w:r>
          </w:p>
        </w:tc>
        <w:tc>
          <w:tcPr>
            <w:tcW w:w="1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443"/>
              <w:jc w:val="righ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371"/>
              <w:jc w:val="righ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96,000</w:t>
            </w:r>
          </w:p>
        </w:tc>
        <w:tc>
          <w:tcPr>
            <w:tcW w:w="8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0</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
              <w:jc w:val="center"/>
              <w:rPr>
                <w:rFonts w:ascii="Times New Roman" w:hAnsi="Times New Roman" w:cs="Times New Roman" w:eastAsia="Times New Roman" w:hint="default"/>
                <w:sz w:val="18"/>
                <w:szCs w:val="18"/>
              </w:rPr>
            </w:pPr>
            <w:r>
              <w:rPr>
                <w:rFonts w:ascii="Times New Roman"/>
                <w:sz w:val="18"/>
              </w:rPr>
              <w:t>0</w:t>
            </w:r>
          </w:p>
        </w:tc>
        <w:tc>
          <w:tcPr>
            <w:tcW w:w="1114" w:type="dxa"/>
            <w:tcBorders>
              <w:top w:val="single" w:sz="6" w:space="0" w:color="000000"/>
              <w:left w:val="single" w:sz="6" w:space="0" w:color="000000"/>
              <w:bottom w:val="single" w:sz="6" w:space="0" w:color="000000"/>
              <w:right w:val="single" w:sz="12" w:space="0" w:color="000000"/>
            </w:tcBorders>
          </w:tcPr>
          <w:p>
            <w:pPr>
              <w:pStyle w:val="TableParagraph"/>
              <w:spacing w:line="204" w:lineRule="exact"/>
              <w:ind w:left="6" w:right="0"/>
              <w:jc w:val="center"/>
              <w:rPr>
                <w:rFonts w:ascii="宋体" w:hAnsi="宋体" w:cs="宋体" w:eastAsia="宋体" w:hint="default"/>
                <w:sz w:val="18"/>
                <w:szCs w:val="18"/>
              </w:rPr>
            </w:pPr>
            <w:r>
              <w:rPr>
                <w:rFonts w:ascii="宋体" w:hAnsi="宋体" w:cs="宋体" w:eastAsia="宋体" w:hint="default"/>
                <w:sz w:val="18"/>
                <w:szCs w:val="18"/>
              </w:rPr>
              <w:t>公司注销</w:t>
            </w:r>
          </w:p>
          <w:p>
            <w:pPr>
              <w:pStyle w:val="TableParagraph"/>
              <w:spacing w:line="237" w:lineRule="auto"/>
              <w:ind w:left="189" w:right="180"/>
              <w:jc w:val="center"/>
              <w:rPr>
                <w:rFonts w:ascii="宋体" w:hAnsi="宋体" w:cs="宋体" w:eastAsia="宋体" w:hint="default"/>
                <w:sz w:val="18"/>
                <w:szCs w:val="18"/>
              </w:rPr>
            </w:pPr>
            <w:r>
              <w:rPr>
                <w:rFonts w:ascii="宋体" w:hAnsi="宋体" w:cs="宋体" w:eastAsia="宋体" w:hint="default"/>
                <w:sz w:val="18"/>
                <w:szCs w:val="18"/>
              </w:rPr>
              <w:t>了股票期 权股权激 励</w:t>
            </w:r>
          </w:p>
        </w:tc>
      </w:tr>
      <w:tr>
        <w:trPr>
          <w:trHeight w:val="257" w:hRule="exact"/>
        </w:trPr>
        <w:tc>
          <w:tcPr>
            <w:tcW w:w="929" w:type="dxa"/>
            <w:tcBorders>
              <w:top w:val="single" w:sz="6" w:space="0" w:color="000000"/>
              <w:left w:val="single" w:sz="12" w:space="0" w:color="000000"/>
              <w:bottom w:val="single" w:sz="12"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713"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565"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left="184" w:right="0"/>
              <w:jc w:val="left"/>
              <w:rPr>
                <w:rFonts w:ascii="宋体" w:hAnsi="宋体" w:cs="宋体" w:eastAsia="宋体" w:hint="default"/>
                <w:sz w:val="18"/>
                <w:szCs w:val="18"/>
              </w:rPr>
            </w:pPr>
            <w:r>
              <w:rPr>
                <w:rFonts w:ascii="宋体" w:hAnsi="宋体" w:cs="宋体" w:eastAsia="宋体" w:hint="default"/>
                <w:sz w:val="18"/>
                <w:szCs w:val="18"/>
              </w:rPr>
              <w:t>－</w:t>
            </w:r>
          </w:p>
        </w:tc>
        <w:tc>
          <w:tcPr>
            <w:tcW w:w="1327"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234" w:type="dxa"/>
            <w:tcBorders>
              <w:top w:val="single" w:sz="6" w:space="0" w:color="000000"/>
              <w:left w:val="single" w:sz="6" w:space="0" w:color="000000"/>
              <w:bottom w:val="single" w:sz="12"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19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right="180"/>
              <w:jc w:val="right"/>
              <w:rPr>
                <w:rFonts w:ascii="Times New Roman" w:hAnsi="Times New Roman" w:cs="Times New Roman" w:eastAsia="Times New Roman" w:hint="default"/>
                <w:sz w:val="18"/>
                <w:szCs w:val="18"/>
              </w:rPr>
            </w:pPr>
            <w:r>
              <w:rPr>
                <w:rFonts w:ascii="Times New Roman"/>
                <w:b/>
                <w:sz w:val="18"/>
              </w:rPr>
              <w:t>43,526,400</w:t>
            </w:r>
            <w:r>
              <w:rPr>
                <w:rFonts w:ascii="Times New Roman"/>
                <w:sz w:val="18"/>
              </w:rPr>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0</w:t>
            </w:r>
          </w:p>
        </w:tc>
        <w:tc>
          <w:tcPr>
            <w:tcW w:w="102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4"/>
              <w:ind w:left="1" w:right="0"/>
              <w:jc w:val="center"/>
              <w:rPr>
                <w:rFonts w:ascii="Times New Roman" w:hAnsi="Times New Roman" w:cs="Times New Roman" w:eastAsia="Times New Roman" w:hint="default"/>
                <w:sz w:val="18"/>
                <w:szCs w:val="18"/>
              </w:rPr>
            </w:pPr>
            <w:r>
              <w:rPr>
                <w:rFonts w:ascii="Times New Roman"/>
                <w:b/>
                <w:sz w:val="18"/>
              </w:rPr>
              <w:t>43,526,400</w:t>
            </w:r>
            <w:r>
              <w:rPr>
                <w:rFonts w:ascii="Times New Roman"/>
                <w:sz w:val="18"/>
              </w:rPr>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8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8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b/>
                <w:sz w:val="18"/>
              </w:rPr>
              <w:t>0</w:t>
            </w:r>
            <w:r>
              <w:rPr>
                <w:rFonts w:ascii="Times New Roman"/>
                <w:sz w:val="18"/>
              </w:rPr>
            </w:r>
          </w:p>
        </w:tc>
        <w:tc>
          <w:tcPr>
            <w:tcW w:w="1114"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6"/>
        <w:rPr>
          <w:rFonts w:ascii="宋体" w:hAnsi="宋体" w:cs="宋体" w:eastAsia="宋体" w:hint="default"/>
          <w:b/>
          <w:bCs/>
          <w:sz w:val="28"/>
          <w:szCs w:val="28"/>
        </w:rPr>
      </w:pPr>
    </w:p>
    <w:p>
      <w:pPr>
        <w:spacing w:before="58"/>
        <w:ind w:left="6993" w:right="6991" w:firstLine="0"/>
        <w:jc w:val="center"/>
        <w:rPr>
          <w:rFonts w:ascii="Calibri" w:hAnsi="Calibri" w:cs="Calibri" w:eastAsia="Calibri" w:hint="default"/>
          <w:sz w:val="21"/>
          <w:szCs w:val="21"/>
        </w:rPr>
      </w:pPr>
      <w:r>
        <w:rPr>
          <w:rFonts w:ascii="Calibri"/>
          <w:sz w:val="21"/>
        </w:rPr>
        <w:t>59</w:t>
      </w:r>
    </w:p>
    <w:p>
      <w:pPr>
        <w:spacing w:after="0"/>
        <w:jc w:val="center"/>
        <w:rPr>
          <w:rFonts w:ascii="Calibri" w:hAnsi="Calibri" w:cs="Calibri" w:eastAsia="Calibri" w:hint="default"/>
          <w:sz w:val="21"/>
          <w:szCs w:val="21"/>
        </w:rPr>
        <w:sectPr>
          <w:headerReference w:type="default" r:id="rId25"/>
          <w:footerReference w:type="default" r:id="rId26"/>
          <w:pgSz w:w="16840" w:h="11910" w:orient="landscape"/>
          <w:pgMar w:header="0" w:footer="0" w:top="800" w:bottom="280" w:left="1300" w:right="1300"/>
        </w:sectPr>
      </w:pPr>
    </w:p>
    <w:p>
      <w:pPr>
        <w:spacing w:line="240" w:lineRule="auto" w:before="2"/>
        <w:rPr>
          <w:rFonts w:ascii="Calibri" w:hAnsi="Calibri" w:cs="Calibri" w:eastAsia="Calibri" w:hint="default"/>
          <w:sz w:val="2"/>
          <w:szCs w:val="2"/>
        </w:rPr>
      </w:pPr>
    </w:p>
    <w:p>
      <w:pPr>
        <w:spacing w:line="20" w:lineRule="exact"/>
        <w:ind w:left="116" w:right="0" w:firstLine="0"/>
        <w:rPr>
          <w:rFonts w:ascii="Calibri" w:hAnsi="Calibri" w:cs="Calibri" w:eastAsia="Calibri" w:hint="default"/>
          <w:sz w:val="2"/>
          <w:szCs w:val="2"/>
        </w:rPr>
      </w:pPr>
      <w:r>
        <w:rPr>
          <w:rFonts w:ascii="Calibri" w:hAnsi="Calibri" w:cs="Calibri" w:eastAsia="Calibr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Calibri" w:hAnsi="Calibri" w:cs="Calibri" w:eastAsia="Calibri" w:hint="default"/>
          <w:sz w:val="2"/>
          <w:szCs w:val="2"/>
        </w:rPr>
      </w:r>
    </w:p>
    <w:p>
      <w:pPr>
        <w:spacing w:line="240" w:lineRule="auto" w:before="0"/>
        <w:rPr>
          <w:rFonts w:ascii="Calibri" w:hAnsi="Calibri" w:cs="Calibri" w:eastAsia="Calibri" w:hint="default"/>
          <w:sz w:val="20"/>
          <w:szCs w:val="20"/>
        </w:rPr>
      </w:pPr>
    </w:p>
    <w:p>
      <w:pPr>
        <w:spacing w:line="240" w:lineRule="auto" w:before="11"/>
        <w:rPr>
          <w:rFonts w:ascii="Calibri" w:hAnsi="Calibri" w:cs="Calibri" w:eastAsia="Calibri" w:hint="default"/>
          <w:sz w:val="21"/>
          <w:szCs w:val="21"/>
        </w:rPr>
      </w:pPr>
    </w:p>
    <w:p>
      <w:pPr>
        <w:pStyle w:val="Heading4"/>
        <w:spacing w:line="240" w:lineRule="auto" w:before="26"/>
        <w:ind w:left="152" w:right="253"/>
        <w:jc w:val="left"/>
        <w:rPr>
          <w:b w:val="0"/>
          <w:bCs w:val="0"/>
        </w:rPr>
      </w:pPr>
      <w:bookmarkStart w:name="_bookmark83" w:id="84"/>
      <w:bookmarkEnd w:id="84"/>
      <w:r>
        <w:rPr>
          <w:b w:val="0"/>
          <w:bCs w:val="0"/>
        </w:rPr>
      </w:r>
      <w:r>
        <w:rPr/>
        <w:t>二、任职情况</w:t>
      </w:r>
      <w:r>
        <w:rPr>
          <w:b w:val="0"/>
          <w:bCs w:val="0"/>
        </w:rPr>
      </w:r>
    </w:p>
    <w:p>
      <w:pPr>
        <w:spacing w:line="240" w:lineRule="auto" w:before="11"/>
        <w:rPr>
          <w:rFonts w:ascii="宋体" w:hAnsi="宋体" w:cs="宋体" w:eastAsia="宋体" w:hint="default"/>
          <w:b/>
          <w:bCs/>
          <w:sz w:val="26"/>
          <w:szCs w:val="26"/>
        </w:rPr>
      </w:pPr>
    </w:p>
    <w:p>
      <w:pPr>
        <w:pStyle w:val="BodyText"/>
        <w:spacing w:line="338" w:lineRule="auto" w:before="26"/>
        <w:ind w:left="633" w:right="253"/>
        <w:jc w:val="left"/>
      </w:pPr>
      <w:r>
        <w:rPr/>
        <w:t>公司现任董事、监事、高级管理人员最近</w:t>
      </w:r>
      <w:r>
        <w:rPr>
          <w:spacing w:val="-60"/>
        </w:rPr>
        <w:t> </w:t>
      </w:r>
      <w:r>
        <w:rPr>
          <w:rFonts w:ascii="Times New Roman" w:hAnsi="Times New Roman" w:cs="Times New Roman" w:eastAsia="Times New Roman" w:hint="default"/>
        </w:rPr>
        <w:t>5 </w:t>
      </w:r>
      <w:r>
        <w:rPr/>
        <w:t>年的主要工作经历： 董事长钟耳顺先生：中国国籍，无境外居留权，</w:t>
      </w:r>
      <w:r>
        <w:rPr>
          <w:rFonts w:ascii="Times New Roman" w:hAnsi="Times New Roman" w:cs="Times New Roman" w:eastAsia="Times New Roman" w:hint="default"/>
        </w:rPr>
        <w:t>57</w:t>
      </w:r>
      <w:r>
        <w:rPr/>
        <w:t>岁，博士，自公司成立一直在公司工</w:t>
      </w:r>
    </w:p>
    <w:p>
      <w:pPr>
        <w:pStyle w:val="BodyText"/>
        <w:spacing w:line="240" w:lineRule="auto" w:before="27"/>
        <w:ind w:left="152" w:right="253"/>
        <w:jc w:val="left"/>
      </w:pPr>
      <w:r>
        <w:rPr/>
        <w:t>作。</w:t>
      </w:r>
    </w:p>
    <w:p>
      <w:pPr>
        <w:pStyle w:val="BodyText"/>
        <w:spacing w:line="338" w:lineRule="auto" w:before="154"/>
        <w:ind w:left="633" w:right="112"/>
        <w:jc w:val="left"/>
      </w:pPr>
      <w:r>
        <w:rPr>
          <w:spacing w:val="-3"/>
        </w:rPr>
        <w:t>董事宋关福先生：中国国籍，无境外居留权，</w:t>
      </w:r>
      <w:r>
        <w:rPr>
          <w:rFonts w:ascii="Times New Roman" w:hAnsi="Times New Roman" w:cs="Times New Roman" w:eastAsia="Times New Roman" w:hint="default"/>
          <w:spacing w:val="-3"/>
        </w:rPr>
        <w:t>43</w:t>
      </w:r>
      <w:r>
        <w:rPr>
          <w:spacing w:val="-3"/>
        </w:rPr>
        <w:t>岁，博士，自公司成立一直在公司工作。</w:t>
      </w:r>
      <w:r>
        <w:rPr>
          <w:spacing w:val="-84"/>
        </w:rPr>
        <w:t> </w:t>
      </w:r>
      <w:r>
        <w:rPr>
          <w:spacing w:val="-84"/>
        </w:rPr>
      </w:r>
      <w:r>
        <w:rPr/>
        <w:t>董事高星先生：中国国籍，无境外居留权，</w:t>
      </w:r>
      <w:r>
        <w:rPr>
          <w:rFonts w:ascii="Times New Roman" w:hAnsi="Times New Roman" w:cs="Times New Roman" w:eastAsia="Times New Roman" w:hint="default"/>
        </w:rPr>
        <w:t>46</w:t>
      </w:r>
      <w:r>
        <w:rPr/>
        <w:t>岁，博士，</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12</w:t>
      </w:r>
      <w:r>
        <w:rPr/>
        <w:t>月工作于</w:t>
      </w:r>
    </w:p>
    <w:p>
      <w:pPr>
        <w:pStyle w:val="BodyText"/>
        <w:spacing w:line="343" w:lineRule="auto" w:before="27"/>
        <w:ind w:left="152" w:right="134"/>
        <w:jc w:val="left"/>
      </w:pPr>
      <w:r>
        <w:rPr>
          <w:spacing w:val="-2"/>
        </w:rPr>
        <w:t>中国科学院地球物理研究所；</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3</w:t>
      </w:r>
      <w:r>
        <w:rPr>
          <w:spacing w:val="-2"/>
        </w:rPr>
        <w:t>月工作于中国科学院机关，先后任中国科</w:t>
      </w:r>
      <w:r>
        <w:rPr>
          <w:spacing w:val="-109"/>
        </w:rPr>
        <w:t> </w:t>
      </w:r>
      <w:r>
        <w:rPr>
          <w:spacing w:val="-109"/>
        </w:rPr>
      </w:r>
      <w:r>
        <w:rPr/>
        <w:t>学院办公厅秘书处副处长、处长、人事教育局科技干部处处长；</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月工作</w:t>
      </w:r>
      <w:r>
        <w:rPr>
          <w:spacing w:val="-88"/>
        </w:rPr>
        <w:t> </w:t>
      </w:r>
      <w:r>
        <w:rPr>
          <w:spacing w:val="-88"/>
        </w:rPr>
      </w:r>
      <w:r>
        <w:rPr/>
        <w:t>于中国科学院青藏高原研究所，先后担任副所长、党委副书记、党委书记；</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月至今， 工作于中国科学院地理科学与资源研究所工作，任党委副书记，分管科技成果转移转化和所</w:t>
      </w:r>
      <w:r>
        <w:rPr>
          <w:spacing w:val="-91"/>
        </w:rPr>
        <w:t> </w:t>
      </w:r>
      <w:r>
        <w:rPr>
          <w:spacing w:val="-91"/>
        </w:rPr>
      </w:r>
      <w:r>
        <w:rPr/>
        <w:t>地合作工作。</w:t>
      </w:r>
    </w:p>
    <w:p>
      <w:pPr>
        <w:pStyle w:val="BodyText"/>
        <w:spacing w:line="240" w:lineRule="auto" w:before="50"/>
        <w:ind w:left="633" w:right="112"/>
        <w:jc w:val="left"/>
      </w:pPr>
      <w:r>
        <w:rPr/>
        <w:t>董事徐立新先生：美国国籍，在美国有居留权，</w:t>
      </w:r>
      <w:r>
        <w:rPr>
          <w:rFonts w:ascii="Times New Roman" w:hAnsi="Times New Roman" w:cs="Times New Roman" w:eastAsia="Times New Roman" w:hint="default"/>
        </w:rPr>
        <w:t>45</w:t>
      </w:r>
      <w:r>
        <w:rPr/>
        <w:t>岁，博士，</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-2002</w:t>
      </w:r>
      <w:r>
        <w:rPr/>
        <w:t>年在高盛公司</w:t>
      </w:r>
    </w:p>
    <w:p>
      <w:pPr>
        <w:pStyle w:val="BodyText"/>
        <w:spacing w:line="338" w:lineRule="auto" w:before="135"/>
        <w:ind w:left="152" w:right="112"/>
        <w:jc w:val="left"/>
      </w:pPr>
      <w:r>
        <w:rPr/>
        <w:t>（香港）任投资银行经理；</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-2003</w:t>
      </w:r>
      <w:r>
        <w:rPr/>
        <w:t>年在中富证券任投行部主管、总经理以及董事；</w:t>
      </w:r>
      <w:r>
        <w:rPr>
          <w:rFonts w:ascii="Times New Roman" w:hAnsi="Times New Roman" w:cs="Times New Roman" w:eastAsia="Times New Roman" w:hint="default"/>
        </w:rPr>
        <w:t>2003 </w:t>
      </w:r>
      <w:r>
        <w:rPr/>
        <w:t>年</w:t>
      </w:r>
      <w:r>
        <w:rPr>
          <w:rFonts w:ascii="Times New Roman" w:hAnsi="Times New Roman" w:cs="Times New Roman" w:eastAsia="Times New Roman" w:hint="default"/>
        </w:rPr>
        <w:t>-2004</w:t>
      </w:r>
      <w:r>
        <w:rPr/>
        <w:t>年在格雷特投资管理公司任执行总裁；</w:t>
      </w:r>
      <w:r>
        <w:rPr>
          <w:rFonts w:ascii="Times New Roman" w:hAnsi="Times New Roman" w:cs="Times New Roman" w:eastAsia="Times New Roman" w:hint="default"/>
        </w:rPr>
        <w:t>2004-2006</w:t>
      </w:r>
      <w:r>
        <w:rPr/>
        <w:t>年在坤茂国际投资公司任执行总裁； </w:t>
      </w:r>
      <w:r>
        <w:rPr>
          <w:rFonts w:ascii="Times New Roman" w:hAnsi="Times New Roman" w:cs="Times New Roman" w:eastAsia="Times New Roman" w:hint="default"/>
        </w:rPr>
        <w:t>2006</w:t>
      </w:r>
      <w:r>
        <w:rPr/>
        <w:t>年至今，任高投名力成长创业投资有限公司总经理。</w:t>
      </w:r>
    </w:p>
    <w:p>
      <w:pPr>
        <w:pStyle w:val="BodyText"/>
        <w:spacing w:line="336" w:lineRule="auto" w:before="27"/>
        <w:ind w:left="152" w:right="236" w:firstLine="480"/>
        <w:jc w:val="both"/>
      </w:pPr>
      <w:r>
        <w:rPr/>
        <w:t>董事王尔琪先生：中国国籍，无境外居留权，</w:t>
      </w:r>
      <w:r>
        <w:rPr>
          <w:rFonts w:ascii="Times New Roman" w:hAnsi="Times New Roman" w:cs="Times New Roman" w:eastAsia="Times New Roman" w:hint="default"/>
        </w:rPr>
        <w:t>41</w:t>
      </w:r>
      <w:r>
        <w:rPr/>
        <w:t>岁，硕士。参与本公司创立，自公司成 立之后一直在公司工作，现任公司副总经理。</w:t>
      </w:r>
    </w:p>
    <w:p>
      <w:pPr>
        <w:pStyle w:val="BodyText"/>
        <w:spacing w:line="338" w:lineRule="auto" w:before="58"/>
        <w:ind w:left="152" w:right="237" w:firstLine="480"/>
        <w:jc w:val="both"/>
      </w:pPr>
      <w:r>
        <w:rPr/>
        <w:t>董事王康弘先生：中国国籍，无境外居留权，</w:t>
      </w:r>
      <w:r>
        <w:rPr>
          <w:rFonts w:ascii="Times New Roman" w:hAnsi="Times New Roman" w:cs="Times New Roman" w:eastAsia="Times New Roman" w:hint="default"/>
        </w:rPr>
        <w:t>40</w:t>
      </w:r>
      <w:r>
        <w:rPr/>
        <w:t>岁，博士，自毕业后一直在公司工作， 现任公司副总经理。</w:t>
      </w:r>
    </w:p>
    <w:p>
      <w:pPr>
        <w:pStyle w:val="BodyText"/>
        <w:spacing w:line="338" w:lineRule="auto" w:before="55"/>
        <w:ind w:left="152" w:right="229" w:firstLine="480"/>
        <w:jc w:val="both"/>
      </w:pPr>
      <w:r>
        <w:rPr/>
        <w:t>独立董事王浩先生：中国国籍，无境外居留权，</w:t>
      </w:r>
      <w:r>
        <w:rPr>
          <w:rFonts w:ascii="Times New Roman" w:hAnsi="Times New Roman" w:cs="Times New Roman" w:eastAsia="Times New Roman" w:hint="default"/>
        </w:rPr>
        <w:t>59</w:t>
      </w:r>
      <w:r>
        <w:rPr/>
        <w:t>岁，中国工程院院士，教授级高工， </w:t>
      </w:r>
      <w:r>
        <w:rPr>
          <w:spacing w:val="-2"/>
        </w:rPr>
        <w:t>博导，享有国务院政府津贴。</w:t>
      </w:r>
      <w:r>
        <w:rPr>
          <w:rFonts w:ascii="Times New Roman" w:hAnsi="Times New Roman" w:cs="Times New Roman" w:eastAsia="Times New Roman" w:hint="default"/>
          <w:spacing w:val="-2"/>
        </w:rPr>
        <w:t>1985</w:t>
      </w:r>
      <w:r>
        <w:rPr>
          <w:spacing w:val="-2"/>
        </w:rPr>
        <w:t>年</w:t>
      </w:r>
      <w:r>
        <w:rPr>
          <w:rFonts w:ascii="Times New Roman" w:hAnsi="Times New Roman" w:cs="Times New Roman" w:eastAsia="Times New Roman" w:hint="default"/>
          <w:spacing w:val="-2"/>
        </w:rPr>
        <w:t>4</w:t>
      </w:r>
      <w:r>
        <w:rPr>
          <w:spacing w:val="-2"/>
        </w:rPr>
        <w:t>月至今工作于中国水科院水资源所，历任工程师、副室</w:t>
      </w:r>
      <w:r>
        <w:rPr>
          <w:spacing w:val="-115"/>
        </w:rPr>
        <w:t> </w:t>
      </w:r>
      <w:r>
        <w:rPr>
          <w:spacing w:val="-115"/>
        </w:rPr>
      </w:r>
      <w:r>
        <w:rPr>
          <w:spacing w:val="-2"/>
        </w:rPr>
        <w:t>主任、室主任、总工程师。</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4</w:t>
      </w:r>
      <w:r>
        <w:rPr>
          <w:spacing w:val="-2"/>
        </w:rPr>
        <w:t>月至今任中国水科院水资源所所长。</w:t>
      </w:r>
      <w:r>
        <w:rPr>
          <w:rFonts w:ascii="Times New Roman" w:hAnsi="Times New Roman" w:cs="Times New Roman" w:eastAsia="Times New Roman" w:hint="default"/>
          <w:spacing w:val="-2"/>
        </w:rPr>
        <w:t>2011</w:t>
      </w:r>
      <w:r>
        <w:rPr>
          <w:spacing w:val="-2"/>
        </w:rPr>
        <w:t>年起兼任江门市</w:t>
      </w:r>
      <w:r>
        <w:rPr>
          <w:spacing w:val="-110"/>
        </w:rPr>
        <w:t> </w:t>
      </w:r>
      <w:r>
        <w:rPr>
          <w:spacing w:val="-110"/>
        </w:rPr>
      </w:r>
      <w:r>
        <w:rPr/>
        <w:t>地尔汉宇电器股份有限公司独立董事。</w:t>
      </w:r>
    </w:p>
    <w:p>
      <w:pPr>
        <w:pStyle w:val="BodyText"/>
        <w:spacing w:line="338" w:lineRule="auto" w:before="55"/>
        <w:ind w:left="152" w:right="231" w:firstLine="480"/>
        <w:jc w:val="both"/>
      </w:pPr>
      <w:r>
        <w:rPr/>
        <w:t>独立董事董云庭先生：中国国籍，无境外居留权，</w:t>
      </w:r>
      <w:r>
        <w:rPr>
          <w:rFonts w:ascii="Times New Roman" w:hAnsi="Times New Roman" w:cs="Times New Roman" w:eastAsia="Times New Roman" w:hint="default"/>
        </w:rPr>
        <w:t>67</w:t>
      </w:r>
      <w:r>
        <w:rPr/>
        <w:t>岁，硕士，教授，享有国务院政府 津贴。历任杭州电子工业学院讲师、系统工程教研室主任、管理工程系主任，</w:t>
      </w:r>
      <w:r>
        <w:rPr>
          <w:rFonts w:ascii="Times New Roman" w:hAnsi="Times New Roman" w:cs="Times New Roman" w:eastAsia="Times New Roman" w:hint="default"/>
        </w:rPr>
        <w:t>1990</w:t>
      </w:r>
      <w:r>
        <w:rPr/>
        <w:t>年至</w:t>
      </w:r>
      <w:r>
        <w:rPr>
          <w:rFonts w:ascii="Times New Roman" w:hAnsi="Times New Roman" w:cs="Times New Roman" w:eastAsia="Times New Roman" w:hint="default"/>
        </w:rPr>
        <w:t>1997</w:t>
      </w:r>
      <w:r>
        <w:rPr>
          <w:rFonts w:ascii="Times New Roman" w:hAnsi="Times New Roman" w:cs="Times New Roman" w:eastAsia="Times New Roman" w:hint="default"/>
          <w:spacing w:val="-28"/>
        </w:rPr>
        <w:t> </w:t>
      </w:r>
      <w:r>
        <w:rPr/>
        <w:t>年回杭州电子工业学院历任院长助理、副院长等职务；在</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1997</w:t>
      </w:r>
      <w:r>
        <w:rPr/>
        <w:t>年期间兼任杭州电子</w:t>
      </w:r>
      <w:r>
        <w:rPr>
          <w:spacing w:val="-90"/>
        </w:rPr>
        <w:t> </w:t>
      </w:r>
      <w:r>
        <w:rPr>
          <w:spacing w:val="-90"/>
        </w:rPr>
      </w:r>
      <w:r>
        <w:rPr>
          <w:spacing w:val="-5"/>
        </w:rPr>
        <w:t>工业学院工商管理学院院长职务；</w:t>
      </w:r>
      <w:r>
        <w:rPr>
          <w:rFonts w:ascii="Times New Roman" w:hAnsi="Times New Roman" w:cs="Times New Roman" w:eastAsia="Times New Roman" w:hint="default"/>
          <w:spacing w:val="-5"/>
        </w:rPr>
        <w:t>1997</w:t>
      </w:r>
      <w:r>
        <w:rPr>
          <w:spacing w:val="-5"/>
        </w:rPr>
        <w:t>年－</w:t>
      </w:r>
      <w:r>
        <w:rPr>
          <w:rFonts w:ascii="Times New Roman" w:hAnsi="Times New Roman" w:cs="Times New Roman" w:eastAsia="Times New Roman" w:hint="default"/>
          <w:spacing w:val="-5"/>
        </w:rPr>
        <w:t>2000</w:t>
      </w:r>
      <w:r>
        <w:rPr>
          <w:spacing w:val="-5"/>
        </w:rPr>
        <w:t>年任中国电子工业发展规划研究院院长；</w:t>
      </w:r>
      <w:r>
        <w:rPr>
          <w:rFonts w:ascii="Times New Roman" w:hAnsi="Times New Roman" w:cs="Times New Roman" w:eastAsia="Times New Roman" w:hint="default"/>
          <w:spacing w:val="-5"/>
        </w:rPr>
        <w:t>2000</w:t>
      </w:r>
      <w:r>
        <w:rPr>
          <w:rFonts w:ascii="Times New Roman" w:hAnsi="Times New Roman" w:cs="Times New Roman" w:eastAsia="Times New Roman" w:hint="default"/>
          <w:spacing w:val="-25"/>
        </w:rPr>
        <w:t> </w:t>
      </w:r>
      <w:r>
        <w:rPr/>
        <w:t>年至今任中国电子信息产业发展研究院战略研究中心主任；</w:t>
      </w:r>
      <w:r>
        <w:rPr>
          <w:rFonts w:ascii="Times New Roman" w:hAnsi="Times New Roman" w:cs="Times New Roman" w:eastAsia="Times New Roman" w:hint="default"/>
        </w:rPr>
        <w:t>2010</w:t>
      </w:r>
      <w:r>
        <w:rPr/>
        <w:t>年至今任中国电子企业协会</w:t>
      </w:r>
      <w:r>
        <w:rPr>
          <w:spacing w:val="-88"/>
        </w:rPr>
        <w:t> </w:t>
      </w:r>
      <w:r>
        <w:rPr>
          <w:spacing w:val="-88"/>
        </w:rPr>
      </w:r>
      <w:r>
        <w:rPr/>
        <w:t>会长。同时兼任云南南天信息股份有限公司、厦门宏发电声股份有限公司以及天水华天科技</w:t>
      </w:r>
    </w:p>
    <w:p>
      <w:pPr>
        <w:spacing w:after="0" w:line="338" w:lineRule="auto"/>
        <w:jc w:val="both"/>
        <w:sectPr>
          <w:footerReference w:type="default" r:id="rId27"/>
          <w:pgSz w:w="11910" w:h="16840"/>
          <w:pgMar w:footer="1007" w:header="0" w:top="1100" w:bottom="1200" w:left="980" w:right="900"/>
          <w:pgNumType w:start="60"/>
        </w:sectPr>
      </w:pPr>
    </w:p>
    <w:p>
      <w:pPr>
        <w:spacing w:line="240" w:lineRule="auto" w:before="8"/>
        <w:rPr>
          <w:rFonts w:ascii="宋体" w:hAnsi="宋体" w:cs="宋体" w:eastAsia="宋体" w:hint="default"/>
          <w:sz w:val="25"/>
          <w:szCs w:val="25"/>
        </w:rPr>
      </w:pPr>
    </w:p>
    <w:p>
      <w:pPr>
        <w:pStyle w:val="BodyText"/>
        <w:spacing w:line="357" w:lineRule="auto" w:before="26"/>
        <w:ind w:left="633" w:right="217" w:hanging="481"/>
        <w:jc w:val="left"/>
      </w:pPr>
      <w:r>
        <w:rPr/>
        <w:t>股份有限公司独立董事。 </w:t>
      </w:r>
      <w:r>
        <w:rPr>
          <w:spacing w:val="-2"/>
        </w:rPr>
        <w:t>独立董事谢德仁先生：男，中国国籍，无境外居留权，</w:t>
      </w:r>
      <w:r>
        <w:rPr>
          <w:rFonts w:ascii="Times New Roman" w:hAnsi="Times New Roman" w:cs="Times New Roman" w:eastAsia="Times New Roman" w:hint="default"/>
          <w:spacing w:val="-2"/>
        </w:rPr>
        <w:t>41</w:t>
      </w:r>
      <w:r>
        <w:rPr>
          <w:spacing w:val="-2"/>
        </w:rPr>
        <w:t>岁，博士，教授。</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8</w:t>
      </w:r>
      <w:r>
        <w:rPr>
          <w:spacing w:val="-2"/>
        </w:rPr>
        <w:t>月至</w:t>
      </w:r>
    </w:p>
    <w:p>
      <w:pPr>
        <w:pStyle w:val="BodyText"/>
        <w:spacing w:line="348" w:lineRule="auto" w:before="5"/>
        <w:ind w:left="152" w:right="111"/>
        <w:jc w:val="both"/>
      </w:pPr>
      <w:r>
        <w:rPr/>
        <w:t>今在清华大学经济管理学院任教，</w:t>
      </w:r>
      <w:r>
        <w:rPr>
          <w:rFonts w:ascii="Times New Roman" w:hAnsi="Times New Roman" w:cs="Times New Roman" w:eastAsia="Times New Roman" w:hint="default"/>
        </w:rPr>
        <w:t>1999</w:t>
      </w:r>
      <w:r>
        <w:rPr/>
        <w:t>年晋升为副教授，</w:t>
      </w:r>
      <w:r>
        <w:rPr>
          <w:rFonts w:ascii="Times New Roman" w:hAnsi="Times New Roman" w:cs="Times New Roman" w:eastAsia="Times New Roman" w:hint="default"/>
        </w:rPr>
        <w:t>2005</w:t>
      </w:r>
      <w:r>
        <w:rPr/>
        <w:t>年晋升为教授。现任中国会计</w:t>
      </w:r>
      <w:r>
        <w:rPr>
          <w:spacing w:val="-88"/>
        </w:rPr>
        <w:t> </w:t>
      </w:r>
      <w:r>
        <w:rPr>
          <w:spacing w:val="-88"/>
        </w:rPr>
      </w:r>
      <w:r>
        <w:rPr/>
        <w:t>学会《会计研究》编委、中国会计学会财务成本分会理事会副会长等学术兼职，并担任北京</w:t>
      </w:r>
      <w:r>
        <w:rPr>
          <w:spacing w:val="-91"/>
        </w:rPr>
        <w:t> </w:t>
      </w:r>
      <w:r>
        <w:rPr>
          <w:spacing w:val="-91"/>
        </w:rPr>
      </w:r>
      <w:r>
        <w:rPr>
          <w:spacing w:val="-2"/>
        </w:rPr>
        <w:t>双杰电气股份有限公司、同方环境股份有限公司以及华夏基金管理有限责任公司的独立董事。</w:t>
      </w:r>
    </w:p>
    <w:p>
      <w:pPr>
        <w:pStyle w:val="BodyText"/>
        <w:spacing w:line="338" w:lineRule="auto" w:before="46"/>
        <w:ind w:left="152" w:right="237" w:firstLine="480"/>
        <w:jc w:val="both"/>
      </w:pPr>
      <w:r>
        <w:rPr/>
        <w:t>监事会主席曾志明先生：中国国籍，无境外居留权，</w:t>
      </w:r>
      <w:r>
        <w:rPr>
          <w:rFonts w:ascii="Times New Roman" w:hAnsi="Times New Roman" w:cs="Times New Roman" w:eastAsia="Times New Roman" w:hint="default"/>
        </w:rPr>
        <w:t>34</w:t>
      </w:r>
      <w:r>
        <w:rPr/>
        <w:t>岁，博士，曾志明先生自毕业后 即加盟公司并工作至今，一直主持公司研发工作，现任公司基础研发中心研发总监。</w:t>
      </w:r>
    </w:p>
    <w:p>
      <w:pPr>
        <w:pStyle w:val="BodyText"/>
        <w:spacing w:line="338" w:lineRule="auto" w:before="56"/>
        <w:ind w:left="152" w:right="236" w:firstLine="480"/>
        <w:jc w:val="both"/>
      </w:pPr>
      <w:r>
        <w:rPr/>
        <w:t>股东监事杨雪斌先生：中国国籍，无境外居留权，</w:t>
      </w:r>
      <w:r>
        <w:rPr>
          <w:rFonts w:ascii="Times New Roman" w:hAnsi="Times New Roman" w:cs="Times New Roman" w:eastAsia="Times New Roman" w:hint="default"/>
        </w:rPr>
        <w:t>37</w:t>
      </w:r>
      <w:r>
        <w:rPr/>
        <w:t>岁，博士，一直在公司工作，现任 公司企业管理中心信息化总监。</w:t>
      </w:r>
    </w:p>
    <w:p>
      <w:pPr>
        <w:pStyle w:val="BodyText"/>
        <w:spacing w:line="338" w:lineRule="auto" w:before="55"/>
        <w:ind w:left="152" w:right="228" w:firstLine="480"/>
        <w:jc w:val="both"/>
      </w:pPr>
      <w:r>
        <w:rPr>
          <w:spacing w:val="3"/>
        </w:rPr>
        <w:t>职工监事刘英利女士：中国国籍，无境外居留权，</w:t>
      </w:r>
      <w:r>
        <w:rPr>
          <w:rFonts w:ascii="Times New Roman" w:hAnsi="Times New Roman" w:cs="Times New Roman" w:eastAsia="Times New Roman" w:hint="default"/>
          <w:spacing w:val="3"/>
        </w:rPr>
        <w:t>36</w:t>
      </w:r>
      <w:r>
        <w:rPr>
          <w:spacing w:val="3"/>
        </w:rPr>
        <w:t>岁，在职硕士，</w:t>
      </w:r>
      <w:r>
        <w:rPr>
          <w:rFonts w:ascii="Times New Roman" w:hAnsi="Times New Roman" w:cs="Times New Roman" w:eastAsia="Times New Roman" w:hint="default"/>
          <w:spacing w:val="3"/>
        </w:rPr>
        <w:t>2000</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2006</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w:t>
      </w:r>
      <w:r>
        <w:rPr/>
        <w:t>月在百丽投资股份有限公司工作，任采购专员；</w:t>
      </w:r>
      <w:r>
        <w:rPr>
          <w:spacing w:val="31"/>
        </w:rPr>
        <w:t> </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月在汉王科技股份</w:t>
      </w:r>
      <w:r>
        <w:rPr>
          <w:spacing w:val="-117"/>
        </w:rPr>
        <w:t> </w:t>
      </w:r>
      <w:r>
        <w:rPr>
          <w:spacing w:val="-117"/>
        </w:rPr>
      </w:r>
      <w:r>
        <w:rPr>
          <w:spacing w:val="-5"/>
        </w:rPr>
        <w:t>有限公司工作，任研发采购主管；</w:t>
      </w:r>
      <w:r>
        <w:rPr>
          <w:rFonts w:ascii="Times New Roman" w:hAnsi="Times New Roman" w:cs="Times New Roman" w:eastAsia="Times New Roman" w:hint="default"/>
          <w:spacing w:val="-5"/>
        </w:rPr>
        <w:t>2008</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2010</w:t>
      </w:r>
      <w:r>
        <w:rPr>
          <w:spacing w:val="-5"/>
        </w:rPr>
        <w:t>年</w:t>
      </w:r>
      <w:r>
        <w:rPr>
          <w:rFonts w:ascii="Times New Roman" w:hAnsi="Times New Roman" w:cs="Times New Roman" w:eastAsia="Times New Roman" w:hint="default"/>
          <w:spacing w:val="-5"/>
        </w:rPr>
        <w:t>1</w:t>
      </w:r>
      <w:r>
        <w:rPr>
          <w:spacing w:val="-5"/>
        </w:rPr>
        <w:t>月在北京金昶科技有限公司工作；</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22"/>
        </w:rPr>
        <w:t> </w:t>
      </w:r>
      <w:r>
        <w:rPr/>
        <w:t>年</w:t>
      </w:r>
      <w:r>
        <w:rPr>
          <w:rFonts w:ascii="Times New Roman" w:hAnsi="Times New Roman" w:cs="Times New Roman" w:eastAsia="Times New Roman" w:hint="default"/>
        </w:rPr>
        <w:t>3</w:t>
      </w:r>
      <w:r>
        <w:rPr/>
        <w:t>月至今在北京超图软件股份有限公司工作，任采购管理部经理。</w:t>
      </w:r>
    </w:p>
    <w:p>
      <w:pPr>
        <w:pStyle w:val="BodyText"/>
        <w:spacing w:line="357" w:lineRule="auto" w:before="27"/>
        <w:ind w:left="633" w:right="5053"/>
        <w:jc w:val="left"/>
      </w:pPr>
      <w:r>
        <w:rPr/>
        <w:t>总经理宋关福先生：见前述董事介绍。 副总经理王尔琪先生：见前述董事介绍。 副总经理王康弘先生：见前述董事介绍。</w:t>
      </w:r>
    </w:p>
    <w:p>
      <w:pPr>
        <w:pStyle w:val="BodyText"/>
        <w:spacing w:line="338" w:lineRule="auto" w:before="36"/>
        <w:ind w:left="152" w:right="237" w:firstLine="480"/>
        <w:jc w:val="both"/>
      </w:pPr>
      <w:r>
        <w:rPr/>
        <w:t>副总经理梁军先生：中国国籍，无境外居留权，</w:t>
      </w:r>
      <w:r>
        <w:rPr>
          <w:rFonts w:ascii="Times New Roman" w:hAnsi="Times New Roman" w:cs="Times New Roman" w:eastAsia="Times New Roman" w:hint="default"/>
        </w:rPr>
        <w:t>47</w:t>
      </w:r>
      <w:r>
        <w:rPr/>
        <w:t>岁，博士，</w:t>
      </w:r>
      <w:r>
        <w:rPr>
          <w:rFonts w:ascii="Times New Roman" w:hAnsi="Times New Roman" w:cs="Times New Roman" w:eastAsia="Times New Roman" w:hint="default"/>
        </w:rPr>
        <w:t>1998</w:t>
      </w:r>
      <w:r>
        <w:rPr/>
        <w:t>年加入公司并工作至 今，现任公司副总经理。</w:t>
      </w:r>
    </w:p>
    <w:p>
      <w:pPr>
        <w:pStyle w:val="BodyText"/>
        <w:spacing w:line="338" w:lineRule="auto" w:before="55"/>
        <w:ind w:left="152" w:right="231" w:firstLine="480"/>
        <w:jc w:val="both"/>
      </w:pPr>
      <w:r>
        <w:rPr>
          <w:spacing w:val="-2"/>
        </w:rPr>
        <w:t>副总经理杜庆娥女士：中国国籍，无境外居留权，</w:t>
      </w:r>
      <w:r>
        <w:rPr>
          <w:rFonts w:ascii="Times New Roman" w:hAnsi="Times New Roman" w:cs="Times New Roman" w:eastAsia="Times New Roman" w:hint="default"/>
          <w:spacing w:val="-2"/>
        </w:rPr>
        <w:t>38</w:t>
      </w:r>
      <w:r>
        <w:rPr>
          <w:spacing w:val="-2"/>
        </w:rPr>
        <w:t>岁，学士，于</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月加入公司并</w:t>
      </w:r>
      <w:r>
        <w:rPr/>
        <w:t> 工作至今，现任公司副总经理。</w:t>
      </w:r>
    </w:p>
    <w:p>
      <w:pPr>
        <w:pStyle w:val="BodyText"/>
        <w:spacing w:line="338" w:lineRule="auto" w:before="55"/>
        <w:ind w:left="152" w:right="228" w:firstLine="480"/>
        <w:jc w:val="both"/>
      </w:pPr>
      <w:r>
        <w:rPr>
          <w:spacing w:val="-3"/>
        </w:rPr>
        <w:t>副总经理王继晖女士：中国国籍，无境外居留权，</w:t>
      </w:r>
      <w:r>
        <w:rPr>
          <w:rFonts w:ascii="Times New Roman" w:hAnsi="Times New Roman" w:cs="Times New Roman" w:eastAsia="Times New Roman" w:hint="default"/>
          <w:spacing w:val="-3"/>
        </w:rPr>
        <w:t>40</w:t>
      </w:r>
      <w:r>
        <w:rPr>
          <w:spacing w:val="-3"/>
        </w:rPr>
        <w:t>岁，学士</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5"/>
        </w:rPr>
        <w:t> </w:t>
      </w:r>
      <w:r>
        <w:rPr>
          <w:rFonts w:ascii="Times New Roman" w:hAnsi="Times New Roman" w:cs="Times New Roman" w:eastAsia="Times New Roman" w:hint="default"/>
        </w:rPr>
        <w:t>2007</w:t>
      </w:r>
      <w:r>
        <w:rPr/>
        <w:t>年加八本公司并工作 至今，现任公司副总经理。</w:t>
      </w:r>
    </w:p>
    <w:p>
      <w:pPr>
        <w:pStyle w:val="BodyText"/>
        <w:spacing w:line="338" w:lineRule="auto" w:before="55"/>
        <w:ind w:left="152" w:right="236" w:firstLine="480"/>
        <w:jc w:val="both"/>
      </w:pPr>
      <w:r>
        <w:rPr/>
        <w:t>董事会秘书龚娅杰女士：中国国籍，无境外居留权，</w:t>
      </w:r>
      <w:r>
        <w:rPr>
          <w:rFonts w:ascii="Times New Roman" w:hAnsi="Times New Roman" w:cs="Times New Roman" w:eastAsia="Times New Roman" w:hint="default"/>
        </w:rPr>
        <w:t>37</w:t>
      </w:r>
      <w:r>
        <w:rPr/>
        <w:t>岁，硕士，</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11</w:t>
      </w:r>
      <w:r>
        <w:rPr/>
        <w:t>月加入公司 并工作至今，现任公司副总经理、董事会秘书。</w:t>
      </w:r>
    </w:p>
    <w:p>
      <w:pPr>
        <w:pStyle w:val="BodyText"/>
        <w:spacing w:line="338" w:lineRule="auto" w:before="55"/>
        <w:ind w:left="152" w:right="233" w:firstLine="480"/>
        <w:jc w:val="both"/>
      </w:pPr>
      <w:r>
        <w:rPr>
          <w:spacing w:val="-2"/>
        </w:rPr>
        <w:t>财务负责人鹿麒先生：中国国籍，无境外居留权，</w:t>
      </w:r>
      <w:r>
        <w:rPr>
          <w:rFonts w:ascii="Times New Roman" w:hAnsi="Times New Roman" w:cs="Times New Roman" w:eastAsia="Times New Roman" w:hint="default"/>
          <w:spacing w:val="-2"/>
        </w:rPr>
        <w:t>42</w:t>
      </w:r>
      <w:r>
        <w:rPr>
          <w:spacing w:val="-2"/>
        </w:rPr>
        <w:t>岁，学士，高级会计师。</w:t>
      </w:r>
      <w:r>
        <w:rPr>
          <w:rFonts w:ascii="Times New Roman" w:hAnsi="Times New Roman" w:cs="Times New Roman" w:eastAsia="Times New Roman" w:hint="default"/>
          <w:spacing w:val="-2"/>
        </w:rPr>
        <w:t>2006-2008</w:t>
      </w:r>
      <w:r>
        <w:rPr>
          <w:rFonts w:ascii="Times New Roman" w:hAnsi="Times New Roman" w:cs="Times New Roman" w:eastAsia="Times New Roman" w:hint="default"/>
        </w:rPr>
        <w:t> </w:t>
      </w:r>
      <w:r>
        <w:rPr/>
        <w:t>在威利朗沃矿业设备有限公司工作。</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9</w:t>
      </w:r>
      <w:r>
        <w:rPr/>
        <w:t>月至今，任本公司财务总监。</w:t>
      </w:r>
    </w:p>
    <w:p>
      <w:pPr>
        <w:pStyle w:val="BodyText"/>
        <w:spacing w:line="357" w:lineRule="auto" w:before="27"/>
        <w:ind w:left="633" w:right="1213"/>
        <w:jc w:val="left"/>
      </w:pPr>
      <w:r>
        <w:rPr/>
        <w:t>公司董事、监事和高级管理人员（包括前任）从未受到过证券监管机构处罚。 在股东单位任职情况</w:t>
      </w:r>
    </w:p>
    <w:p>
      <w:pPr>
        <w:pStyle w:val="BodyText"/>
        <w:tabs>
          <w:tab w:pos="1485" w:val="left" w:leader="none"/>
        </w:tabs>
        <w:spacing w:line="240" w:lineRule="auto" w:before="36"/>
        <w:ind w:left="633" w:right="253"/>
        <w:jc w:val="left"/>
      </w:pPr>
      <w:r>
        <w:rPr>
          <w:rFonts w:ascii="Times New Roman" w:hAnsi="Times New Roman" w:cs="Times New Roman" w:eastAsia="Times New Roman" w:hint="default"/>
        </w:rPr>
        <w:t>√</w:t>
      </w:r>
      <w:r>
        <w:rPr/>
        <w:t>适用</w:t>
        <w:tab/>
      </w:r>
      <w:r>
        <w:rPr>
          <w:rFonts w:ascii="Times New Roman" w:hAnsi="Times New Roman" w:cs="Times New Roman" w:eastAsia="Times New Roman" w:hint="default"/>
          <w:spacing w:val="-1"/>
        </w:rPr>
        <w:t>□</w:t>
      </w:r>
      <w:r>
        <w:rPr>
          <w:spacing w:val="-1"/>
        </w:rPr>
        <w:t>不适用</w:t>
      </w:r>
    </w:p>
    <w:p>
      <w:pPr>
        <w:spacing w:after="0" w:line="240" w:lineRule="auto"/>
        <w:jc w:val="left"/>
        <w:sectPr>
          <w:pgSz w:w="11910" w:h="16840"/>
          <w:pgMar w:header="0" w:footer="1007" w:top="1100" w:bottom="1200" w:left="980" w:right="90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94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490" w:right="65" w:hanging="421"/>
              <w:jc w:val="left"/>
              <w:rPr>
                <w:rFonts w:ascii="宋体" w:hAnsi="宋体" w:cs="宋体" w:eastAsia="宋体" w:hint="default"/>
                <w:sz w:val="21"/>
                <w:szCs w:val="21"/>
              </w:rPr>
            </w:pPr>
            <w:r>
              <w:rPr>
                <w:rFonts w:ascii="宋体" w:hAnsi="宋体" w:cs="宋体" w:eastAsia="宋体" w:hint="default"/>
                <w:sz w:val="21"/>
                <w:szCs w:val="21"/>
              </w:rPr>
              <w:t>任职人员姓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62" w:right="0"/>
              <w:jc w:val="left"/>
              <w:rPr>
                <w:rFonts w:ascii="宋体" w:hAnsi="宋体" w:cs="宋体" w:eastAsia="宋体" w:hint="default"/>
                <w:sz w:val="21"/>
                <w:szCs w:val="21"/>
              </w:rPr>
            </w:pPr>
            <w:r>
              <w:rPr>
                <w:rFonts w:ascii="宋体" w:hAnsi="宋体" w:cs="宋体" w:eastAsia="宋体" w:hint="default"/>
                <w:sz w:val="21"/>
                <w:szCs w:val="21"/>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8" w:right="103"/>
              <w:jc w:val="center"/>
              <w:rPr>
                <w:rFonts w:ascii="宋体" w:hAnsi="宋体" w:cs="宋体" w:eastAsia="宋体" w:hint="default"/>
                <w:sz w:val="21"/>
                <w:szCs w:val="21"/>
              </w:rPr>
            </w:pPr>
            <w:r>
              <w:rPr>
                <w:rFonts w:ascii="宋体" w:hAnsi="宋体" w:cs="宋体" w:eastAsia="宋体" w:hint="default"/>
                <w:sz w:val="21"/>
                <w:szCs w:val="21"/>
              </w:rPr>
              <w:t>在股东单</w:t>
            </w:r>
            <w:r>
              <w:rPr>
                <w:rFonts w:ascii="宋体" w:hAnsi="宋体" w:cs="宋体" w:eastAsia="宋体" w:hint="default"/>
                <w:w w:val="100"/>
                <w:sz w:val="21"/>
                <w:szCs w:val="21"/>
              </w:rPr>
              <w:t> </w:t>
            </w:r>
            <w:r>
              <w:rPr>
                <w:rFonts w:ascii="宋体" w:hAnsi="宋体" w:cs="宋体" w:eastAsia="宋体" w:hint="default"/>
                <w:sz w:val="21"/>
                <w:szCs w:val="21"/>
              </w:rPr>
              <w:t>位担任的</w:t>
            </w:r>
            <w:r>
              <w:rPr>
                <w:rFonts w:ascii="宋体" w:hAnsi="宋体" w:cs="宋体" w:eastAsia="宋体" w:hint="default"/>
                <w:w w:val="100"/>
                <w:sz w:val="21"/>
                <w:szCs w:val="21"/>
              </w:rPr>
              <w:t> </w:t>
            </w:r>
            <w:r>
              <w:rPr>
                <w:rFonts w:ascii="宋体" w:hAnsi="宋体" w:cs="宋体" w:eastAsia="宋体" w:hint="default"/>
                <w:sz w:val="21"/>
                <w:szCs w:val="21"/>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487" w:right="62"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158" w:right="50" w:hanging="106"/>
              <w:jc w:val="left"/>
              <w:rPr>
                <w:rFonts w:ascii="宋体" w:hAnsi="宋体" w:cs="宋体" w:eastAsia="宋体" w:hint="default"/>
                <w:sz w:val="21"/>
                <w:szCs w:val="21"/>
              </w:rPr>
            </w:pPr>
            <w:r>
              <w:rPr>
                <w:rFonts w:ascii="宋体" w:hAnsi="宋体" w:cs="宋体" w:eastAsia="宋体" w:hint="default"/>
                <w:sz w:val="21"/>
                <w:szCs w:val="21"/>
              </w:rPr>
              <w:t>在股东单位是否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领取报酬津贴</w:t>
            </w:r>
          </w:p>
        </w:tc>
      </w:tr>
      <w:tr>
        <w:trPr>
          <w:trHeight w:val="63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386" w:right="0"/>
              <w:jc w:val="left"/>
              <w:rPr>
                <w:rFonts w:ascii="宋体" w:hAnsi="宋体" w:cs="宋体" w:eastAsia="宋体" w:hint="default"/>
                <w:sz w:val="21"/>
                <w:szCs w:val="21"/>
              </w:rPr>
            </w:pPr>
            <w:r>
              <w:rPr>
                <w:rFonts w:ascii="宋体" w:hAnsi="宋体" w:cs="宋体" w:eastAsia="宋体" w:hint="default"/>
                <w:sz w:val="21"/>
                <w:szCs w:val="21"/>
              </w:rPr>
              <w:t>高星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486" w:right="113" w:hanging="1367"/>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中国科学院地理科学与资源研究</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所</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422" w:right="103" w:hanging="315"/>
              <w:jc w:val="left"/>
              <w:rPr>
                <w:rFonts w:ascii="宋体" w:hAnsi="宋体" w:cs="宋体" w:eastAsia="宋体" w:hint="default"/>
                <w:sz w:val="21"/>
                <w:szCs w:val="21"/>
              </w:rPr>
            </w:pPr>
            <w:r>
              <w:rPr>
                <w:rFonts w:ascii="宋体" w:hAnsi="宋体" w:cs="宋体" w:eastAsia="宋体" w:hint="default"/>
                <w:sz w:val="21"/>
                <w:szCs w:val="21"/>
              </w:rPr>
              <w:t>党委副书</w:t>
            </w:r>
            <w:r>
              <w:rPr>
                <w:rFonts w:ascii="宋体" w:hAnsi="宋体" w:cs="宋体" w:eastAsia="宋体" w:hint="default"/>
                <w:w w:val="100"/>
                <w:sz w:val="21"/>
                <w:szCs w:val="21"/>
              </w:rPr>
              <w:t> </w:t>
            </w:r>
            <w:r>
              <w:rPr>
                <w:rFonts w:ascii="宋体" w:hAnsi="宋体" w:cs="宋体" w:eastAsia="宋体" w:hint="default"/>
                <w:sz w:val="21"/>
                <w:szCs w:val="21"/>
              </w:rPr>
              <w:t>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4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948"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11"/>
              <w:jc w:val="both"/>
              <w:rPr>
                <w:rFonts w:ascii="宋体" w:hAnsi="宋体" w:cs="宋体" w:eastAsia="宋体" w:hint="default"/>
                <w:sz w:val="21"/>
                <w:szCs w:val="21"/>
              </w:rPr>
            </w:pPr>
            <w:r>
              <w:rPr>
                <w:rFonts w:ascii="宋体" w:hAnsi="宋体" w:cs="宋体" w:eastAsia="宋体" w:hint="default"/>
                <w:sz w:val="21"/>
                <w:szCs w:val="21"/>
              </w:rPr>
              <w:t>在股东单位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任职情况的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董事高星先生在公司股东中国科学院地理科学与资源研究所担任党委副书。</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before="26"/>
        <w:ind w:left="152" w:right="0"/>
        <w:jc w:val="left"/>
      </w:pPr>
      <w:r>
        <w:rPr/>
        <w:t>在其他单位任职情况</w:t>
      </w:r>
    </w:p>
    <w:p>
      <w:pPr>
        <w:pStyle w:val="BodyText"/>
        <w:spacing w:line="240" w:lineRule="auto" w:before="154"/>
        <w:ind w:left="152"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不适用</w:t>
      </w:r>
    </w:p>
    <w:p>
      <w:pPr>
        <w:spacing w:line="240" w:lineRule="auto" w:before="5"/>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94"/>
        <w:gridCol w:w="3399"/>
        <w:gridCol w:w="1064"/>
        <w:gridCol w:w="1195"/>
        <w:gridCol w:w="1325"/>
        <w:gridCol w:w="1594"/>
      </w:tblGrid>
      <w:tr>
        <w:trPr>
          <w:trHeight w:val="94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81" w:right="67" w:hanging="210"/>
              <w:jc w:val="left"/>
              <w:rPr>
                <w:rFonts w:ascii="宋体" w:hAnsi="宋体" w:cs="宋体" w:eastAsia="宋体" w:hint="default"/>
                <w:sz w:val="21"/>
                <w:szCs w:val="21"/>
              </w:rPr>
            </w:pPr>
            <w:r>
              <w:rPr>
                <w:rFonts w:ascii="宋体" w:hAnsi="宋体" w:cs="宋体" w:eastAsia="宋体" w:hint="default"/>
                <w:sz w:val="21"/>
                <w:szCs w:val="21"/>
              </w:rPr>
              <w:t>任职人员</w:t>
            </w:r>
            <w:r>
              <w:rPr>
                <w:rFonts w:ascii="宋体" w:hAnsi="宋体" w:cs="宋体" w:eastAsia="宋体" w:hint="default"/>
                <w:w w:val="100"/>
                <w:sz w:val="21"/>
                <w:szCs w:val="21"/>
              </w:rPr>
              <w:t> </w:t>
            </w:r>
            <w:r>
              <w:rPr>
                <w:rFonts w:ascii="宋体" w:hAnsi="宋体" w:cs="宋体" w:eastAsia="宋体" w:hint="default"/>
                <w:sz w:val="21"/>
                <w:szCs w:val="21"/>
              </w:rPr>
              <w:t>姓名</w:t>
            </w:r>
          </w:p>
        </w:tc>
        <w:tc>
          <w:tcPr>
            <w:tcW w:w="3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1065"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7" w:right="101"/>
              <w:jc w:val="center"/>
              <w:rPr>
                <w:rFonts w:ascii="宋体" w:hAnsi="宋体" w:cs="宋体" w:eastAsia="宋体" w:hint="default"/>
                <w:sz w:val="21"/>
                <w:szCs w:val="21"/>
              </w:rPr>
            </w:pPr>
            <w:r>
              <w:rPr>
                <w:rFonts w:ascii="宋体" w:hAnsi="宋体" w:cs="宋体" w:eastAsia="宋体" w:hint="default"/>
                <w:sz w:val="21"/>
                <w:szCs w:val="21"/>
              </w:rPr>
              <w:t>在其他单</w:t>
            </w:r>
            <w:r>
              <w:rPr>
                <w:rFonts w:ascii="宋体" w:hAnsi="宋体" w:cs="宋体" w:eastAsia="宋体" w:hint="default"/>
                <w:w w:val="100"/>
                <w:sz w:val="21"/>
                <w:szCs w:val="21"/>
              </w:rPr>
              <w:t> </w:t>
            </w:r>
            <w:r>
              <w:rPr>
                <w:rFonts w:ascii="宋体" w:hAnsi="宋体" w:cs="宋体" w:eastAsia="宋体" w:hint="default"/>
                <w:sz w:val="21"/>
                <w:szCs w:val="21"/>
              </w:rPr>
              <w:t>位担任的</w:t>
            </w:r>
            <w:r>
              <w:rPr>
                <w:rFonts w:ascii="宋体" w:hAnsi="宋体" w:cs="宋体" w:eastAsia="宋体" w:hint="default"/>
                <w:w w:val="100"/>
                <w:sz w:val="21"/>
                <w:szCs w:val="21"/>
              </w:rPr>
              <w:t> </w:t>
            </w:r>
            <w:r>
              <w:rPr>
                <w:rFonts w:ascii="宋体" w:hAnsi="宋体" w:cs="宋体" w:eastAsia="宋体" w:hint="default"/>
                <w:sz w:val="21"/>
                <w:szCs w:val="21"/>
              </w:rPr>
              <w:t>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487" w:right="62" w:hanging="420"/>
              <w:jc w:val="left"/>
              <w:rPr>
                <w:rFonts w:ascii="宋体" w:hAnsi="宋体" w:cs="宋体" w:eastAsia="宋体" w:hint="default"/>
                <w:sz w:val="21"/>
                <w:szCs w:val="21"/>
              </w:rPr>
            </w:pPr>
            <w:r>
              <w:rPr>
                <w:rFonts w:ascii="宋体" w:hAnsi="宋体" w:cs="宋体" w:eastAsia="宋体" w:hint="default"/>
                <w:sz w:val="21"/>
                <w:szCs w:val="21"/>
              </w:rPr>
              <w:t>任期起始日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163" w:right="50" w:hanging="106"/>
              <w:jc w:val="left"/>
              <w:rPr>
                <w:rFonts w:ascii="宋体" w:hAnsi="宋体" w:cs="宋体" w:eastAsia="宋体" w:hint="default"/>
                <w:sz w:val="21"/>
                <w:szCs w:val="21"/>
              </w:rPr>
            </w:pPr>
            <w:r>
              <w:rPr>
                <w:rFonts w:ascii="宋体" w:hAnsi="宋体" w:cs="宋体" w:eastAsia="宋体" w:hint="default"/>
                <w:sz w:val="21"/>
                <w:szCs w:val="21"/>
              </w:rPr>
              <w:t>在其他单位是否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领取报酬津贴</w:t>
            </w:r>
          </w:p>
        </w:tc>
      </w:tr>
      <w:tr>
        <w:trPr>
          <w:trHeight w:val="32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超图国际</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2006.12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94" w:type="dxa"/>
            <w:vMerge/>
            <w:tcBorders>
              <w:left w:val="single" w:sz="4" w:space="0" w:color="000000"/>
              <w:right w:val="single" w:sz="4" w:space="0" w:color="000000"/>
            </w:tcBorders>
          </w:tcPr>
          <w:p>
            <w:pP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日本超图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2001.7</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94" w:type="dxa"/>
            <w:vMerge/>
            <w:tcBorders>
              <w:left w:val="single" w:sz="4" w:space="0" w:color="000000"/>
              <w:right w:val="single" w:sz="4" w:space="0" w:color="000000"/>
            </w:tcBorders>
          </w:tcPr>
          <w:p>
            <w:pP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浙江中科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2001.5</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94" w:type="dxa"/>
            <w:vMerge/>
            <w:tcBorders>
              <w:left w:val="single" w:sz="4" w:space="0" w:color="000000"/>
              <w:bottom w:val="single" w:sz="4" w:space="0" w:color="000000"/>
              <w:right w:val="single" w:sz="4" w:space="0" w:color="000000"/>
            </w:tcBorders>
          </w:tcPr>
          <w:p>
            <w:pP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国遥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2004.4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4"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超图国际</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2006.12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94" w:type="dxa"/>
            <w:vMerge/>
            <w:tcBorders>
              <w:left w:val="single" w:sz="4" w:space="0" w:color="000000"/>
              <w:right w:val="single" w:sz="4" w:space="0" w:color="000000"/>
            </w:tcBorders>
          </w:tcPr>
          <w:p>
            <w:pP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日本超图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2007.4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94" w:type="dxa"/>
            <w:vMerge/>
            <w:tcBorders>
              <w:left w:val="single" w:sz="4" w:space="0" w:color="000000"/>
              <w:right w:val="single" w:sz="4" w:space="0" w:color="000000"/>
            </w:tcBorders>
          </w:tcPr>
          <w:p>
            <w:pP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国遥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2004.4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6" w:hRule="exact"/>
        </w:trPr>
        <w:tc>
          <w:tcPr>
            <w:tcW w:w="994" w:type="dxa"/>
            <w:vMerge/>
            <w:tcBorders>
              <w:left w:val="single" w:sz="4" w:space="0" w:color="000000"/>
              <w:bottom w:val="single" w:sz="4" w:space="0" w:color="000000"/>
              <w:right w:val="single" w:sz="4" w:space="0" w:color="000000"/>
            </w:tcBorders>
          </w:tcPr>
          <w:p>
            <w:pP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超图信息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4" w:right="0"/>
              <w:jc w:val="center"/>
              <w:rPr>
                <w:rFonts w:ascii="Times New Roman" w:hAnsi="Times New Roman" w:cs="Times New Roman" w:eastAsia="Times New Roman" w:hint="default"/>
                <w:sz w:val="21"/>
                <w:szCs w:val="21"/>
              </w:rPr>
            </w:pPr>
            <w:r>
              <w:rPr>
                <w:rFonts w:ascii="Times New Roman"/>
                <w:sz w:val="21"/>
              </w:rPr>
              <w:t>2006.7</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48"/>
              <w:ind w:left="175" w:right="0"/>
              <w:jc w:val="left"/>
              <w:rPr>
                <w:rFonts w:ascii="宋体" w:hAnsi="宋体" w:cs="宋体" w:eastAsia="宋体" w:hint="default"/>
                <w:sz w:val="21"/>
                <w:szCs w:val="21"/>
              </w:rPr>
            </w:pPr>
            <w:r>
              <w:rPr>
                <w:rFonts w:ascii="宋体" w:hAnsi="宋体" w:cs="宋体" w:eastAsia="宋体" w:hint="default"/>
                <w:sz w:val="21"/>
                <w:szCs w:val="21"/>
              </w:rPr>
              <w:t>王尔琪</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超图信息</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2006.7</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94" w:type="dxa"/>
            <w:vMerge/>
            <w:tcBorders>
              <w:left w:val="single" w:sz="4" w:space="0" w:color="000000"/>
              <w:bottom w:val="single" w:sz="4" w:space="0" w:color="000000"/>
              <w:right w:val="single" w:sz="4" w:space="0" w:color="000000"/>
            </w:tcBorders>
          </w:tcPr>
          <w:p>
            <w:pP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国遥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2004.4</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75" w:right="0"/>
              <w:jc w:val="left"/>
              <w:rPr>
                <w:rFonts w:ascii="宋体" w:hAnsi="宋体" w:cs="宋体" w:eastAsia="宋体" w:hint="default"/>
                <w:sz w:val="21"/>
                <w:szCs w:val="21"/>
              </w:rPr>
            </w:pPr>
            <w:r>
              <w:rPr>
                <w:rFonts w:ascii="宋体" w:hAnsi="宋体" w:cs="宋体" w:eastAsia="宋体" w:hint="default"/>
                <w:sz w:val="21"/>
                <w:szCs w:val="21"/>
              </w:rPr>
              <w:t>徐立新</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3" w:right="0"/>
              <w:jc w:val="left"/>
              <w:rPr>
                <w:rFonts w:ascii="宋体" w:hAnsi="宋体" w:cs="宋体" w:eastAsia="宋体" w:hint="default"/>
                <w:sz w:val="21"/>
                <w:szCs w:val="21"/>
              </w:rPr>
            </w:pPr>
            <w:r>
              <w:rPr>
                <w:rFonts w:ascii="宋体" w:hAnsi="宋体" w:cs="宋体" w:eastAsia="宋体" w:hint="default"/>
                <w:sz w:val="21"/>
                <w:szCs w:val="21"/>
              </w:rPr>
              <w:t>高投名力成长创业投资有限公司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2006 </w:t>
            </w:r>
            <w:r>
              <w:rPr>
                <w:rFonts w:ascii="宋体" w:hAnsi="宋体" w:cs="宋体" w:eastAsia="宋体" w:hint="default"/>
                <w:sz w:val="21"/>
                <w:szCs w:val="21"/>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148"/>
              <w:ind w:left="281" w:right="0"/>
              <w:jc w:val="left"/>
              <w:rPr>
                <w:rFonts w:ascii="宋体" w:hAnsi="宋体" w:cs="宋体" w:eastAsia="宋体" w:hint="default"/>
                <w:sz w:val="21"/>
                <w:szCs w:val="21"/>
              </w:rPr>
            </w:pPr>
            <w:r>
              <w:rPr>
                <w:rFonts w:ascii="宋体" w:hAnsi="宋体" w:cs="宋体" w:eastAsia="宋体" w:hint="default"/>
                <w:sz w:val="21"/>
                <w:szCs w:val="21"/>
              </w:rPr>
              <w:t>王浩</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748" w:right="0"/>
              <w:jc w:val="left"/>
              <w:rPr>
                <w:rFonts w:ascii="宋体" w:hAnsi="宋体" w:cs="宋体" w:eastAsia="宋体" w:hint="default"/>
                <w:sz w:val="21"/>
                <w:szCs w:val="21"/>
              </w:rPr>
            </w:pPr>
            <w:r>
              <w:rPr>
                <w:rFonts w:ascii="宋体" w:hAnsi="宋体" w:cs="宋体" w:eastAsia="宋体" w:hint="default"/>
                <w:sz w:val="21"/>
                <w:szCs w:val="21"/>
              </w:rPr>
              <w:t>中国水科院水资源所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所长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7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322" w:hRule="exact"/>
        </w:trPr>
        <w:tc>
          <w:tcPr>
            <w:tcW w:w="994" w:type="dxa"/>
            <w:vMerge/>
            <w:tcBorders>
              <w:left w:val="single" w:sz="4" w:space="0" w:color="000000"/>
              <w:bottom w:val="single" w:sz="4" w:space="0" w:color="000000"/>
              <w:right w:val="single" w:sz="4" w:space="0" w:color="000000"/>
            </w:tcBorders>
          </w:tcPr>
          <w:p>
            <w:pP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9" w:right="0"/>
              <w:jc w:val="left"/>
              <w:rPr>
                <w:rFonts w:ascii="宋体" w:hAnsi="宋体" w:cs="宋体" w:eastAsia="宋体" w:hint="default"/>
                <w:sz w:val="21"/>
                <w:szCs w:val="21"/>
              </w:rPr>
            </w:pPr>
            <w:r>
              <w:rPr>
                <w:rFonts w:ascii="宋体" w:hAnsi="宋体" w:cs="宋体" w:eastAsia="宋体" w:hint="default"/>
                <w:sz w:val="21"/>
                <w:szCs w:val="21"/>
              </w:rPr>
              <w:t>江门市地尔汉宇电器股份有限公司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2011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80"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董云庭</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065" w:right="0"/>
              <w:jc w:val="left"/>
              <w:rPr>
                <w:rFonts w:ascii="宋体" w:hAnsi="宋体" w:cs="宋体" w:eastAsia="宋体" w:hint="default"/>
                <w:sz w:val="21"/>
                <w:szCs w:val="21"/>
              </w:rPr>
            </w:pPr>
            <w:r>
              <w:rPr>
                <w:rFonts w:ascii="宋体" w:hAnsi="宋体" w:cs="宋体" w:eastAsia="宋体" w:hint="default"/>
                <w:sz w:val="21"/>
                <w:szCs w:val="21"/>
              </w:rPr>
              <w:t>中国电子企业协会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会长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78" w:hRule="exact"/>
        </w:trPr>
        <w:tc>
          <w:tcPr>
            <w:tcW w:w="994" w:type="dxa"/>
            <w:vMerge/>
            <w:tcBorders>
              <w:left w:val="single" w:sz="4" w:space="0" w:color="000000"/>
              <w:right w:val="single" w:sz="4" w:space="0" w:color="000000"/>
            </w:tcBorders>
          </w:tcPr>
          <w:p>
            <w:pP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43" w:right="0"/>
              <w:jc w:val="left"/>
              <w:rPr>
                <w:rFonts w:ascii="宋体" w:hAnsi="宋体" w:cs="宋体" w:eastAsia="宋体" w:hint="default"/>
                <w:sz w:val="21"/>
                <w:szCs w:val="21"/>
              </w:rPr>
            </w:pPr>
            <w:r>
              <w:rPr>
                <w:rFonts w:ascii="宋体" w:hAnsi="宋体" w:cs="宋体" w:eastAsia="宋体" w:hint="default"/>
                <w:sz w:val="21"/>
                <w:szCs w:val="21"/>
              </w:rPr>
              <w:t>云南南天信息股份有限公司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78" w:hRule="exact"/>
        </w:trPr>
        <w:tc>
          <w:tcPr>
            <w:tcW w:w="994" w:type="dxa"/>
            <w:vMerge/>
            <w:tcBorders>
              <w:left w:val="single" w:sz="4" w:space="0" w:color="000000"/>
              <w:right w:val="single" w:sz="4" w:space="0" w:color="000000"/>
            </w:tcBorders>
          </w:tcPr>
          <w:p>
            <w:pP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43" w:right="0"/>
              <w:jc w:val="left"/>
              <w:rPr>
                <w:rFonts w:ascii="宋体" w:hAnsi="宋体" w:cs="宋体" w:eastAsia="宋体" w:hint="default"/>
                <w:sz w:val="21"/>
                <w:szCs w:val="21"/>
              </w:rPr>
            </w:pPr>
            <w:r>
              <w:rPr>
                <w:rFonts w:ascii="宋体" w:hAnsi="宋体" w:cs="宋体" w:eastAsia="宋体" w:hint="default"/>
                <w:sz w:val="21"/>
                <w:szCs w:val="21"/>
              </w:rPr>
              <w:t>厦门宏发电声股份有限公司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78" w:hRule="exact"/>
        </w:trPr>
        <w:tc>
          <w:tcPr>
            <w:tcW w:w="994" w:type="dxa"/>
            <w:vMerge/>
            <w:tcBorders>
              <w:left w:val="single" w:sz="4" w:space="0" w:color="000000"/>
              <w:bottom w:val="single" w:sz="4" w:space="0" w:color="000000"/>
              <w:right w:val="single" w:sz="4" w:space="0" w:color="000000"/>
            </w:tcBorders>
          </w:tcPr>
          <w:p>
            <w:pP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43" w:right="0"/>
              <w:jc w:val="left"/>
              <w:rPr>
                <w:rFonts w:ascii="宋体" w:hAnsi="宋体" w:cs="宋体" w:eastAsia="宋体" w:hint="default"/>
                <w:sz w:val="21"/>
                <w:szCs w:val="21"/>
              </w:rPr>
            </w:pPr>
            <w:r>
              <w:rPr>
                <w:rFonts w:ascii="宋体" w:hAnsi="宋体" w:cs="宋体" w:eastAsia="宋体" w:hint="default"/>
                <w:sz w:val="21"/>
                <w:szCs w:val="21"/>
              </w:rPr>
              <w:t>天水华天科技股份有限公司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78" w:hRule="exact"/>
        </w:trPr>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谢德仁</w:t>
            </w: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sz w:val="21"/>
                <w:szCs w:val="21"/>
              </w:rPr>
              <w:t>清华大学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1" w:right="0"/>
              <w:jc w:val="center"/>
              <w:rPr>
                <w:rFonts w:ascii="宋体" w:hAnsi="宋体" w:cs="宋体" w:eastAsia="宋体" w:hint="default"/>
                <w:sz w:val="21"/>
                <w:szCs w:val="21"/>
              </w:rPr>
            </w:pPr>
            <w:r>
              <w:rPr>
                <w:rFonts w:ascii="宋体" w:hAnsi="宋体" w:cs="宋体" w:eastAsia="宋体" w:hint="default"/>
                <w:sz w:val="21"/>
                <w:szCs w:val="21"/>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w w:val="100"/>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78" w:hRule="exact"/>
        </w:trPr>
        <w:tc>
          <w:tcPr>
            <w:tcW w:w="994" w:type="dxa"/>
            <w:vMerge/>
            <w:tcBorders>
              <w:left w:val="single" w:sz="4" w:space="0" w:color="000000"/>
              <w:right w:val="single" w:sz="4" w:space="0" w:color="000000"/>
            </w:tcBorders>
          </w:tcPr>
          <w:p>
            <w:pP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43" w:right="0"/>
              <w:jc w:val="left"/>
              <w:rPr>
                <w:rFonts w:ascii="宋体" w:hAnsi="宋体" w:cs="宋体" w:eastAsia="宋体" w:hint="default"/>
                <w:sz w:val="21"/>
                <w:szCs w:val="21"/>
              </w:rPr>
            </w:pPr>
            <w:r>
              <w:rPr>
                <w:rFonts w:ascii="宋体" w:hAnsi="宋体" w:cs="宋体" w:eastAsia="宋体" w:hint="default"/>
                <w:sz w:val="21"/>
                <w:szCs w:val="21"/>
              </w:rPr>
              <w:t>北京双杰电气股份有限公司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80" w:hRule="exact"/>
        </w:trPr>
        <w:tc>
          <w:tcPr>
            <w:tcW w:w="994" w:type="dxa"/>
            <w:vMerge/>
            <w:tcBorders>
              <w:left w:val="single" w:sz="4" w:space="0" w:color="000000"/>
              <w:right w:val="single" w:sz="4" w:space="0" w:color="000000"/>
            </w:tcBorders>
          </w:tcPr>
          <w:p>
            <w:pP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854" w:right="0"/>
              <w:jc w:val="left"/>
              <w:rPr>
                <w:rFonts w:ascii="宋体" w:hAnsi="宋体" w:cs="宋体" w:eastAsia="宋体" w:hint="default"/>
                <w:sz w:val="21"/>
                <w:szCs w:val="21"/>
              </w:rPr>
            </w:pPr>
            <w:r>
              <w:rPr>
                <w:rFonts w:ascii="宋体" w:hAnsi="宋体" w:cs="宋体" w:eastAsia="宋体" w:hint="default"/>
                <w:sz w:val="21"/>
                <w:szCs w:val="21"/>
              </w:rPr>
              <w:t>同方环境股份有限公司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478" w:hRule="exact"/>
        </w:trPr>
        <w:tc>
          <w:tcPr>
            <w:tcW w:w="994" w:type="dxa"/>
            <w:vMerge/>
            <w:tcBorders>
              <w:left w:val="single" w:sz="4" w:space="0" w:color="000000"/>
              <w:bottom w:val="single" w:sz="4" w:space="0" w:color="000000"/>
              <w:right w:val="single" w:sz="4" w:space="0" w:color="000000"/>
            </w:tcBorders>
          </w:tcPr>
          <w:p>
            <w:pPr/>
          </w:p>
        </w:tc>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54" w:right="0"/>
              <w:jc w:val="left"/>
              <w:rPr>
                <w:rFonts w:ascii="宋体" w:hAnsi="宋体" w:cs="宋体" w:eastAsia="宋体" w:hint="default"/>
                <w:sz w:val="21"/>
                <w:szCs w:val="21"/>
              </w:rPr>
            </w:pPr>
            <w:r>
              <w:rPr>
                <w:rFonts w:ascii="宋体" w:hAnsi="宋体" w:cs="宋体" w:eastAsia="宋体" w:hint="default"/>
                <w:sz w:val="21"/>
                <w:szCs w:val="21"/>
              </w:rPr>
              <w:t>华夏基金管理有限公司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115"/>
              <w:jc w:val="both"/>
              <w:rPr>
                <w:rFonts w:ascii="宋体" w:hAnsi="宋体" w:cs="宋体" w:eastAsia="宋体" w:hint="default"/>
                <w:sz w:val="21"/>
                <w:szCs w:val="21"/>
              </w:rPr>
            </w:pPr>
            <w:r>
              <w:rPr>
                <w:rFonts w:ascii="宋体" w:hAnsi="宋体" w:cs="宋体" w:eastAsia="宋体" w:hint="default"/>
                <w:sz w:val="21"/>
                <w:szCs w:val="21"/>
              </w:rPr>
              <w:t>在其他单</w:t>
            </w:r>
            <w:r>
              <w:rPr>
                <w:rFonts w:ascii="宋体" w:hAnsi="宋体" w:cs="宋体" w:eastAsia="宋体" w:hint="default"/>
                <w:w w:val="100"/>
                <w:sz w:val="21"/>
                <w:szCs w:val="21"/>
              </w:rPr>
              <w:t> </w:t>
            </w:r>
            <w:r>
              <w:rPr>
                <w:rFonts w:ascii="宋体" w:hAnsi="宋体" w:cs="宋体" w:eastAsia="宋体" w:hint="default"/>
                <w:sz w:val="21"/>
                <w:szCs w:val="21"/>
              </w:rPr>
              <w:t>位任职情</w:t>
            </w:r>
            <w:r>
              <w:rPr>
                <w:rFonts w:ascii="宋体" w:hAnsi="宋体" w:cs="宋体" w:eastAsia="宋体" w:hint="default"/>
                <w:w w:val="100"/>
                <w:sz w:val="21"/>
                <w:szCs w:val="21"/>
              </w:rPr>
              <w:t> </w:t>
            </w:r>
            <w:r>
              <w:rPr>
                <w:rFonts w:ascii="宋体" w:hAnsi="宋体" w:cs="宋体" w:eastAsia="宋体" w:hint="default"/>
                <w:sz w:val="21"/>
                <w:szCs w:val="21"/>
              </w:rPr>
              <w:t>况的说明</w:t>
            </w:r>
          </w:p>
        </w:tc>
        <w:tc>
          <w:tcPr>
            <w:tcW w:w="8577" w:type="dxa"/>
            <w:gridSpan w:val="5"/>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5"/>
              <w:jc w:val="both"/>
              <w:rPr>
                <w:rFonts w:ascii="宋体" w:hAnsi="宋体" w:cs="宋体" w:eastAsia="宋体" w:hint="default"/>
                <w:sz w:val="21"/>
                <w:szCs w:val="21"/>
              </w:rPr>
            </w:pPr>
            <w:r>
              <w:rPr>
                <w:rFonts w:ascii="宋体" w:hAnsi="宋体" w:cs="宋体" w:eastAsia="宋体" w:hint="default"/>
                <w:spacing w:val="-4"/>
                <w:w w:val="100"/>
                <w:sz w:val="21"/>
                <w:szCs w:val="21"/>
              </w:rPr>
              <w:t>董事徐立新先生在高投名力成长创业投资有限公司任总经理；独立董事王浩先生为中国水科院</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4"/>
                <w:sz w:val="21"/>
                <w:szCs w:val="21"/>
              </w:rPr>
              <w:t>水资源所所长，同时兼任江门市地尔汉宇电器股份有限公司独立董事；独立董事董云庭先生为</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4"/>
                <w:sz w:val="21"/>
                <w:szCs w:val="21"/>
              </w:rPr>
              <w:t>中国电子企业协会会长；独立董事谢德仁先生为清华大学教授，同时兼任北京双杰电气股份有</w:t>
            </w:r>
          </w:p>
        </w:tc>
      </w:tr>
    </w:tbl>
    <w:p>
      <w:pPr>
        <w:spacing w:after="0" w:line="273" w:lineRule="auto"/>
        <w:jc w:val="both"/>
        <w:rPr>
          <w:rFonts w:ascii="宋体" w:hAnsi="宋体" w:cs="宋体" w:eastAsia="宋体" w:hint="default"/>
          <w:sz w:val="21"/>
          <w:szCs w:val="21"/>
        </w:rPr>
        <w:sectPr>
          <w:pgSz w:w="11910" w:h="16840"/>
          <w:pgMar w:header="0" w:footer="1007" w:top="1100" w:bottom="1200" w:left="980" w:right="980"/>
        </w:sectPr>
      </w:pPr>
    </w:p>
    <w:p>
      <w:pPr>
        <w:spacing w:line="240" w:lineRule="auto" w:before="3"/>
        <w:rPr>
          <w:rFonts w:ascii="宋体" w:hAnsi="宋体" w:cs="宋体" w:eastAsia="宋体" w:hint="default"/>
          <w:sz w:val="24"/>
          <w:szCs w:val="24"/>
        </w:rPr>
      </w:pPr>
    </w:p>
    <w:p>
      <w:pPr>
        <w:spacing w:line="965" w:lineRule="exact"/>
        <w:ind w:left="148" w:right="0" w:firstLine="0"/>
        <w:rPr>
          <w:rFonts w:ascii="宋体" w:hAnsi="宋体" w:cs="宋体" w:eastAsia="宋体" w:hint="default"/>
          <w:sz w:val="20"/>
          <w:szCs w:val="20"/>
        </w:rPr>
      </w:pPr>
      <w:r>
        <w:rPr>
          <w:rFonts w:ascii="宋体" w:hAnsi="宋体" w:cs="宋体" w:eastAsia="宋体" w:hint="default"/>
          <w:position w:val="-18"/>
          <w:sz w:val="20"/>
          <w:szCs w:val="20"/>
        </w:rPr>
        <w:pict>
          <v:group style="width:479.05pt;height:48.3pt;mso-position-horizontal-relative:char;mso-position-vertical-relative:line" coordorigin="0,0" coordsize="9581,966">
            <v:group style="position:absolute;left:12;top:14;width:983;height:937" coordorigin="12,14" coordsize="983,937">
              <v:shape style="position:absolute;left:12;top:14;width:983;height:937" coordorigin="12,14" coordsize="983,937" path="m12,951l994,951,994,14,12,14,12,951xe" filled="true" fillcolor="#d2d2d2" stroked="false">
                <v:path arrowok="t"/>
                <v:fill type="solid"/>
              </v:shape>
            </v:group>
            <v:group style="position:absolute;left:10;top:10;width:985;height:2" coordorigin="10,10" coordsize="985,2">
              <v:shape style="position:absolute;left:10;top:10;width:985;height:2" coordorigin="10,10" coordsize="985,0" path="m10,10l994,10e" filled="false" stroked="true" strokeweight=".48pt" strokecolor="#000000">
                <v:path arrowok="t"/>
              </v:shape>
            </v:group>
            <v:group style="position:absolute;left:1004;top:10;width:8567;height:2" coordorigin="1004,10" coordsize="8567,2">
              <v:shape style="position:absolute;left:1004;top:10;width:8567;height:2" coordorigin="1004,10" coordsize="8567,0" path="m1004,10l9571,10e" filled="false" stroked="true" strokeweight=".48pt" strokecolor="#000000">
                <v:path arrowok="t"/>
              </v:shape>
            </v:group>
            <v:group style="position:absolute;left:5;top:5;width:2;height:956" coordorigin="5,5" coordsize="2,956">
              <v:shape style="position:absolute;left:5;top:5;width:2;height:956" coordorigin="5,5" coordsize="0,956" path="m5,5l5,960e" filled="false" stroked="true" strokeweight=".48pt" strokecolor="#000000">
                <v:path arrowok="t"/>
              </v:shape>
            </v:group>
            <v:group style="position:absolute;left:10;top:956;width:985;height:2" coordorigin="10,956" coordsize="985,2">
              <v:shape style="position:absolute;left:10;top:956;width:985;height:2" coordorigin="10,956" coordsize="985,0" path="m10,956l994,956e" filled="false" stroked="true" strokeweight=".48pt" strokecolor="#000000">
                <v:path arrowok="t"/>
              </v:shape>
            </v:group>
            <v:group style="position:absolute;left:999;top:5;width:2;height:956" coordorigin="999,5" coordsize="2,956">
              <v:shape style="position:absolute;left:999;top:5;width:2;height:956" coordorigin="999,5" coordsize="0,956" path="m999,5l999,960e" filled="false" stroked="true" strokeweight=".48pt" strokecolor="#000000">
                <v:path arrowok="t"/>
              </v:shape>
            </v:group>
            <v:group style="position:absolute;left:1004;top:956;width:8567;height:2" coordorigin="1004,956" coordsize="8567,2">
              <v:shape style="position:absolute;left:1004;top:956;width:8567;height:2" coordorigin="1004,956" coordsize="8567,0" path="m1004,956l9571,956e" filled="false" stroked="true" strokeweight=".48pt" strokecolor="#000000">
                <v:path arrowok="t"/>
              </v:shape>
            </v:group>
            <v:group style="position:absolute;left:9576;top:5;width:2;height:956" coordorigin="9576,5" coordsize="2,956">
              <v:shape style="position:absolute;left:9576;top:5;width:2;height:956" coordorigin="9576,5" coordsize="0,956" path="m9576,5l9576,960e" filled="false" stroked="true" strokeweight=".47998pt" strokecolor="#000000">
                <v:path arrowok="t"/>
              </v:shape>
              <v:shape style="position:absolute;left:999;top:10;width:8577;height:946" type="#_x0000_t202" filled="false" stroked="false">
                <v:textbox inset="0,0,0,0">
                  <w:txbxContent>
                    <w:p>
                      <w:pPr>
                        <w:spacing w:line="273" w:lineRule="auto" w:before="0"/>
                        <w:ind w:left="28" w:right="19" w:firstLine="0"/>
                        <w:jc w:val="both"/>
                        <w:rPr>
                          <w:rFonts w:ascii="宋体" w:hAnsi="宋体" w:cs="宋体" w:eastAsia="宋体" w:hint="default"/>
                          <w:sz w:val="21"/>
                          <w:szCs w:val="21"/>
                        </w:rPr>
                      </w:pPr>
                      <w:r>
                        <w:rPr>
                          <w:rFonts w:ascii="宋体" w:hAnsi="宋体" w:cs="宋体" w:eastAsia="宋体" w:hint="default"/>
                          <w:spacing w:val="-4"/>
                          <w:sz w:val="21"/>
                          <w:szCs w:val="21"/>
                        </w:rPr>
                        <w:t>限公司、同方环境股份有限公司以及华夏基金管理有限公司的独立董事。独立董事董云庭先生</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为中国电子企业协会会长，同时兼任云南南天信息股份有限公司、厦门宏发电声股份有限公司</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以及天水华天科技股份</w:t>
                      </w:r>
                      <w:r>
                        <w:rPr>
                          <w:rFonts w:ascii="宋体" w:hAnsi="宋体" w:cs="宋体" w:eastAsia="宋体" w:hint="default"/>
                          <w:spacing w:val="-4"/>
                          <w:sz w:val="21"/>
                          <w:szCs w:val="21"/>
                        </w:rPr>
                        <w:t> </w:t>
                      </w:r>
                      <w:r>
                        <w:rPr>
                          <w:rFonts w:ascii="宋体" w:hAnsi="宋体" w:cs="宋体" w:eastAsia="宋体" w:hint="default"/>
                          <w:sz w:val="21"/>
                          <w:szCs w:val="21"/>
                        </w:rPr>
                        <w:t>有限公司独立董事。</w:t>
                      </w:r>
                    </w:p>
                  </w:txbxContent>
                </v:textbox>
                <w10:wrap type="none"/>
              </v:shape>
            </v:group>
          </v:group>
        </w:pict>
      </w:r>
      <w:r>
        <w:rPr>
          <w:rFonts w:ascii="宋体" w:hAnsi="宋体" w:cs="宋体" w:eastAsia="宋体" w:hint="default"/>
          <w:position w:val="-18"/>
          <w:sz w:val="20"/>
          <w:szCs w:val="20"/>
        </w:rPr>
      </w:r>
    </w:p>
    <w:p>
      <w:pPr>
        <w:spacing w:line="240" w:lineRule="auto" w:before="9"/>
        <w:rPr>
          <w:rFonts w:ascii="宋体" w:hAnsi="宋体" w:cs="宋体" w:eastAsia="宋体" w:hint="default"/>
          <w:sz w:val="17"/>
          <w:szCs w:val="17"/>
        </w:rPr>
      </w:pPr>
    </w:p>
    <w:p>
      <w:pPr>
        <w:pStyle w:val="Heading4"/>
        <w:spacing w:line="240" w:lineRule="auto" w:before="26"/>
        <w:ind w:left="152" w:right="0"/>
        <w:jc w:val="left"/>
        <w:rPr>
          <w:b w:val="0"/>
          <w:bCs w:val="0"/>
        </w:rPr>
      </w:pPr>
      <w:bookmarkStart w:name="_bookmark84" w:id="85"/>
      <w:bookmarkEnd w:id="85"/>
      <w:r>
        <w:rPr>
          <w:b w:val="0"/>
          <w:bCs w:val="0"/>
        </w:rPr>
      </w:r>
      <w:r>
        <w:rPr/>
        <w:t>三、董事、监事、高级管理人员报酬情况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5975"/>
      </w:tblGrid>
      <w:tr>
        <w:trPr>
          <w:trHeight w:val="946"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22" w:right="17"/>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董事、监事、高级管理人员报酬的决策</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程序</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53"/>
              <w:jc w:val="both"/>
              <w:rPr>
                <w:rFonts w:ascii="宋体" w:hAnsi="宋体" w:cs="宋体" w:eastAsia="宋体" w:hint="default"/>
                <w:sz w:val="21"/>
                <w:szCs w:val="21"/>
              </w:rPr>
            </w:pPr>
            <w:r>
              <w:rPr>
                <w:rFonts w:ascii="宋体" w:hAnsi="宋体" w:cs="宋体" w:eastAsia="宋体" w:hint="default"/>
                <w:spacing w:val="-2"/>
                <w:sz w:val="21"/>
                <w:szCs w:val="21"/>
              </w:rPr>
              <w:t>董事、监事津贴按照公司《董事、监事薪酬管理制度》执行；高</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2"/>
                <w:sz w:val="21"/>
                <w:szCs w:val="21"/>
              </w:rPr>
              <w:t>管人员报酬根据公司《高级管理人员薪酬管理制度》执行，由薪</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酬与考核委员会进行考核。</w:t>
            </w:r>
          </w:p>
        </w:tc>
      </w:tr>
      <w:tr>
        <w:trPr>
          <w:trHeight w:val="634"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4"/>
                <w:sz w:val="21"/>
                <w:szCs w:val="21"/>
              </w:rPr>
              <w:t>董事、监事、高级管理人员报酬确定依</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按年初制定的业绩考核目标进行确定</w:t>
            </w:r>
          </w:p>
        </w:tc>
      </w:tr>
      <w:tr>
        <w:trPr>
          <w:trHeight w:val="637"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4"/>
                <w:sz w:val="21"/>
                <w:szCs w:val="21"/>
              </w:rPr>
              <w:t>董事、监事和高级管理人员报酬的实际</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支付情况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sz w:val="21"/>
                <w:szCs w:val="21"/>
              </w:rPr>
              <w:t>董事、监事和高管薪酬实际支付情况请见下表</w:t>
            </w:r>
          </w:p>
        </w:tc>
      </w:tr>
    </w:tbl>
    <w:p>
      <w:pPr>
        <w:spacing w:line="240" w:lineRule="auto" w:before="10"/>
        <w:rPr>
          <w:rFonts w:ascii="宋体" w:hAnsi="宋体" w:cs="宋体" w:eastAsia="宋体" w:hint="default"/>
          <w:b/>
          <w:bCs/>
          <w:sz w:val="18"/>
          <w:szCs w:val="18"/>
        </w:rPr>
      </w:pPr>
    </w:p>
    <w:p>
      <w:pPr>
        <w:pStyle w:val="BodyText"/>
        <w:spacing w:line="240" w:lineRule="auto" w:before="26"/>
        <w:ind w:left="152" w:right="0"/>
        <w:jc w:val="left"/>
      </w:pPr>
      <w:r>
        <w:rPr/>
        <w:t>公司报告期内董事、监事和高级管理人员报酬情况：</w:t>
      </w:r>
    </w:p>
    <w:p>
      <w:pPr>
        <w:spacing w:line="240" w:lineRule="auto" w:before="12"/>
        <w:rPr>
          <w:rFonts w:ascii="宋体" w:hAnsi="宋体" w:cs="宋体" w:eastAsia="宋体" w:hint="default"/>
          <w:sz w:val="2"/>
          <w:szCs w:val="2"/>
        </w:rPr>
      </w:pPr>
    </w:p>
    <w:tbl>
      <w:tblPr>
        <w:tblW w:w="0" w:type="auto"/>
        <w:jc w:val="left"/>
        <w:tblInd w:w="183" w:type="dxa"/>
        <w:tblLayout w:type="fixed"/>
        <w:tblCellMar>
          <w:top w:w="0" w:type="dxa"/>
          <w:left w:w="0" w:type="dxa"/>
          <w:bottom w:w="0" w:type="dxa"/>
          <w:right w:w="0" w:type="dxa"/>
        </w:tblCellMar>
        <w:tblLook w:val="01E0"/>
      </w:tblPr>
      <w:tblGrid>
        <w:gridCol w:w="1196"/>
        <w:gridCol w:w="1195"/>
        <w:gridCol w:w="1198"/>
        <w:gridCol w:w="1195"/>
        <w:gridCol w:w="1196"/>
        <w:gridCol w:w="1198"/>
        <w:gridCol w:w="1196"/>
        <w:gridCol w:w="1195"/>
      </w:tblGrid>
      <w:tr>
        <w:trPr>
          <w:trHeight w:val="94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年龄</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7" w:right="65"/>
              <w:jc w:val="center"/>
              <w:rPr>
                <w:rFonts w:ascii="宋体" w:hAnsi="宋体" w:cs="宋体" w:eastAsia="宋体" w:hint="default"/>
                <w:sz w:val="21"/>
                <w:szCs w:val="21"/>
              </w:rPr>
            </w:pPr>
            <w:r>
              <w:rPr>
                <w:rFonts w:ascii="宋体" w:hAnsi="宋体" w:cs="宋体" w:eastAsia="宋体" w:hint="default"/>
                <w:sz w:val="21"/>
                <w:szCs w:val="21"/>
              </w:rPr>
              <w:t>从公司获得</w:t>
            </w:r>
            <w:r>
              <w:rPr>
                <w:rFonts w:ascii="宋体" w:hAnsi="宋体" w:cs="宋体" w:eastAsia="宋体" w:hint="default"/>
                <w:w w:val="100"/>
                <w:sz w:val="21"/>
                <w:szCs w:val="21"/>
              </w:rPr>
              <w:t> </w:t>
            </w:r>
            <w:r>
              <w:rPr>
                <w:rFonts w:ascii="宋体" w:hAnsi="宋体" w:cs="宋体" w:eastAsia="宋体" w:hint="default"/>
                <w:sz w:val="21"/>
                <w:szCs w:val="21"/>
              </w:rPr>
              <w:t>的报酬总额</w:t>
            </w:r>
          </w:p>
          <w:p>
            <w:pPr>
              <w:pStyle w:val="TableParagraph"/>
              <w:spacing w:line="240" w:lineRule="auto" w:before="7"/>
              <w:ind w:left="2"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7" w:right="63"/>
              <w:jc w:val="both"/>
              <w:rPr>
                <w:rFonts w:ascii="宋体" w:hAnsi="宋体" w:cs="宋体" w:eastAsia="宋体" w:hint="default"/>
                <w:sz w:val="21"/>
                <w:szCs w:val="21"/>
              </w:rPr>
            </w:pPr>
            <w:r>
              <w:rPr>
                <w:rFonts w:ascii="宋体" w:hAnsi="宋体" w:cs="宋体" w:eastAsia="宋体" w:hint="default"/>
                <w:sz w:val="21"/>
                <w:szCs w:val="21"/>
              </w:rPr>
              <w:t>从股东单位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获得的报酬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总额（元）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7" w:right="62"/>
              <w:jc w:val="center"/>
              <w:rPr>
                <w:rFonts w:ascii="宋体" w:hAnsi="宋体" w:cs="宋体" w:eastAsia="宋体" w:hint="default"/>
                <w:sz w:val="21"/>
                <w:szCs w:val="21"/>
              </w:rPr>
            </w:pPr>
            <w:r>
              <w:rPr>
                <w:rFonts w:ascii="宋体" w:hAnsi="宋体" w:cs="宋体" w:eastAsia="宋体" w:hint="default"/>
                <w:sz w:val="21"/>
                <w:szCs w:val="21"/>
              </w:rPr>
              <w:t>报告期末实</w:t>
            </w:r>
            <w:r>
              <w:rPr>
                <w:rFonts w:ascii="宋体" w:hAnsi="宋体" w:cs="宋体" w:eastAsia="宋体" w:hint="default"/>
                <w:w w:val="100"/>
                <w:sz w:val="21"/>
                <w:szCs w:val="21"/>
              </w:rPr>
              <w:t> </w:t>
            </w:r>
            <w:r>
              <w:rPr>
                <w:rFonts w:ascii="宋体" w:hAnsi="宋体" w:cs="宋体" w:eastAsia="宋体" w:hint="default"/>
                <w:sz w:val="21"/>
                <w:szCs w:val="21"/>
              </w:rPr>
              <w:t>际所得报酬</w:t>
            </w:r>
          </w:p>
          <w:p>
            <w:pPr>
              <w:pStyle w:val="TableParagraph"/>
              <w:spacing w:line="240" w:lineRule="auto" w:before="7"/>
              <w:ind w:left="4"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32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钟耳顺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485,189.26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485,189.26</w:t>
            </w:r>
          </w:p>
        </w:tc>
      </w:tr>
      <w:tr>
        <w:trPr>
          <w:trHeight w:val="322" w:hRule="exact"/>
        </w:trPr>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48"/>
              <w:ind w:left="278" w:right="0"/>
              <w:jc w:val="left"/>
              <w:rPr>
                <w:rFonts w:ascii="宋体" w:hAnsi="宋体" w:cs="宋体" w:eastAsia="宋体" w:hint="default"/>
                <w:sz w:val="21"/>
                <w:szCs w:val="21"/>
              </w:rPr>
            </w:pPr>
            <w:r>
              <w:rPr>
                <w:rFonts w:ascii="宋体" w:hAnsi="宋体" w:cs="宋体" w:eastAsia="宋体" w:hint="default"/>
                <w:sz w:val="21"/>
                <w:szCs w:val="21"/>
              </w:rPr>
              <w:t>宋关福</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48"/>
              <w:ind w:left="38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365,562.66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365,562.66</w:t>
            </w:r>
          </w:p>
        </w:tc>
      </w:tr>
      <w:tr>
        <w:trPr>
          <w:trHeight w:val="322" w:hRule="exact"/>
        </w:trPr>
        <w:tc>
          <w:tcPr>
            <w:tcW w:w="1196" w:type="dxa"/>
            <w:vMerge/>
            <w:tcBorders>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总经理</w:t>
            </w: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32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 w:right="0"/>
              <w:jc w:val="center"/>
              <w:rPr>
                <w:rFonts w:ascii="宋体" w:hAnsi="宋体" w:cs="宋体" w:eastAsia="宋体" w:hint="default"/>
                <w:sz w:val="21"/>
                <w:szCs w:val="21"/>
              </w:rPr>
            </w:pPr>
            <w:r>
              <w:rPr>
                <w:rFonts w:ascii="宋体" w:hAnsi="宋体" w:cs="宋体" w:eastAsia="宋体" w:hint="default"/>
                <w:sz w:val="21"/>
                <w:szCs w:val="21"/>
              </w:rPr>
              <w:t>高星</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321,216.75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r>
      <w:tr>
        <w:trPr>
          <w:trHeight w:val="32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徐立新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0.00</w:t>
            </w:r>
          </w:p>
        </w:tc>
      </w:tr>
      <w:tr>
        <w:trPr>
          <w:trHeight w:val="322" w:hRule="exact"/>
        </w:trPr>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48"/>
              <w:ind w:left="278" w:right="0"/>
              <w:jc w:val="left"/>
              <w:rPr>
                <w:rFonts w:ascii="宋体" w:hAnsi="宋体" w:cs="宋体" w:eastAsia="宋体" w:hint="default"/>
                <w:sz w:val="21"/>
                <w:szCs w:val="21"/>
              </w:rPr>
            </w:pPr>
            <w:r>
              <w:rPr>
                <w:rFonts w:ascii="宋体" w:hAnsi="宋体" w:cs="宋体" w:eastAsia="宋体" w:hint="default"/>
                <w:sz w:val="21"/>
                <w:szCs w:val="21"/>
              </w:rPr>
              <w:t>王尔琪</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48"/>
              <w:ind w:left="38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266,936.04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266,936.04</w:t>
            </w:r>
          </w:p>
        </w:tc>
      </w:tr>
      <w:tr>
        <w:trPr>
          <w:trHeight w:val="322" w:hRule="exact"/>
        </w:trPr>
        <w:tc>
          <w:tcPr>
            <w:tcW w:w="1196" w:type="dxa"/>
            <w:vMerge/>
            <w:tcBorders>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322" w:hRule="exact"/>
        </w:trPr>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48"/>
              <w:ind w:left="278" w:right="0"/>
              <w:jc w:val="left"/>
              <w:rPr>
                <w:rFonts w:ascii="宋体" w:hAnsi="宋体" w:cs="宋体" w:eastAsia="宋体" w:hint="default"/>
                <w:sz w:val="21"/>
                <w:szCs w:val="21"/>
              </w:rPr>
            </w:pPr>
            <w:r>
              <w:rPr>
                <w:rFonts w:ascii="宋体" w:hAnsi="宋体" w:cs="宋体" w:eastAsia="宋体" w:hint="default"/>
                <w:sz w:val="21"/>
                <w:szCs w:val="21"/>
              </w:rPr>
              <w:t>王康弘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48"/>
              <w:ind w:left="38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244,338.46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244,338.46</w:t>
            </w:r>
          </w:p>
        </w:tc>
      </w:tr>
      <w:tr>
        <w:trPr>
          <w:trHeight w:val="322" w:hRule="exact"/>
        </w:trPr>
        <w:tc>
          <w:tcPr>
            <w:tcW w:w="1196" w:type="dxa"/>
            <w:vMerge/>
            <w:tcBorders>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32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王浩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71,400.00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71,400.00</w:t>
            </w:r>
          </w:p>
        </w:tc>
      </w:tr>
      <w:tr>
        <w:trPr>
          <w:trHeight w:val="32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5" w:right="0"/>
              <w:jc w:val="center"/>
              <w:rPr>
                <w:rFonts w:ascii="宋体" w:hAnsi="宋体" w:cs="宋体" w:eastAsia="宋体" w:hint="default"/>
                <w:sz w:val="21"/>
                <w:szCs w:val="21"/>
              </w:rPr>
            </w:pPr>
            <w:r>
              <w:rPr>
                <w:rFonts w:ascii="宋体" w:hAnsi="宋体" w:cs="宋体" w:eastAsia="宋体" w:hint="default"/>
                <w:sz w:val="21"/>
                <w:szCs w:val="21"/>
              </w:rPr>
              <w:t>董云庭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0"/>
              <w:jc w:val="center"/>
              <w:rPr>
                <w:rFonts w:ascii="Times New Roman" w:hAnsi="Times New Roman" w:cs="Times New Roman" w:eastAsia="Times New Roman" w:hint="default"/>
                <w:sz w:val="21"/>
                <w:szCs w:val="21"/>
              </w:rPr>
            </w:pPr>
            <w:r>
              <w:rPr>
                <w:rFonts w:ascii="Times New Roman"/>
                <w:sz w:val="21"/>
              </w:rPr>
              <w:t>71,400.00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4" w:right="0"/>
              <w:jc w:val="center"/>
              <w:rPr>
                <w:rFonts w:ascii="Times New Roman" w:hAnsi="Times New Roman" w:cs="Times New Roman" w:eastAsia="Times New Roman" w:hint="default"/>
                <w:sz w:val="21"/>
                <w:szCs w:val="21"/>
              </w:rPr>
            </w:pPr>
            <w:r>
              <w:rPr>
                <w:rFonts w:ascii="Times New Roman"/>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2" w:right="0"/>
              <w:jc w:val="center"/>
              <w:rPr>
                <w:rFonts w:ascii="Times New Roman" w:hAnsi="Times New Roman" w:cs="Times New Roman" w:eastAsia="Times New Roman" w:hint="default"/>
                <w:sz w:val="21"/>
                <w:szCs w:val="21"/>
              </w:rPr>
            </w:pPr>
            <w:r>
              <w:rPr>
                <w:rFonts w:ascii="Times New Roman"/>
                <w:sz w:val="21"/>
              </w:rPr>
              <w:t>71,400.00</w:t>
            </w:r>
          </w:p>
        </w:tc>
      </w:tr>
      <w:tr>
        <w:trPr>
          <w:trHeight w:val="32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谢德仁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71,400.00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71,400.00</w:t>
            </w:r>
          </w:p>
        </w:tc>
      </w:tr>
      <w:tr>
        <w:trPr>
          <w:trHeight w:val="32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曾志明</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230,285.09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230,285.09</w:t>
            </w:r>
          </w:p>
        </w:tc>
      </w:tr>
      <w:tr>
        <w:trPr>
          <w:trHeight w:val="32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5" w:right="0"/>
              <w:jc w:val="center"/>
              <w:rPr>
                <w:rFonts w:ascii="宋体" w:hAnsi="宋体" w:cs="宋体" w:eastAsia="宋体" w:hint="default"/>
                <w:sz w:val="21"/>
                <w:szCs w:val="21"/>
              </w:rPr>
            </w:pPr>
            <w:r>
              <w:rPr>
                <w:rFonts w:ascii="宋体" w:hAnsi="宋体" w:cs="宋体" w:eastAsia="宋体" w:hint="default"/>
                <w:sz w:val="21"/>
                <w:szCs w:val="21"/>
              </w:rPr>
              <w:t>杨雪斌</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173,121.02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Times New Roman" w:hAnsi="Times New Roman" w:cs="Times New Roman" w:eastAsia="Times New Roman" w:hint="default"/>
                <w:sz w:val="21"/>
                <w:szCs w:val="21"/>
              </w:rPr>
            </w:pPr>
            <w:r>
              <w:rPr>
                <w:rFonts w:ascii="Times New Roman"/>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173,121.02</w:t>
            </w:r>
          </w:p>
        </w:tc>
      </w:tr>
      <w:tr>
        <w:trPr>
          <w:trHeight w:val="32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刘英利</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71,779.43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71,779.43</w:t>
            </w:r>
          </w:p>
        </w:tc>
      </w:tr>
      <w:tr>
        <w:trPr>
          <w:trHeight w:val="322" w:hRule="exact"/>
        </w:trPr>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48"/>
              <w:ind w:left="278" w:right="0"/>
              <w:jc w:val="left"/>
              <w:rPr>
                <w:rFonts w:ascii="宋体" w:hAnsi="宋体" w:cs="宋体" w:eastAsia="宋体" w:hint="default"/>
                <w:sz w:val="21"/>
                <w:szCs w:val="21"/>
              </w:rPr>
            </w:pPr>
            <w:r>
              <w:rPr>
                <w:rFonts w:ascii="宋体" w:hAnsi="宋体" w:cs="宋体" w:eastAsia="宋体" w:hint="default"/>
                <w:sz w:val="21"/>
                <w:szCs w:val="21"/>
              </w:rPr>
              <w:t>龚娅杰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48"/>
              <w:ind w:right="1"/>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48"/>
              <w:ind w:left="383"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11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213,236.96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Times New Roman" w:hAnsi="Times New Roman" w:cs="Times New Roman" w:eastAsia="Times New Roman" w:hint="default"/>
                <w:sz w:val="21"/>
                <w:szCs w:val="21"/>
              </w:rPr>
            </w:pPr>
            <w:r>
              <w:rPr>
                <w:rFonts w:ascii="Times New Roman"/>
                <w:sz w:val="21"/>
              </w:rPr>
              <w:t>213,236.96</w:t>
            </w:r>
          </w:p>
        </w:tc>
      </w:tr>
      <w:tr>
        <w:trPr>
          <w:trHeight w:val="324" w:hRule="exact"/>
        </w:trPr>
        <w:tc>
          <w:tcPr>
            <w:tcW w:w="1196" w:type="dxa"/>
            <w:vMerge/>
            <w:tcBorders>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1198"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8"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32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杜庆娥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490,777.95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490,777.95</w:t>
            </w:r>
          </w:p>
        </w:tc>
      </w:tr>
      <w:tr>
        <w:trPr>
          <w:trHeight w:val="32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王继晖</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240,621.96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240,621.96</w:t>
            </w:r>
          </w:p>
        </w:tc>
      </w:tr>
      <w:tr>
        <w:trPr>
          <w:trHeight w:val="32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梁军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270,936.04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270,936.04</w:t>
            </w:r>
          </w:p>
        </w:tc>
      </w:tr>
      <w:tr>
        <w:trPr>
          <w:trHeight w:val="32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鹿麒</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w w:val="100"/>
                <w:sz w:val="21"/>
                <w:szCs w:val="21"/>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202,335.30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202,335.30</w:t>
            </w:r>
          </w:p>
        </w:tc>
      </w:tr>
      <w:tr>
        <w:trPr>
          <w:trHeight w:val="32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 w:right="0"/>
              <w:jc w:val="center"/>
              <w:rPr>
                <w:rFonts w:ascii="Times New Roman" w:hAnsi="Times New Roman" w:cs="Times New Roman" w:eastAsia="Times New Roman" w:hint="default"/>
                <w:sz w:val="21"/>
                <w:szCs w:val="21"/>
              </w:rPr>
            </w:pPr>
            <w:r>
              <w:rPr>
                <w:rFonts w:ascii="Times New Roman"/>
                <w:sz w:val="21"/>
              </w:rPr>
              <w:t>3,469,320.17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sz w:val="21"/>
              </w:rPr>
              <w:t>3,469,320.17</w:t>
            </w:r>
          </w:p>
        </w:tc>
      </w:tr>
    </w:tbl>
    <w:p>
      <w:pPr>
        <w:spacing w:line="240" w:lineRule="auto" w:before="11"/>
        <w:rPr>
          <w:rFonts w:ascii="宋体" w:hAnsi="宋体" w:cs="宋体" w:eastAsia="宋体" w:hint="default"/>
          <w:sz w:val="18"/>
          <w:szCs w:val="18"/>
        </w:rPr>
      </w:pPr>
    </w:p>
    <w:p>
      <w:pPr>
        <w:pStyle w:val="BodyText"/>
        <w:spacing w:line="313" w:lineRule="exact" w:before="26"/>
        <w:ind w:left="152" w:right="0"/>
        <w:jc w:val="left"/>
      </w:pPr>
      <w:r>
        <w:rPr/>
        <w:t>公司董事、监事、高级管理人员报告期内被授予的股权激励情况</w:t>
      </w:r>
    </w:p>
    <w:p>
      <w:pPr>
        <w:pStyle w:val="BodyText"/>
        <w:tabs>
          <w:tab w:pos="1125" w:val="left" w:leader="none"/>
        </w:tabs>
        <w:spacing w:line="331" w:lineRule="exact"/>
        <w:ind w:left="152" w:right="0"/>
        <w:jc w:val="left"/>
      </w:pPr>
      <w:r>
        <w:rPr>
          <w:rFonts w:ascii="Times New Roman" w:hAnsi="Times New Roman" w:cs="Times New Roman" w:eastAsia="Times New Roman" w:hint="default"/>
        </w:rPr>
        <w:t>√  </w:t>
      </w:r>
      <w:r>
        <w:rPr/>
        <w:t>适用</w:t>
        <w:tab/>
      </w:r>
      <w:r>
        <w:rPr>
          <w:rFonts w:ascii="Times New Roman" w:hAnsi="Times New Roman" w:cs="Times New Roman" w:eastAsia="Times New Roman" w:hint="default"/>
        </w:rPr>
        <w:t>□</w:t>
      </w:r>
      <w:r>
        <w:rPr/>
        <w:t>不适用</w:t>
      </w:r>
    </w:p>
    <w:p>
      <w:pPr>
        <w:spacing w:after="0" w:line="331" w:lineRule="exact"/>
        <w:jc w:val="left"/>
        <w:sectPr>
          <w:pgSz w:w="11910" w:h="16840"/>
          <w:pgMar w:header="0" w:footer="1007" w:top="1100" w:bottom="1200" w:left="980" w:right="980"/>
        </w:sectPr>
      </w:pPr>
    </w:p>
    <w:p>
      <w:pPr>
        <w:spacing w:line="240" w:lineRule="auto" w:before="8"/>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59"/>
        <w:gridCol w:w="955"/>
        <w:gridCol w:w="958"/>
        <w:gridCol w:w="955"/>
        <w:gridCol w:w="958"/>
        <w:gridCol w:w="958"/>
        <w:gridCol w:w="955"/>
        <w:gridCol w:w="959"/>
        <w:gridCol w:w="957"/>
        <w:gridCol w:w="958"/>
      </w:tblGrid>
      <w:tr>
        <w:trPr>
          <w:trHeight w:val="1258"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6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52" w:right="51"/>
              <w:jc w:val="center"/>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可行权股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52" w:right="48"/>
              <w:jc w:val="center"/>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已行权股</w:t>
            </w:r>
            <w:r>
              <w:rPr>
                <w:rFonts w:ascii="宋体" w:hAnsi="宋体" w:cs="宋体" w:eastAsia="宋体" w:hint="default"/>
                <w:w w:val="100"/>
                <w:sz w:val="21"/>
                <w:szCs w:val="21"/>
              </w:rPr>
              <w:t> </w:t>
            </w:r>
            <w:r>
              <w:rPr>
                <w:rFonts w:ascii="宋体" w:hAnsi="宋体" w:cs="宋体" w:eastAsia="宋体" w:hint="default"/>
                <w:sz w:val="21"/>
                <w:szCs w:val="21"/>
              </w:rPr>
              <w:t>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50" w:firstLine="28"/>
              <w:jc w:val="both"/>
              <w:rPr>
                <w:rFonts w:ascii="宋体" w:hAnsi="宋体" w:cs="宋体" w:eastAsia="宋体" w:hint="default"/>
                <w:sz w:val="21"/>
                <w:szCs w:val="21"/>
              </w:rPr>
            </w:pPr>
            <w:r>
              <w:rPr>
                <w:rFonts w:ascii="宋体" w:hAnsi="宋体" w:cs="宋体" w:eastAsia="宋体" w:hint="default"/>
                <w:sz w:val="21"/>
                <w:szCs w:val="21"/>
              </w:rPr>
              <w:t>报告期内</w:t>
            </w:r>
            <w:r>
              <w:rPr>
                <w:rFonts w:ascii="宋体" w:hAnsi="宋体" w:cs="宋体" w:eastAsia="宋体" w:hint="default"/>
                <w:w w:val="100"/>
                <w:sz w:val="21"/>
                <w:szCs w:val="21"/>
              </w:rPr>
              <w:t> </w:t>
            </w:r>
            <w:r>
              <w:rPr>
                <w:rFonts w:ascii="宋体" w:hAnsi="宋体" w:cs="宋体" w:eastAsia="宋体" w:hint="default"/>
                <w:sz w:val="21"/>
                <w:szCs w:val="21"/>
              </w:rPr>
              <w:t>已行权股</w:t>
            </w:r>
            <w:r>
              <w:rPr>
                <w:rFonts w:ascii="宋体" w:hAnsi="宋体" w:cs="宋体" w:eastAsia="宋体" w:hint="default"/>
                <w:w w:val="100"/>
                <w:sz w:val="21"/>
                <w:szCs w:val="21"/>
              </w:rPr>
              <w:t> </w:t>
            </w:r>
            <w:r>
              <w:rPr>
                <w:rFonts w:ascii="宋体" w:hAnsi="宋体" w:cs="宋体" w:eastAsia="宋体" w:hint="default"/>
                <w:sz w:val="21"/>
                <w:szCs w:val="21"/>
              </w:rPr>
              <w:t>数行权价</w:t>
            </w:r>
            <w:r>
              <w:rPr>
                <w:rFonts w:ascii="宋体" w:hAnsi="宋体" w:cs="宋体" w:eastAsia="宋体" w:hint="default"/>
                <w:w w:val="100"/>
                <w:sz w:val="21"/>
                <w:szCs w:val="21"/>
              </w:rPr>
              <w:t> </w:t>
            </w:r>
            <w:r>
              <w:rPr>
                <w:rFonts w:ascii="宋体" w:hAnsi="宋体" w:cs="宋体" w:eastAsia="宋体" w:hint="default"/>
                <w:spacing w:val="-22"/>
                <w:w w:val="100"/>
                <w:sz w:val="21"/>
                <w:szCs w:val="21"/>
              </w:rPr>
              <w:t>格（元</w:t>
            </w:r>
            <w:r>
              <w:rPr>
                <w:rFonts w:ascii="Times New Roman" w:hAnsi="Times New Roman" w:cs="Times New Roman" w:eastAsia="Times New Roman" w:hint="default"/>
                <w:spacing w:val="-22"/>
                <w:w w:val="100"/>
                <w:sz w:val="21"/>
                <w:szCs w:val="21"/>
              </w:rPr>
              <w:t>/</w:t>
            </w:r>
            <w:r>
              <w:rPr>
                <w:rFonts w:ascii="宋体" w:hAnsi="宋体" w:cs="宋体" w:eastAsia="宋体" w:hint="default"/>
                <w:spacing w:val="-22"/>
                <w:w w:val="100"/>
                <w:sz w:val="21"/>
                <w:szCs w:val="21"/>
              </w:rPr>
              <w:t>股</w:t>
            </w:r>
            <w:r>
              <w:rPr>
                <w:rFonts w:ascii="宋体" w:hAnsi="宋体" w:cs="宋体" w:eastAsia="宋体" w:hint="default"/>
                <w:w w:val="100"/>
                <w:sz w:val="21"/>
                <w:szCs w:val="21"/>
              </w:rPr>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auto" w:before="144"/>
              <w:ind w:left="23" w:right="20" w:hanging="2"/>
              <w:jc w:val="center"/>
              <w:rPr>
                <w:rFonts w:ascii="宋体" w:hAnsi="宋体" w:cs="宋体" w:eastAsia="宋体" w:hint="default"/>
                <w:sz w:val="21"/>
                <w:szCs w:val="21"/>
              </w:rPr>
            </w:pPr>
            <w:r>
              <w:rPr>
                <w:rFonts w:ascii="宋体" w:hAnsi="宋体" w:cs="宋体" w:eastAsia="宋体" w:hint="default"/>
                <w:sz w:val="21"/>
                <w:szCs w:val="21"/>
              </w:rPr>
              <w:t>报告期末</w:t>
            </w:r>
            <w:r>
              <w:rPr>
                <w:rFonts w:ascii="宋体" w:hAnsi="宋体" w:cs="宋体" w:eastAsia="宋体" w:hint="default"/>
                <w:w w:val="100"/>
                <w:sz w:val="21"/>
                <w:szCs w:val="21"/>
              </w:rPr>
              <w:t> </w:t>
            </w:r>
            <w:r>
              <w:rPr>
                <w:rFonts w:ascii="宋体" w:hAnsi="宋体" w:cs="宋体" w:eastAsia="宋体" w:hint="default"/>
                <w:sz w:val="21"/>
                <w:szCs w:val="21"/>
              </w:rPr>
              <w:t>市价（元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52" w:right="48"/>
              <w:jc w:val="both"/>
              <w:rPr>
                <w:rFonts w:ascii="宋体" w:hAnsi="宋体" w:cs="宋体" w:eastAsia="宋体" w:hint="default"/>
                <w:sz w:val="21"/>
                <w:szCs w:val="21"/>
              </w:rPr>
            </w:pPr>
            <w:r>
              <w:rPr>
                <w:rFonts w:ascii="宋体" w:hAnsi="宋体" w:cs="宋体" w:eastAsia="宋体" w:hint="default"/>
                <w:sz w:val="21"/>
                <w:szCs w:val="21"/>
              </w:rPr>
              <w:t>期初持有</w:t>
            </w:r>
            <w:r>
              <w:rPr>
                <w:rFonts w:ascii="宋体" w:hAnsi="宋体" w:cs="宋体" w:eastAsia="宋体" w:hint="default"/>
                <w:w w:val="100"/>
                <w:sz w:val="21"/>
                <w:szCs w:val="21"/>
              </w:rPr>
              <w:t> </w:t>
            </w:r>
            <w:r>
              <w:rPr>
                <w:rFonts w:ascii="宋体" w:hAnsi="宋体" w:cs="宋体" w:eastAsia="宋体" w:hint="default"/>
                <w:sz w:val="21"/>
                <w:szCs w:val="21"/>
              </w:rPr>
              <w:t>限制性股</w:t>
            </w:r>
            <w:r>
              <w:rPr>
                <w:rFonts w:ascii="宋体" w:hAnsi="宋体" w:cs="宋体" w:eastAsia="宋体" w:hint="default"/>
                <w:w w:val="100"/>
                <w:sz w:val="21"/>
                <w:szCs w:val="21"/>
              </w:rPr>
              <w:t> </w:t>
            </w:r>
            <w:r>
              <w:rPr>
                <w:rFonts w:ascii="宋体" w:hAnsi="宋体" w:cs="宋体" w:eastAsia="宋体" w:hint="default"/>
                <w:sz w:val="21"/>
                <w:szCs w:val="21"/>
              </w:rPr>
              <w:t>票数量</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2" w:right="51"/>
              <w:jc w:val="center"/>
              <w:rPr>
                <w:rFonts w:ascii="宋体" w:hAnsi="宋体" w:cs="宋体" w:eastAsia="宋体" w:hint="default"/>
                <w:sz w:val="21"/>
                <w:szCs w:val="21"/>
              </w:rPr>
            </w:pPr>
            <w:r>
              <w:rPr>
                <w:rFonts w:ascii="宋体" w:hAnsi="宋体" w:cs="宋体" w:eastAsia="宋体" w:hint="default"/>
                <w:sz w:val="21"/>
                <w:szCs w:val="21"/>
              </w:rPr>
              <w:t>报告期新</w:t>
            </w:r>
            <w:r>
              <w:rPr>
                <w:rFonts w:ascii="宋体" w:hAnsi="宋体" w:cs="宋体" w:eastAsia="宋体" w:hint="default"/>
                <w:w w:val="100"/>
                <w:sz w:val="21"/>
                <w:szCs w:val="21"/>
              </w:rPr>
              <w:t> </w:t>
            </w:r>
            <w:r>
              <w:rPr>
                <w:rFonts w:ascii="宋体" w:hAnsi="宋体" w:cs="宋体" w:eastAsia="宋体" w:hint="default"/>
                <w:sz w:val="21"/>
                <w:szCs w:val="21"/>
              </w:rPr>
              <w:t>授予限制</w:t>
            </w:r>
            <w:r>
              <w:rPr>
                <w:rFonts w:ascii="宋体" w:hAnsi="宋体" w:cs="宋体" w:eastAsia="宋体" w:hint="default"/>
                <w:w w:val="100"/>
                <w:sz w:val="21"/>
                <w:szCs w:val="21"/>
              </w:rPr>
              <w:t> </w:t>
            </w:r>
            <w:r>
              <w:rPr>
                <w:rFonts w:ascii="宋体" w:hAnsi="宋体" w:cs="宋体" w:eastAsia="宋体" w:hint="default"/>
                <w:sz w:val="21"/>
                <w:szCs w:val="21"/>
              </w:rPr>
              <w:t>性股票数</w:t>
            </w:r>
            <w:r>
              <w:rPr>
                <w:rFonts w:ascii="宋体" w:hAnsi="宋体" w:cs="宋体" w:eastAsia="宋体" w:hint="default"/>
                <w:w w:val="100"/>
                <w:sz w:val="21"/>
                <w:szCs w:val="21"/>
              </w:rPr>
              <w:t> </w:t>
            </w:r>
            <w:r>
              <w:rPr>
                <w:rFonts w:ascii="宋体" w:hAnsi="宋体" w:cs="宋体" w:eastAsia="宋体" w:hint="default"/>
                <w:sz w:val="21"/>
                <w:szCs w:val="21"/>
              </w:rPr>
              <w:t>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auto"/>
              <w:ind w:left="22" w:right="20" w:hanging="2"/>
              <w:jc w:val="center"/>
              <w:rPr>
                <w:rFonts w:ascii="宋体" w:hAnsi="宋体" w:cs="宋体" w:eastAsia="宋体" w:hint="default"/>
                <w:sz w:val="21"/>
                <w:szCs w:val="21"/>
              </w:rPr>
            </w:pPr>
            <w:r>
              <w:rPr>
                <w:rFonts w:ascii="宋体" w:hAnsi="宋体" w:cs="宋体" w:eastAsia="宋体" w:hint="default"/>
                <w:sz w:val="21"/>
                <w:szCs w:val="21"/>
              </w:rPr>
              <w:t>限制性股</w:t>
            </w:r>
            <w:r>
              <w:rPr>
                <w:rFonts w:ascii="宋体" w:hAnsi="宋体" w:cs="宋体" w:eastAsia="宋体" w:hint="default"/>
                <w:w w:val="100"/>
                <w:sz w:val="21"/>
                <w:szCs w:val="21"/>
              </w:rPr>
              <w:t> </w:t>
            </w:r>
            <w:r>
              <w:rPr>
                <w:rFonts w:ascii="宋体" w:hAnsi="宋体" w:cs="宋体" w:eastAsia="宋体" w:hint="default"/>
                <w:sz w:val="21"/>
                <w:szCs w:val="21"/>
              </w:rPr>
              <w:t>票的授予</w:t>
            </w:r>
            <w:r>
              <w:rPr>
                <w:rFonts w:ascii="宋体" w:hAnsi="宋体" w:cs="宋体" w:eastAsia="宋体" w:hint="default"/>
                <w:w w:val="100"/>
                <w:sz w:val="21"/>
                <w:szCs w:val="21"/>
              </w:rPr>
              <w:t> </w:t>
            </w:r>
            <w:r>
              <w:rPr>
                <w:rFonts w:ascii="宋体" w:hAnsi="宋体" w:cs="宋体" w:eastAsia="宋体" w:hint="default"/>
                <w:sz w:val="21"/>
                <w:szCs w:val="21"/>
              </w:rPr>
              <w:t>价格（元</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52" w:right="50"/>
              <w:jc w:val="both"/>
              <w:rPr>
                <w:rFonts w:ascii="宋体" w:hAnsi="宋体" w:cs="宋体" w:eastAsia="宋体" w:hint="default"/>
                <w:sz w:val="21"/>
                <w:szCs w:val="21"/>
              </w:rPr>
            </w:pPr>
            <w:r>
              <w:rPr>
                <w:rFonts w:ascii="宋体" w:hAnsi="宋体" w:cs="宋体" w:eastAsia="宋体" w:hint="default"/>
                <w:sz w:val="21"/>
                <w:szCs w:val="21"/>
              </w:rPr>
              <w:t>期末持有</w:t>
            </w:r>
            <w:r>
              <w:rPr>
                <w:rFonts w:ascii="宋体" w:hAnsi="宋体" w:cs="宋体" w:eastAsia="宋体" w:hint="default"/>
                <w:w w:val="100"/>
                <w:sz w:val="21"/>
                <w:szCs w:val="21"/>
              </w:rPr>
              <w:t> </w:t>
            </w:r>
            <w:r>
              <w:rPr>
                <w:rFonts w:ascii="宋体" w:hAnsi="宋体" w:cs="宋体" w:eastAsia="宋体" w:hint="default"/>
                <w:sz w:val="21"/>
                <w:szCs w:val="21"/>
              </w:rPr>
              <w:t>限制性股</w:t>
            </w:r>
            <w:r>
              <w:rPr>
                <w:rFonts w:ascii="宋体" w:hAnsi="宋体" w:cs="宋体" w:eastAsia="宋体" w:hint="default"/>
                <w:w w:val="100"/>
                <w:sz w:val="21"/>
                <w:szCs w:val="21"/>
              </w:rPr>
              <w:t> </w:t>
            </w:r>
            <w:r>
              <w:rPr>
                <w:rFonts w:ascii="宋体" w:hAnsi="宋体" w:cs="宋体" w:eastAsia="宋体" w:hint="default"/>
                <w:sz w:val="21"/>
                <w:szCs w:val="21"/>
              </w:rPr>
              <w:t>票数量</w:t>
            </w:r>
          </w:p>
        </w:tc>
      </w:tr>
      <w:tr>
        <w:trPr>
          <w:trHeight w:val="322" w:hRule="exact"/>
        </w:trPr>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鹿麒</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53"/>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96,000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4"/>
              <w:jc w:val="right"/>
              <w:rPr>
                <w:rFonts w:ascii="Times New Roman" w:hAnsi="Times New Roman" w:cs="Times New Roman" w:eastAsia="Times New Roman" w:hint="default"/>
                <w:sz w:val="21"/>
                <w:szCs w:val="21"/>
              </w:rPr>
            </w:pPr>
            <w:r>
              <w:rPr>
                <w:rFonts w:ascii="Times New Roman"/>
                <w:w w:val="100"/>
                <w:sz w:val="21"/>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Times New Roman" w:hAnsi="Times New Roman" w:cs="Times New Roman" w:eastAsia="Times New Roman" w:hint="default"/>
                <w:sz w:val="21"/>
                <w:szCs w:val="21"/>
              </w:rPr>
            </w:pPr>
            <w:r>
              <w:rPr>
                <w:rFonts w:ascii="Times New Roman"/>
                <w:w w:val="100"/>
                <w:sz w:val="21"/>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r>
      <w:tr>
        <w:trPr>
          <w:trHeight w:val="324" w:hRule="exact"/>
        </w:trPr>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Times New Roman" w:hAnsi="Times New Roman" w:cs="Times New Roman" w:eastAsia="Times New Roman" w:hint="default"/>
                <w:sz w:val="21"/>
                <w:szCs w:val="21"/>
              </w:rPr>
            </w:pPr>
            <w:r>
              <w:rPr>
                <w:rFonts w:ascii="Times New Roman"/>
                <w:sz w:val="21"/>
              </w:rPr>
              <w:t>96,000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sz w:val="21"/>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Times New Roman" w:hAnsi="Times New Roman" w:cs="Times New Roman" w:eastAsia="Times New Roman" w:hint="default"/>
                <w:sz w:val="21"/>
                <w:szCs w:val="21"/>
              </w:rPr>
            </w:pPr>
            <w:r>
              <w:rPr>
                <w:rFonts w:ascii="Times New Roman"/>
                <w:w w:val="100"/>
                <w:sz w:val="21"/>
              </w:rPr>
              <w:t>0</w:t>
            </w:r>
          </w:p>
        </w:tc>
        <w:tc>
          <w:tcPr>
            <w:tcW w:w="95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34"/>
              <w:ind w:right="11"/>
              <w:jc w:val="right"/>
              <w:rPr>
                <w:rFonts w:ascii="Times New Roman" w:hAnsi="Times New Roman" w:cs="Times New Roman" w:eastAsia="Times New Roman" w:hint="default"/>
                <w:sz w:val="21"/>
                <w:szCs w:val="21"/>
              </w:rPr>
            </w:pPr>
            <w:r>
              <w:rPr>
                <w:rFonts w:ascii="Times New Roman"/>
                <w:w w:val="100"/>
                <w:sz w:val="21"/>
              </w:rPr>
              <w:t>0</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w:t>
            </w:r>
          </w:p>
        </w:tc>
        <w:tc>
          <w:tcPr>
            <w:tcW w:w="95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23"/>
              <w:jc w:val="right"/>
              <w:rPr>
                <w:rFonts w:ascii="Times New Roman" w:hAnsi="Times New Roman" w:cs="Times New Roman" w:eastAsia="Times New Roman" w:hint="default"/>
                <w:sz w:val="21"/>
                <w:szCs w:val="21"/>
              </w:rPr>
            </w:pPr>
            <w:r>
              <w:rPr>
                <w:rFonts w:ascii="Times New Roman"/>
                <w:w w:val="100"/>
                <w:sz w:val="21"/>
              </w:rPr>
              <w:t>0</w:t>
            </w:r>
          </w:p>
        </w:tc>
      </w:tr>
    </w:tbl>
    <w:p>
      <w:pPr>
        <w:spacing w:line="256" w:lineRule="auto" w:before="0"/>
        <w:ind w:left="152" w:right="148" w:firstLine="0"/>
        <w:jc w:val="both"/>
        <w:rPr>
          <w:rFonts w:ascii="宋体" w:hAnsi="宋体" w:cs="宋体" w:eastAsia="宋体" w:hint="default"/>
          <w:sz w:val="21"/>
          <w:szCs w:val="21"/>
        </w:rPr>
      </w:pPr>
      <w:r>
        <w:rPr/>
        <w:pict>
          <v:shape style="position:absolute;margin-left:289.369995pt;margin-top:-45.171333pt;width:54.3pt;height:13.05pt;mso-position-horizontal-relative:page;mso-position-vertical-relative:paragraph;z-index:-918088"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pacing w:val="-3"/>
                      <w:w w:val="100"/>
                      <w:sz w:val="21"/>
                      <w:szCs w:val="21"/>
                    </w:rPr>
                    <w:t>）</w:t>
                  </w:r>
                  <w:r>
                    <w:rPr>
                      <w:rFonts w:ascii="宋体" w:hAnsi="宋体" w:cs="宋体" w:eastAsia="宋体" w:hint="default"/>
                      <w:w w:val="100"/>
                      <w:sz w:val="21"/>
                      <w:szCs w:val="21"/>
                    </w:rPr>
                  </w:r>
                </w:p>
              </w:txbxContent>
            </v:textbox>
            <w10:wrap type="none"/>
          </v:shape>
        </w:pict>
      </w:r>
      <w:bookmarkStart w:name="_bookmark85" w:id="86"/>
      <w:bookmarkEnd w:id="86"/>
      <w:r>
        <w:rPr/>
      </w:r>
      <w:r>
        <w:rPr>
          <w:rFonts w:ascii="宋体" w:hAnsi="宋体" w:cs="宋体" w:eastAsia="宋体" w:hint="default"/>
          <w:spacing w:val="-5"/>
          <w:sz w:val="21"/>
          <w:szCs w:val="21"/>
        </w:rPr>
        <w:t>注：</w:t>
      </w:r>
      <w:r>
        <w:rPr>
          <w:rFonts w:ascii="Times New Roman" w:hAnsi="Times New Roman" w:cs="Times New Roman" w:eastAsia="Times New Roman" w:hint="default"/>
          <w:spacing w:val="-5"/>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2"/>
          <w:sz w:val="21"/>
          <w:szCs w:val="21"/>
        </w:rPr>
        <w:t> </w:t>
      </w:r>
      <w:r>
        <w:rPr>
          <w:rFonts w:ascii="宋体" w:hAnsi="宋体" w:cs="宋体" w:eastAsia="宋体" w:hint="default"/>
          <w:spacing w:val="-4"/>
          <w:sz w:val="21"/>
          <w:szCs w:val="21"/>
        </w:rPr>
        <w:t>日，公司召开第二届第十二次董事会，审议通过了《关于终止实施</w:t>
      </w:r>
      <w:r>
        <w:rPr>
          <w:rFonts w:ascii="Times New Roman" w:hAnsi="Times New Roman" w:cs="Times New Roman" w:eastAsia="Times New Roman" w:hint="default"/>
          <w:spacing w:val="-4"/>
          <w:sz w:val="21"/>
          <w:szCs w:val="21"/>
        </w:rPr>
        <w:t>&lt;</w:t>
      </w:r>
      <w:r>
        <w:rPr>
          <w:rFonts w:ascii="宋体" w:hAnsi="宋体" w:cs="宋体" w:eastAsia="宋体" w:hint="default"/>
          <w:spacing w:val="-4"/>
          <w:sz w:val="21"/>
          <w:szCs w:val="21"/>
        </w:rPr>
        <w:t>北京超图软件股份</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2"/>
          <w:sz w:val="21"/>
          <w:szCs w:val="21"/>
        </w:rPr>
        <w:t>有限公司股票期权激励计划</w:t>
      </w:r>
      <w:r>
        <w:rPr>
          <w:rFonts w:ascii="Times New Roman" w:hAnsi="Times New Roman" w:cs="Times New Roman" w:eastAsia="Times New Roman" w:hint="default"/>
          <w:spacing w:val="-2"/>
          <w:sz w:val="21"/>
          <w:szCs w:val="21"/>
        </w:rPr>
        <w:t>&gt;</w:t>
      </w:r>
      <w:r>
        <w:rPr>
          <w:rFonts w:ascii="宋体" w:hAnsi="宋体" w:cs="宋体" w:eastAsia="宋体" w:hint="default"/>
          <w:spacing w:val="-2"/>
          <w:sz w:val="21"/>
          <w:szCs w:val="21"/>
        </w:rPr>
        <w:t>的议案》，决定终止正在实施的股票期权激励计划，因此财务总监鹿麒期初</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持有的股票期权亦被终止。</w:t>
      </w:r>
    </w:p>
    <w:p>
      <w:pPr>
        <w:spacing w:line="240" w:lineRule="auto" w:before="9"/>
        <w:rPr>
          <w:rFonts w:ascii="宋体" w:hAnsi="宋体" w:cs="宋体" w:eastAsia="宋体" w:hint="default"/>
          <w:sz w:val="22"/>
          <w:szCs w:val="22"/>
        </w:rPr>
      </w:pPr>
    </w:p>
    <w:p>
      <w:pPr>
        <w:spacing w:line="468" w:lineRule="auto" w:before="0"/>
        <w:ind w:left="152" w:right="859" w:firstLine="0"/>
        <w:jc w:val="left"/>
        <w:rPr>
          <w:rFonts w:ascii="宋体" w:hAnsi="宋体" w:cs="宋体" w:eastAsia="宋体" w:hint="default"/>
          <w:sz w:val="24"/>
          <w:szCs w:val="24"/>
        </w:rPr>
      </w:pPr>
      <w:r>
        <w:rPr>
          <w:rFonts w:ascii="宋体" w:hAnsi="宋体" w:cs="宋体" w:eastAsia="宋体" w:hint="default"/>
          <w:b/>
          <w:bCs/>
          <w:sz w:val="24"/>
          <w:szCs w:val="24"/>
        </w:rPr>
        <w:t>四、公司董事、监事、高级管理人员变动情况</w:t>
      </w:r>
      <w:r>
        <w:rPr>
          <w:rFonts w:ascii="宋体" w:hAnsi="宋体" w:cs="宋体" w:eastAsia="宋体" w:hint="default"/>
          <w:b/>
          <w:bCs/>
          <w:w w:val="99"/>
          <w:sz w:val="24"/>
          <w:szCs w:val="24"/>
        </w:rPr>
        <w:t> </w:t>
      </w:r>
      <w:r>
        <w:rPr>
          <w:rFonts w:ascii="宋体" w:hAnsi="宋体" w:cs="宋体" w:eastAsia="宋体" w:hint="default"/>
          <w:sz w:val="24"/>
          <w:szCs w:val="24"/>
        </w:rPr>
        <w:t>报告期内，公司董事、监事、高级管理人员未发生变动。 </w:t>
      </w:r>
      <w:bookmarkStart w:name="_bookmark86" w:id="87"/>
      <w:bookmarkEnd w:id="87"/>
      <w:r>
        <w:rPr>
          <w:rFonts w:ascii="宋体" w:hAnsi="宋体" w:cs="宋体" w:eastAsia="宋体" w:hint="default"/>
          <w:sz w:val="24"/>
          <w:szCs w:val="24"/>
        </w:rPr>
      </w: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b/>
          <w:bCs/>
          <w:w w:val="99"/>
          <w:sz w:val="24"/>
          <w:szCs w:val="24"/>
        </w:rPr>
        <w:t> </w:t>
      </w:r>
      <w:r>
        <w:rPr>
          <w:rFonts w:ascii="宋体" w:hAnsi="宋体" w:cs="宋体" w:eastAsia="宋体" w:hint="default"/>
          <w:sz w:val="24"/>
          <w:szCs w:val="24"/>
        </w:rPr>
        <w:t>报告期，公司核心技术团队或关键技术人员未发生变动。</w:t>
      </w:r>
    </w:p>
    <w:p>
      <w:pPr>
        <w:spacing w:line="465" w:lineRule="auto" w:before="72"/>
        <w:ind w:left="633" w:right="2453" w:hanging="481"/>
        <w:jc w:val="left"/>
        <w:rPr>
          <w:rFonts w:ascii="宋体" w:hAnsi="宋体" w:cs="宋体" w:eastAsia="宋体" w:hint="default"/>
          <w:sz w:val="24"/>
          <w:szCs w:val="24"/>
        </w:rPr>
      </w:pPr>
      <w:bookmarkStart w:name="_bookmark87" w:id="88"/>
      <w:bookmarkEnd w:id="88"/>
      <w:r>
        <w:rPr/>
      </w:r>
      <w:r>
        <w:rPr>
          <w:rFonts w:ascii="宋体" w:hAnsi="宋体" w:cs="宋体" w:eastAsia="宋体" w:hint="default"/>
          <w:b/>
          <w:bCs/>
          <w:sz w:val="24"/>
          <w:szCs w:val="24"/>
        </w:rPr>
        <w:t>六、公司员工情况</w:t>
      </w:r>
      <w:r>
        <w:rPr>
          <w:rFonts w:ascii="宋体" w:hAnsi="宋体" w:cs="宋体" w:eastAsia="宋体" w:hint="default"/>
          <w:b/>
          <w:bCs/>
          <w:w w:val="99"/>
          <w:sz w:val="24"/>
          <w:szCs w:val="24"/>
        </w:rPr>
        <w:t> </w:t>
      </w:r>
      <w:r>
        <w:rPr>
          <w:rFonts w:ascii="宋体" w:hAnsi="宋体" w:cs="宋体" w:eastAsia="宋体" w:hint="default"/>
          <w:sz w:val="24"/>
          <w:szCs w:val="24"/>
        </w:rPr>
        <w:t>截止</w:t>
      </w: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日，公司共有员工</w:t>
      </w:r>
      <w:r>
        <w:rPr>
          <w:rFonts w:ascii="Times New Roman" w:hAnsi="Times New Roman" w:cs="Times New Roman" w:eastAsia="Times New Roman" w:hint="default"/>
          <w:sz w:val="24"/>
          <w:szCs w:val="24"/>
        </w:rPr>
        <w:t>936</w:t>
      </w:r>
      <w:r>
        <w:rPr>
          <w:rFonts w:ascii="宋体" w:hAnsi="宋体" w:cs="宋体" w:eastAsia="宋体" w:hint="default"/>
          <w:sz w:val="24"/>
          <w:szCs w:val="24"/>
        </w:rPr>
        <w:t>人，人员构成情况如下：</w:t>
      </w:r>
    </w:p>
    <w:p>
      <w:pPr>
        <w:pStyle w:val="Heading4"/>
        <w:spacing w:line="240" w:lineRule="auto" w:before="32"/>
        <w:ind w:left="152" w:right="0"/>
        <w:jc w:val="left"/>
        <w:rPr>
          <w:b w:val="0"/>
          <w:bCs w:val="0"/>
        </w:rPr>
      </w:pPr>
      <w:bookmarkStart w:name="_bookmark88" w:id="89"/>
      <w:bookmarkEnd w:id="89"/>
      <w:r>
        <w:rPr>
          <w:b w:val="0"/>
          <w:bCs w:val="0"/>
        </w:rPr>
      </w:r>
      <w:r>
        <w:rPr>
          <w:rFonts w:ascii="Times New Roman" w:hAnsi="Times New Roman" w:cs="Times New Roman" w:eastAsia="Times New Roman" w:hint="default"/>
        </w:rPr>
        <w:t>1</w:t>
      </w:r>
      <w:r>
        <w:rPr/>
        <w:t>、学历结构</w:t>
      </w:r>
      <w:r>
        <w:rPr>
          <w:b w:val="0"/>
          <w:bCs w:val="0"/>
        </w:rPr>
      </w:r>
    </w:p>
    <w:p>
      <w:pPr>
        <w:spacing w:line="240" w:lineRule="auto" w:before="6"/>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3219"/>
        <w:gridCol w:w="3219"/>
        <w:gridCol w:w="3221"/>
      </w:tblGrid>
      <w:tr>
        <w:trPr>
          <w:trHeight w:val="34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学历</w:t>
            </w:r>
            <w:r>
              <w:rPr>
                <w:rFonts w:ascii="宋体" w:hAnsi="宋体" w:cs="宋体" w:eastAsia="宋体" w:hint="default"/>
                <w:sz w:val="21"/>
                <w:szCs w:val="21"/>
              </w:rPr>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1287"/>
              <w:jc w:val="right"/>
              <w:rPr>
                <w:rFonts w:ascii="宋体" w:hAnsi="宋体" w:cs="宋体" w:eastAsia="宋体" w:hint="default"/>
                <w:sz w:val="21"/>
                <w:szCs w:val="21"/>
              </w:rPr>
            </w:pPr>
            <w:r>
              <w:rPr>
                <w:rFonts w:ascii="宋体" w:hAnsi="宋体" w:cs="宋体" w:eastAsia="宋体" w:hint="default"/>
                <w:b/>
                <w:bCs/>
                <w:sz w:val="21"/>
                <w:szCs w:val="21"/>
              </w:rPr>
              <w:t>百分比</w:t>
            </w:r>
            <w:r>
              <w:rPr>
                <w:rFonts w:ascii="宋体" w:hAnsi="宋体" w:cs="宋体" w:eastAsia="宋体" w:hint="default"/>
                <w:sz w:val="21"/>
                <w:szCs w:val="21"/>
              </w:rPr>
            </w:r>
          </w:p>
        </w:tc>
      </w:tr>
      <w:tr>
        <w:trPr>
          <w:trHeight w:val="34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17</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58" w:right="0"/>
              <w:jc w:val="left"/>
              <w:rPr>
                <w:rFonts w:ascii="Times New Roman" w:hAnsi="Times New Roman" w:cs="Times New Roman" w:eastAsia="Times New Roman" w:hint="default"/>
                <w:sz w:val="21"/>
                <w:szCs w:val="21"/>
              </w:rPr>
            </w:pPr>
            <w:r>
              <w:rPr>
                <w:rFonts w:ascii="Times New Roman"/>
                <w:sz w:val="21"/>
              </w:rPr>
              <w:t>1.82%</w:t>
            </w:r>
          </w:p>
        </w:tc>
      </w:tr>
      <w:tr>
        <w:trPr>
          <w:trHeight w:val="34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硕士</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142</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277"/>
              <w:jc w:val="right"/>
              <w:rPr>
                <w:rFonts w:ascii="Times New Roman" w:hAnsi="Times New Roman" w:cs="Times New Roman" w:eastAsia="Times New Roman" w:hint="default"/>
                <w:sz w:val="21"/>
                <w:szCs w:val="21"/>
              </w:rPr>
            </w:pPr>
            <w:r>
              <w:rPr>
                <w:rFonts w:ascii="Times New Roman"/>
                <w:sz w:val="21"/>
              </w:rPr>
              <w:t>15.17%</w:t>
            </w:r>
          </w:p>
        </w:tc>
      </w:tr>
      <w:tr>
        <w:trPr>
          <w:trHeight w:val="34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608</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277"/>
              <w:jc w:val="right"/>
              <w:rPr>
                <w:rFonts w:ascii="Times New Roman" w:hAnsi="Times New Roman" w:cs="Times New Roman" w:eastAsia="Times New Roman" w:hint="default"/>
                <w:sz w:val="21"/>
                <w:szCs w:val="21"/>
              </w:rPr>
            </w:pPr>
            <w:r>
              <w:rPr>
                <w:rFonts w:ascii="Times New Roman"/>
                <w:sz w:val="21"/>
              </w:rPr>
              <w:t>64.96%</w:t>
            </w:r>
          </w:p>
        </w:tc>
      </w:tr>
      <w:tr>
        <w:trPr>
          <w:trHeight w:val="34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147</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277"/>
              <w:jc w:val="right"/>
              <w:rPr>
                <w:rFonts w:ascii="Times New Roman" w:hAnsi="Times New Roman" w:cs="Times New Roman" w:eastAsia="Times New Roman" w:hint="default"/>
                <w:sz w:val="21"/>
                <w:szCs w:val="21"/>
              </w:rPr>
            </w:pPr>
            <w:r>
              <w:rPr>
                <w:rFonts w:ascii="Times New Roman"/>
                <w:sz w:val="21"/>
              </w:rPr>
              <w:t>15.71%</w:t>
            </w:r>
          </w:p>
        </w:tc>
      </w:tr>
      <w:tr>
        <w:trPr>
          <w:trHeight w:val="34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Times New Roman" w:hAnsi="Times New Roman" w:cs="Times New Roman" w:eastAsia="Times New Roman" w:hint="default"/>
                <w:sz w:val="21"/>
                <w:szCs w:val="21"/>
              </w:rPr>
            </w:pPr>
            <w:r>
              <w:rPr>
                <w:rFonts w:ascii="Times New Roman"/>
                <w:sz w:val="21"/>
              </w:rPr>
              <w:t>22</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29"/>
              <w:jc w:val="right"/>
              <w:rPr>
                <w:rFonts w:ascii="Times New Roman" w:hAnsi="Times New Roman" w:cs="Times New Roman" w:eastAsia="Times New Roman" w:hint="default"/>
                <w:sz w:val="21"/>
                <w:szCs w:val="21"/>
              </w:rPr>
            </w:pPr>
            <w:r>
              <w:rPr>
                <w:rFonts w:ascii="Times New Roman"/>
                <w:sz w:val="21"/>
              </w:rPr>
              <w:t>2.34%</w:t>
            </w:r>
          </w:p>
        </w:tc>
      </w:tr>
      <w:tr>
        <w:trPr>
          <w:trHeight w:val="34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b/>
                <w:sz w:val="21"/>
              </w:rPr>
              <w:t>936</w:t>
            </w:r>
            <w:r>
              <w:rPr>
                <w:rFonts w:ascii="Times New Roman"/>
                <w:sz w:val="21"/>
              </w:rPr>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1337"/>
              <w:jc w:val="right"/>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line="240" w:lineRule="auto" w:before="1"/>
        <w:rPr>
          <w:rFonts w:ascii="宋体" w:hAnsi="宋体" w:cs="宋体" w:eastAsia="宋体" w:hint="default"/>
          <w:b/>
          <w:bCs/>
          <w:sz w:val="18"/>
          <w:szCs w:val="18"/>
        </w:rPr>
      </w:pPr>
    </w:p>
    <w:p>
      <w:pPr>
        <w:pStyle w:val="Heading4"/>
        <w:spacing w:line="240" w:lineRule="auto" w:before="26"/>
        <w:ind w:left="152" w:right="0"/>
        <w:jc w:val="left"/>
        <w:rPr>
          <w:b w:val="0"/>
          <w:bCs w:val="0"/>
        </w:rPr>
      </w:pPr>
      <w:bookmarkStart w:name="_bookmark89" w:id="90"/>
      <w:bookmarkEnd w:id="90"/>
      <w:r>
        <w:rPr>
          <w:b w:val="0"/>
          <w:bCs w:val="0"/>
        </w:rPr>
      </w:r>
      <w:r>
        <w:rPr>
          <w:rFonts w:ascii="Times New Roman" w:hAnsi="Times New Roman" w:cs="Times New Roman" w:eastAsia="Times New Roman" w:hint="default"/>
        </w:rPr>
        <w:t>2</w:t>
      </w:r>
      <w:r>
        <w:rPr/>
        <w:t>、岗位结构</w:t>
      </w:r>
      <w:r>
        <w:rPr>
          <w:b w:val="0"/>
          <w:bCs w:val="0"/>
        </w:rPr>
      </w:r>
    </w:p>
    <w:p>
      <w:pPr>
        <w:spacing w:line="240" w:lineRule="auto" w:before="6"/>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3219"/>
        <w:gridCol w:w="3219"/>
        <w:gridCol w:w="3221"/>
      </w:tblGrid>
      <w:tr>
        <w:trPr>
          <w:trHeight w:val="34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岗位类型</w:t>
            </w:r>
            <w:r>
              <w:rPr>
                <w:rFonts w:ascii="宋体" w:hAnsi="宋体" w:cs="宋体" w:eastAsia="宋体" w:hint="default"/>
                <w:sz w:val="21"/>
                <w:szCs w:val="21"/>
              </w:rPr>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人数（人）</w:t>
            </w:r>
            <w:r>
              <w:rPr>
                <w:rFonts w:ascii="宋体" w:hAnsi="宋体" w:cs="宋体" w:eastAsia="宋体" w:hint="default"/>
                <w:sz w:val="21"/>
                <w:szCs w:val="21"/>
              </w:rPr>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百分比</w:t>
            </w:r>
            <w:r>
              <w:rPr>
                <w:rFonts w:ascii="宋体" w:hAnsi="宋体" w:cs="宋体" w:eastAsia="宋体" w:hint="default"/>
                <w:sz w:val="21"/>
                <w:szCs w:val="21"/>
              </w:rPr>
            </w:r>
          </w:p>
        </w:tc>
      </w:tr>
      <w:tr>
        <w:trPr>
          <w:trHeight w:val="34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112</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11.97%</w:t>
            </w:r>
          </w:p>
        </w:tc>
      </w:tr>
      <w:tr>
        <w:trPr>
          <w:trHeight w:val="34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594</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63.46%</w:t>
            </w:r>
          </w:p>
        </w:tc>
      </w:tr>
      <w:tr>
        <w:trPr>
          <w:trHeight w:val="34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138</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14.74%</w:t>
            </w:r>
          </w:p>
        </w:tc>
      </w:tr>
      <w:tr>
        <w:trPr>
          <w:trHeight w:val="34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65</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6.94%</w:t>
            </w:r>
          </w:p>
        </w:tc>
      </w:tr>
      <w:tr>
        <w:trPr>
          <w:trHeight w:val="34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咨询人员</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27</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2.89%</w:t>
            </w:r>
          </w:p>
        </w:tc>
      </w:tr>
      <w:tr>
        <w:trPr>
          <w:trHeight w:val="343"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0</w:t>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0</w:t>
            </w:r>
          </w:p>
        </w:tc>
      </w:tr>
      <w:tr>
        <w:trPr>
          <w:trHeight w:val="341" w:hRule="exact"/>
        </w:trPr>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b/>
                <w:sz w:val="21"/>
              </w:rPr>
              <w:t>936</w:t>
            </w:r>
            <w:r>
              <w:rPr>
                <w:rFonts w:ascii="Times New Roman"/>
                <w:sz w:val="21"/>
              </w:rPr>
            </w:r>
          </w:p>
        </w:tc>
        <w:tc>
          <w:tcPr>
            <w:tcW w:w="3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b/>
                <w:sz w:val="21"/>
              </w:rPr>
              <w:t>100%</w:t>
            </w:r>
            <w:r>
              <w:rPr>
                <w:rFonts w:ascii="Times New Roman"/>
                <w:sz w:val="21"/>
              </w:rPr>
            </w:r>
          </w:p>
        </w:tc>
      </w:tr>
    </w:tbl>
    <w:p>
      <w:pPr>
        <w:spacing w:after="0" w:line="240" w:lineRule="auto"/>
        <w:jc w:val="center"/>
        <w:rPr>
          <w:rFonts w:ascii="Times New Roman" w:hAnsi="Times New Roman" w:cs="Times New Roman" w:eastAsia="Times New Roman" w:hint="default"/>
          <w:sz w:val="21"/>
          <w:szCs w:val="21"/>
        </w:rPr>
        <w:sectPr>
          <w:pgSz w:w="11910" w:h="16840"/>
          <w:pgMar w:header="0" w:footer="1007" w:top="1100" w:bottom="1200" w:left="980" w:right="980"/>
        </w:sectPr>
      </w:pPr>
    </w:p>
    <w:p>
      <w:pPr>
        <w:spacing w:line="240" w:lineRule="auto" w:before="10"/>
        <w:rPr>
          <w:rFonts w:ascii="宋体" w:hAnsi="宋体" w:cs="宋体" w:eastAsia="宋体" w:hint="default"/>
          <w:b/>
          <w:bCs/>
          <w:sz w:val="19"/>
          <w:szCs w:val="19"/>
        </w:rPr>
      </w:pPr>
    </w:p>
    <w:p>
      <w:pPr>
        <w:pStyle w:val="Heading4"/>
        <w:spacing w:line="240" w:lineRule="auto" w:before="26"/>
        <w:ind w:left="152" w:right="0"/>
        <w:jc w:val="left"/>
        <w:rPr>
          <w:b w:val="0"/>
          <w:bCs w:val="0"/>
        </w:rPr>
      </w:pPr>
      <w:bookmarkStart w:name="_bookmark90" w:id="91"/>
      <w:bookmarkEnd w:id="91"/>
      <w:r>
        <w:rPr>
          <w:b w:val="0"/>
          <w:bCs w:val="0"/>
        </w:rPr>
      </w:r>
      <w:r>
        <w:rPr>
          <w:rFonts w:ascii="Times New Roman" w:hAnsi="Times New Roman" w:cs="Times New Roman" w:eastAsia="Times New Roman" w:hint="default"/>
        </w:rPr>
        <w:t>3</w:t>
      </w:r>
      <w:r>
        <w:rPr/>
        <w:t>、截至报告期末，公司无需要承担费用的离退休人员。</w:t>
      </w:r>
      <w:r>
        <w:rPr>
          <w:b w:val="0"/>
          <w:bCs w:val="0"/>
        </w:rPr>
      </w:r>
    </w:p>
    <w:p>
      <w:pPr>
        <w:spacing w:after="0" w:line="240" w:lineRule="auto"/>
        <w:jc w:val="left"/>
        <w:sectPr>
          <w:pgSz w:w="11910" w:h="16840"/>
          <w:pgMar w:header="0" w:footer="1007" w:top="1100" w:bottom="120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spacing w:before="0"/>
        <w:ind w:left="3679" w:right="3358" w:firstLine="0"/>
        <w:jc w:val="center"/>
        <w:rPr>
          <w:rFonts w:ascii="宋体" w:hAnsi="宋体" w:cs="宋体" w:eastAsia="宋体" w:hint="default"/>
          <w:sz w:val="32"/>
          <w:szCs w:val="32"/>
        </w:rPr>
      </w:pPr>
      <w:bookmarkStart w:name="_bookmark91" w:id="92"/>
      <w:bookmarkEnd w:id="92"/>
      <w:r>
        <w:rPr/>
      </w:r>
      <w:r>
        <w:rPr>
          <w:rFonts w:ascii="宋体" w:hAnsi="宋体" w:cs="宋体" w:eastAsia="宋体" w:hint="default"/>
          <w:b/>
          <w:bCs/>
          <w:sz w:val="32"/>
          <w:szCs w:val="32"/>
        </w:rPr>
        <w:t>第八节</w:t>
      </w:r>
      <w:r>
        <w:rPr>
          <w:rFonts w:ascii="宋体" w:hAnsi="宋体" w:cs="宋体" w:eastAsia="宋体" w:hint="default"/>
          <w:b/>
          <w:bCs/>
          <w:spacing w:val="-2"/>
          <w:sz w:val="32"/>
          <w:szCs w:val="32"/>
        </w:rPr>
        <w:t> </w:t>
      </w:r>
      <w:r>
        <w:rPr>
          <w:rFonts w:ascii="宋体" w:hAnsi="宋体" w:cs="宋体" w:eastAsia="宋体" w:hint="default"/>
          <w:b/>
          <w:bCs/>
          <w:sz w:val="32"/>
          <w:szCs w:val="32"/>
        </w:rPr>
        <w:t>公司治理</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4"/>
        <w:spacing w:line="240" w:lineRule="auto" w:before="26"/>
        <w:ind w:left="558" w:right="0"/>
        <w:jc w:val="both"/>
        <w:rPr>
          <w:b w:val="0"/>
          <w:bCs w:val="0"/>
        </w:rPr>
      </w:pPr>
      <w:bookmarkStart w:name="_bookmark92" w:id="93"/>
      <w:bookmarkEnd w:id="93"/>
      <w:r>
        <w:rPr>
          <w:b w:val="0"/>
          <w:bCs w:val="0"/>
        </w:rPr>
      </w:r>
      <w:r>
        <w:rPr/>
        <w:t>一、公司治理的基本状况</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ind w:left="1038" w:right="102"/>
        <w:jc w:val="left"/>
      </w:pPr>
      <w:r>
        <w:rPr/>
        <w:t>报告期内，公司严格按照《公司法》、《证券法》、《上市公司治理准则》、</w:t>
      </w:r>
    </w:p>
    <w:p>
      <w:pPr>
        <w:pStyle w:val="BodyText"/>
        <w:spacing w:line="357" w:lineRule="auto" w:before="154"/>
        <w:ind w:right="236"/>
        <w:jc w:val="both"/>
      </w:pPr>
      <w:r>
        <w:rPr/>
        <w:t>《深圳证券交易所创业板股票上市规则》、《深圳证券交易所创业板上市公司规范</w:t>
      </w:r>
      <w:r>
        <w:rPr>
          <w:spacing w:val="-75"/>
        </w:rPr>
        <w:t> </w:t>
      </w:r>
      <w:r>
        <w:rPr>
          <w:spacing w:val="-75"/>
        </w:rPr>
      </w:r>
      <w:r>
        <w:rPr/>
        <w:t>运作指引》等法律、法规和中国证监会有关法律法规等的要求，不断完善公司的法</w:t>
      </w:r>
      <w:r>
        <w:rPr>
          <w:spacing w:val="-77"/>
        </w:rPr>
        <w:t> </w:t>
      </w:r>
      <w:r>
        <w:rPr>
          <w:spacing w:val="-77"/>
        </w:rPr>
      </w:r>
      <w:r>
        <w:rPr/>
        <w:t>人治理结构，建立健全公司内部管理和控制制度，持续深入开展公司治理活动，促</w:t>
      </w:r>
      <w:r>
        <w:rPr>
          <w:spacing w:val="-77"/>
        </w:rPr>
        <w:t> </w:t>
      </w:r>
      <w:r>
        <w:rPr>
          <w:spacing w:val="-77"/>
        </w:rPr>
      </w:r>
      <w:r>
        <w:rPr/>
        <w:t>进了公司规范运作，提高了公司治理水平。截至报告期末，公司治理的实际状况符</w:t>
      </w:r>
      <w:r>
        <w:rPr>
          <w:spacing w:val="-77"/>
        </w:rPr>
        <w:t> </w:t>
      </w:r>
      <w:r>
        <w:rPr>
          <w:spacing w:val="-77"/>
        </w:rPr>
      </w:r>
      <w:r>
        <w:rPr/>
        <w:t>合《上市公司治理准则》和《深圳证券交易所创业板上市公司规范运作指引》的要</w:t>
      </w:r>
      <w:r>
        <w:rPr>
          <w:spacing w:val="-77"/>
        </w:rPr>
        <w:t> </w:t>
      </w:r>
      <w:r>
        <w:rPr>
          <w:spacing w:val="-77"/>
        </w:rPr>
      </w:r>
      <w:r>
        <w:rPr/>
        <w:t>求。</w:t>
      </w:r>
    </w:p>
    <w:p>
      <w:pPr>
        <w:spacing w:line="240" w:lineRule="auto" w:before="11"/>
        <w:rPr>
          <w:rFonts w:ascii="宋体" w:hAnsi="宋体" w:cs="宋体" w:eastAsia="宋体" w:hint="default"/>
          <w:sz w:val="19"/>
          <w:szCs w:val="19"/>
        </w:rPr>
      </w:pPr>
    </w:p>
    <w:p>
      <w:pPr>
        <w:pStyle w:val="Heading4"/>
        <w:spacing w:line="240" w:lineRule="auto"/>
        <w:ind w:left="558" w:right="0"/>
        <w:jc w:val="both"/>
        <w:rPr>
          <w:b w:val="0"/>
          <w:bCs w:val="0"/>
        </w:rPr>
      </w:pPr>
      <w:bookmarkStart w:name="_bookmark93" w:id="94"/>
      <w:bookmarkEnd w:id="94"/>
      <w:r>
        <w:rPr>
          <w:b w:val="0"/>
          <w:bCs w:val="0"/>
        </w:rPr>
      </w:r>
      <w:r>
        <w:rPr>
          <w:rFonts w:ascii="Times New Roman" w:hAnsi="Times New Roman" w:cs="Times New Roman" w:eastAsia="Times New Roman" w:hint="default"/>
        </w:rPr>
        <w:t>1</w:t>
      </w:r>
      <w:r>
        <w:rPr/>
        <w:t>、关于股东与股东大会</w:t>
      </w:r>
      <w:r>
        <w:rPr>
          <w:b w:val="0"/>
          <w:bCs w:val="0"/>
        </w:rPr>
      </w:r>
    </w:p>
    <w:p>
      <w:pPr>
        <w:spacing w:line="240" w:lineRule="auto" w:before="3"/>
        <w:rPr>
          <w:rFonts w:ascii="宋体" w:hAnsi="宋体" w:cs="宋体" w:eastAsia="宋体" w:hint="default"/>
          <w:b/>
          <w:bCs/>
          <w:sz w:val="27"/>
          <w:szCs w:val="27"/>
        </w:rPr>
      </w:pPr>
    </w:p>
    <w:p>
      <w:pPr>
        <w:pStyle w:val="BodyText"/>
        <w:spacing w:line="357" w:lineRule="auto"/>
        <w:ind w:right="113" w:firstLine="479"/>
        <w:jc w:val="both"/>
      </w:pPr>
      <w:r>
        <w:rPr/>
        <w:t>报告期内，严格遵守《上市公司股东大会规则》、《公司章程》、《北京超图 软件股份有限公司股东大会议事规则》的规定，规范的召集召开股东大会，公平对</w:t>
      </w:r>
      <w:r>
        <w:rPr>
          <w:spacing w:val="-77"/>
        </w:rPr>
        <w:t> </w:t>
      </w:r>
      <w:r>
        <w:rPr>
          <w:spacing w:val="-77"/>
        </w:rPr>
      </w:r>
      <w:r>
        <w:rPr>
          <w:spacing w:val="-2"/>
        </w:rPr>
        <w:t>待所有股东，并尽可能为股东参加股东大会提供便利条件，确保股东充分行使权利。</w:t>
      </w:r>
    </w:p>
    <w:p>
      <w:pPr>
        <w:spacing w:line="240" w:lineRule="auto" w:before="11"/>
        <w:rPr>
          <w:rFonts w:ascii="宋体" w:hAnsi="宋体" w:cs="宋体" w:eastAsia="宋体" w:hint="default"/>
          <w:sz w:val="19"/>
          <w:szCs w:val="19"/>
        </w:rPr>
      </w:pPr>
    </w:p>
    <w:p>
      <w:pPr>
        <w:pStyle w:val="Heading4"/>
        <w:spacing w:line="240" w:lineRule="auto"/>
        <w:ind w:left="558" w:right="0"/>
        <w:jc w:val="both"/>
        <w:rPr>
          <w:b w:val="0"/>
          <w:bCs w:val="0"/>
        </w:rPr>
      </w:pPr>
      <w:bookmarkStart w:name="_bookmark94" w:id="95"/>
      <w:bookmarkEnd w:id="95"/>
      <w:r>
        <w:rPr>
          <w:b w:val="0"/>
          <w:bCs w:val="0"/>
        </w:rPr>
      </w:r>
      <w:r>
        <w:rPr>
          <w:rFonts w:ascii="Times New Roman" w:hAnsi="Times New Roman" w:cs="Times New Roman" w:eastAsia="Times New Roman" w:hint="default"/>
        </w:rPr>
        <w:t>2</w:t>
      </w:r>
      <w:r>
        <w:rPr/>
        <w:t>、关于公司与控股股东</w:t>
      </w:r>
      <w:r>
        <w:rPr>
          <w:b w:val="0"/>
          <w:bCs w:val="0"/>
        </w:rPr>
      </w:r>
    </w:p>
    <w:p>
      <w:pPr>
        <w:spacing w:line="240" w:lineRule="auto" w:before="6"/>
        <w:rPr>
          <w:rFonts w:ascii="宋体" w:hAnsi="宋体" w:cs="宋体" w:eastAsia="宋体" w:hint="default"/>
          <w:b/>
          <w:bCs/>
          <w:sz w:val="27"/>
          <w:szCs w:val="27"/>
        </w:rPr>
      </w:pPr>
    </w:p>
    <w:p>
      <w:pPr>
        <w:pStyle w:val="BodyText"/>
        <w:spacing w:line="357" w:lineRule="auto"/>
        <w:ind w:right="236" w:firstLine="479"/>
        <w:jc w:val="both"/>
      </w:pPr>
      <w:r>
        <w:rPr/>
        <w:t>控股股东严格依法行使其股东权利，没有超越股东大会或董事会直接或间接干 预公司的决策及依法开展的生产经营活动，未损害公司及其他股东的权益。公司拥</w:t>
      </w:r>
      <w:r>
        <w:rPr>
          <w:spacing w:val="-77"/>
        </w:rPr>
        <w:t> </w:t>
      </w:r>
      <w:r>
        <w:rPr>
          <w:spacing w:val="-77"/>
        </w:rPr>
      </w:r>
      <w:r>
        <w:rPr/>
        <w:t>有独立的人员、资产、财务、业务、机构，公司的董事会、监事会及其他内部机构</w:t>
      </w:r>
      <w:r>
        <w:rPr>
          <w:spacing w:val="-77"/>
        </w:rPr>
        <w:t> </w:t>
      </w:r>
      <w:r>
        <w:rPr>
          <w:spacing w:val="-77"/>
        </w:rPr>
      </w:r>
      <w:r>
        <w:rPr/>
        <w:t>独立运作。此外，控股股东已签署《避免同业竞争承诺函》，不从事与公司相同、</w:t>
      </w:r>
      <w:r>
        <w:rPr>
          <w:spacing w:val="-77"/>
        </w:rPr>
        <w:t> </w:t>
      </w:r>
      <w:r>
        <w:rPr>
          <w:spacing w:val="-77"/>
        </w:rPr>
      </w:r>
      <w:r>
        <w:rPr/>
        <w:t>相近或形成竞争的业务。</w:t>
      </w:r>
    </w:p>
    <w:p>
      <w:pPr>
        <w:spacing w:line="240" w:lineRule="auto" w:before="11"/>
        <w:rPr>
          <w:rFonts w:ascii="宋体" w:hAnsi="宋体" w:cs="宋体" w:eastAsia="宋体" w:hint="default"/>
          <w:sz w:val="19"/>
          <w:szCs w:val="19"/>
        </w:rPr>
      </w:pPr>
    </w:p>
    <w:p>
      <w:pPr>
        <w:pStyle w:val="Heading4"/>
        <w:spacing w:line="240" w:lineRule="auto"/>
        <w:ind w:left="558" w:right="0"/>
        <w:jc w:val="both"/>
        <w:rPr>
          <w:b w:val="0"/>
          <w:bCs w:val="0"/>
        </w:rPr>
      </w:pPr>
      <w:bookmarkStart w:name="_bookmark95" w:id="96"/>
      <w:bookmarkEnd w:id="96"/>
      <w:r>
        <w:rPr>
          <w:b w:val="0"/>
          <w:bCs w:val="0"/>
        </w:rPr>
      </w:r>
      <w:r>
        <w:rPr>
          <w:rFonts w:ascii="Times New Roman" w:hAnsi="Times New Roman" w:cs="Times New Roman" w:eastAsia="Times New Roman" w:hint="default"/>
        </w:rPr>
        <w:t>3</w:t>
      </w:r>
      <w:r>
        <w:rPr/>
        <w:t>、关于董事和董事会</w:t>
      </w:r>
      <w:r>
        <w:rPr>
          <w:b w:val="0"/>
          <w:bCs w:val="0"/>
        </w:rPr>
      </w:r>
    </w:p>
    <w:p>
      <w:pPr>
        <w:spacing w:line="240" w:lineRule="auto" w:before="3"/>
        <w:rPr>
          <w:rFonts w:ascii="宋体" w:hAnsi="宋体" w:cs="宋体" w:eastAsia="宋体" w:hint="default"/>
          <w:b/>
          <w:bCs/>
          <w:sz w:val="27"/>
          <w:szCs w:val="27"/>
        </w:rPr>
      </w:pPr>
    </w:p>
    <w:p>
      <w:pPr>
        <w:pStyle w:val="BodyText"/>
        <w:spacing w:line="338" w:lineRule="auto"/>
        <w:ind w:right="235" w:firstLine="479"/>
        <w:jc w:val="both"/>
      </w:pPr>
      <w:r>
        <w:rPr/>
        <w:t>公司董事会成员</w:t>
      </w:r>
      <w:r>
        <w:rPr>
          <w:rFonts w:ascii="Times New Roman" w:hAnsi="Times New Roman" w:cs="Times New Roman" w:eastAsia="Times New Roman" w:hint="default"/>
        </w:rPr>
        <w:t>9</w:t>
      </w:r>
      <w:r>
        <w:rPr/>
        <w:t>名，其中独立董事</w:t>
      </w:r>
      <w:r>
        <w:rPr>
          <w:rFonts w:ascii="Times New Roman" w:hAnsi="Times New Roman" w:cs="Times New Roman" w:eastAsia="Times New Roman" w:hint="default"/>
        </w:rPr>
        <w:t>3</w:t>
      </w:r>
      <w:r>
        <w:rPr/>
        <w:t>名，董事会的人数、人员资格、人员构成 均符合有关法律、法规以及《公司章程》的要求。</w:t>
      </w:r>
    </w:p>
    <w:p>
      <w:pPr>
        <w:pStyle w:val="BodyText"/>
        <w:spacing w:line="357" w:lineRule="auto" w:before="55"/>
        <w:ind w:right="116" w:firstLine="479"/>
        <w:jc w:val="both"/>
      </w:pPr>
      <w:r>
        <w:rPr/>
        <w:t>各位董事能够按照《董事会议事规则》、《北京超图软件股份有限公司独立董 </w:t>
      </w:r>
      <w:r>
        <w:rPr>
          <w:spacing w:val="-2"/>
        </w:rPr>
        <w:t>事工作制度》、《深圳证券交易所创业板上市公司规范运作指引》以及《公司章程》</w:t>
      </w:r>
    </w:p>
    <w:p>
      <w:pPr>
        <w:spacing w:after="0" w:line="357" w:lineRule="auto"/>
        <w:jc w:val="both"/>
        <w:sectPr>
          <w:headerReference w:type="default" r:id="rId28"/>
          <w:pgSz w:w="11910" w:h="16840"/>
          <w:pgMar w:header="884" w:footer="1007" w:top="1160" w:bottom="1200" w:left="1240" w:right="1180"/>
        </w:sectPr>
      </w:pPr>
    </w:p>
    <w:p>
      <w:pPr>
        <w:spacing w:line="240" w:lineRule="auto" w:before="0"/>
        <w:rPr>
          <w:rFonts w:ascii="宋体" w:hAnsi="宋体" w:cs="宋体" w:eastAsia="宋体" w:hint="default"/>
          <w:sz w:val="21"/>
          <w:szCs w:val="21"/>
        </w:rPr>
      </w:pPr>
    </w:p>
    <w:p>
      <w:pPr>
        <w:pStyle w:val="BodyText"/>
        <w:spacing w:line="357" w:lineRule="auto" w:before="26"/>
        <w:ind w:right="82"/>
        <w:jc w:val="left"/>
      </w:pPr>
      <w:r>
        <w:rPr/>
        <w:t>等有关规定，认真出席董事会，积极参与有关培训，熟悉有关法律法规，忠实、诚</w:t>
      </w:r>
      <w:r>
        <w:rPr>
          <w:spacing w:val="-77"/>
        </w:rPr>
        <w:t> </w:t>
      </w:r>
      <w:r>
        <w:rPr>
          <w:spacing w:val="-77"/>
        </w:rPr>
      </w:r>
      <w:r>
        <w:rPr/>
        <w:t>信、勤勉的履行了职责。</w:t>
      </w:r>
    </w:p>
    <w:p>
      <w:pPr>
        <w:spacing w:line="240" w:lineRule="auto" w:before="11"/>
        <w:rPr>
          <w:rFonts w:ascii="宋体" w:hAnsi="宋体" w:cs="宋体" w:eastAsia="宋体" w:hint="default"/>
          <w:sz w:val="19"/>
          <w:szCs w:val="19"/>
        </w:rPr>
      </w:pPr>
    </w:p>
    <w:p>
      <w:pPr>
        <w:pStyle w:val="Heading4"/>
        <w:spacing w:line="240" w:lineRule="auto"/>
        <w:ind w:left="558" w:right="82"/>
        <w:jc w:val="left"/>
        <w:rPr>
          <w:b w:val="0"/>
          <w:bCs w:val="0"/>
        </w:rPr>
      </w:pPr>
      <w:bookmarkStart w:name="_bookmark96" w:id="97"/>
      <w:bookmarkEnd w:id="97"/>
      <w:r>
        <w:rPr>
          <w:b w:val="0"/>
          <w:bCs w:val="0"/>
        </w:rPr>
      </w:r>
      <w:r>
        <w:rPr>
          <w:rFonts w:ascii="Times New Roman" w:hAnsi="Times New Roman" w:cs="Times New Roman" w:eastAsia="Times New Roman" w:hint="default"/>
        </w:rPr>
        <w:t>4</w:t>
      </w:r>
      <w:r>
        <w:rPr/>
        <w:t>、关于监事和监事会</w:t>
      </w:r>
      <w:r>
        <w:rPr>
          <w:b w:val="0"/>
          <w:bCs w:val="0"/>
        </w:rPr>
      </w:r>
    </w:p>
    <w:p>
      <w:pPr>
        <w:spacing w:line="240" w:lineRule="auto" w:before="6"/>
        <w:rPr>
          <w:rFonts w:ascii="宋体" w:hAnsi="宋体" w:cs="宋体" w:eastAsia="宋体" w:hint="default"/>
          <w:b/>
          <w:bCs/>
          <w:sz w:val="27"/>
          <w:szCs w:val="27"/>
        </w:rPr>
      </w:pPr>
    </w:p>
    <w:p>
      <w:pPr>
        <w:pStyle w:val="BodyText"/>
        <w:spacing w:line="352" w:lineRule="auto"/>
        <w:ind w:right="82" w:firstLine="479"/>
        <w:jc w:val="left"/>
      </w:pPr>
      <w:r>
        <w:rPr/>
        <w:t>公司监事会成员</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名，监事会的人数、人员资格以及人员构 成符合法律、法规和《公司章程》的要求。各位监事能够按照《北京超图软件股份</w:t>
      </w:r>
      <w:r>
        <w:rPr>
          <w:spacing w:val="-77"/>
        </w:rPr>
        <w:t> </w:t>
      </w:r>
      <w:r>
        <w:rPr>
          <w:spacing w:val="-77"/>
        </w:rPr>
      </w:r>
      <w:r>
        <w:rPr/>
        <w:t>有限公司监事会议事规则》等相关制度的要求，按照规定的程序召开监事会，对公</w:t>
      </w:r>
      <w:r>
        <w:rPr>
          <w:spacing w:val="-77"/>
        </w:rPr>
        <w:t> </w:t>
      </w:r>
      <w:r>
        <w:rPr>
          <w:spacing w:val="-77"/>
        </w:rPr>
      </w:r>
      <w:r>
        <w:rPr>
          <w:spacing w:val="-2"/>
        </w:rPr>
        <w:t>司依法运行、定期报告、审计报告等重大事项发表意见，对公司财务以及公司董事、</w:t>
      </w:r>
      <w:r>
        <w:rPr/>
        <w:t> 经理和其他高级管理人员履行职责的合法合规性进行了监督。</w:t>
      </w:r>
    </w:p>
    <w:p>
      <w:pPr>
        <w:spacing w:line="240" w:lineRule="auto" w:before="3"/>
        <w:rPr>
          <w:rFonts w:ascii="宋体" w:hAnsi="宋体" w:cs="宋体" w:eastAsia="宋体" w:hint="default"/>
          <w:sz w:val="20"/>
          <w:szCs w:val="20"/>
        </w:rPr>
      </w:pPr>
    </w:p>
    <w:p>
      <w:pPr>
        <w:pStyle w:val="Heading4"/>
        <w:spacing w:line="240" w:lineRule="auto"/>
        <w:ind w:left="558" w:right="82"/>
        <w:jc w:val="left"/>
        <w:rPr>
          <w:b w:val="0"/>
          <w:bCs w:val="0"/>
        </w:rPr>
      </w:pPr>
      <w:bookmarkStart w:name="_bookmark97" w:id="98"/>
      <w:bookmarkEnd w:id="98"/>
      <w:r>
        <w:rPr>
          <w:b w:val="0"/>
          <w:bCs w:val="0"/>
        </w:rPr>
      </w:r>
      <w:r>
        <w:rPr>
          <w:rFonts w:ascii="Times New Roman" w:hAnsi="Times New Roman" w:cs="Times New Roman" w:eastAsia="Times New Roman" w:hint="default"/>
        </w:rPr>
        <w:t>5</w:t>
      </w:r>
      <w:r>
        <w:rPr/>
        <w:t>、关于绩效评价和激励约束机制</w:t>
      </w:r>
      <w:r>
        <w:rPr>
          <w:b w:val="0"/>
          <w:bCs w:val="0"/>
        </w:rPr>
      </w:r>
    </w:p>
    <w:p>
      <w:pPr>
        <w:spacing w:line="240" w:lineRule="auto" w:before="3"/>
        <w:rPr>
          <w:rFonts w:ascii="宋体" w:hAnsi="宋体" w:cs="宋体" w:eastAsia="宋体" w:hint="default"/>
          <w:b/>
          <w:bCs/>
          <w:sz w:val="27"/>
          <w:szCs w:val="27"/>
        </w:rPr>
      </w:pPr>
    </w:p>
    <w:p>
      <w:pPr>
        <w:pStyle w:val="BodyText"/>
        <w:spacing w:line="357" w:lineRule="auto"/>
        <w:ind w:right="82" w:firstLine="479"/>
        <w:jc w:val="left"/>
      </w:pPr>
      <w:r>
        <w:rPr/>
        <w:t>公司进一步健全了有效的绩效评价与激励体系，经营者的收入与公司经营业绩 挂钩，高级管理人员的聘任公开、透明、依法进行。</w:t>
      </w:r>
    </w:p>
    <w:p>
      <w:pPr>
        <w:spacing w:line="240" w:lineRule="auto" w:before="11"/>
        <w:rPr>
          <w:rFonts w:ascii="宋体" w:hAnsi="宋体" w:cs="宋体" w:eastAsia="宋体" w:hint="default"/>
          <w:sz w:val="19"/>
          <w:szCs w:val="19"/>
        </w:rPr>
      </w:pPr>
    </w:p>
    <w:p>
      <w:pPr>
        <w:pStyle w:val="Heading4"/>
        <w:spacing w:line="240" w:lineRule="auto"/>
        <w:ind w:left="558" w:right="82"/>
        <w:jc w:val="left"/>
        <w:rPr>
          <w:b w:val="0"/>
          <w:bCs w:val="0"/>
        </w:rPr>
      </w:pPr>
      <w:bookmarkStart w:name="_bookmark98" w:id="99"/>
      <w:bookmarkEnd w:id="99"/>
      <w:r>
        <w:rPr>
          <w:b w:val="0"/>
          <w:bCs w:val="0"/>
        </w:rPr>
      </w:r>
      <w:r>
        <w:rPr>
          <w:rFonts w:ascii="Times New Roman" w:hAnsi="Times New Roman" w:cs="Times New Roman" w:eastAsia="Times New Roman" w:hint="default"/>
        </w:rPr>
        <w:t>6</w:t>
      </w:r>
      <w:r>
        <w:rPr/>
        <w:t>、关于信息披露与透明度</w:t>
      </w:r>
      <w:r>
        <w:rPr>
          <w:b w:val="0"/>
          <w:bCs w:val="0"/>
        </w:rPr>
      </w:r>
    </w:p>
    <w:p>
      <w:pPr>
        <w:spacing w:line="240" w:lineRule="auto" w:before="6"/>
        <w:rPr>
          <w:rFonts w:ascii="宋体" w:hAnsi="宋体" w:cs="宋体" w:eastAsia="宋体" w:hint="default"/>
          <w:b/>
          <w:bCs/>
          <w:sz w:val="27"/>
          <w:szCs w:val="27"/>
        </w:rPr>
      </w:pPr>
    </w:p>
    <w:p>
      <w:pPr>
        <w:pStyle w:val="BodyText"/>
        <w:spacing w:line="352" w:lineRule="auto"/>
        <w:ind w:right="215" w:firstLine="479"/>
        <w:jc w:val="both"/>
      </w:pPr>
      <w:r>
        <w:rPr/>
        <w:t>公司严格按照《北京超图软件股份有限公司信息披露管理办法》、《深圳证券 交易所创业板上市规则》等有关规定真实、准确、完整、及时地披露信息。指定公</w:t>
      </w:r>
      <w:r>
        <w:rPr>
          <w:spacing w:val="-77"/>
        </w:rPr>
        <w:t> </w:t>
      </w:r>
      <w:r>
        <w:rPr>
          <w:spacing w:val="-77"/>
        </w:rPr>
      </w:r>
      <w:r>
        <w:rPr/>
        <w:t>司董事会秘书为公司信息披露与投资者关系活动的负责人，协调公司与投资者的关</w:t>
      </w:r>
      <w:r>
        <w:rPr>
          <w:spacing w:val="-77"/>
        </w:rPr>
        <w:t> </w:t>
      </w:r>
      <w:r>
        <w:rPr>
          <w:spacing w:val="-77"/>
        </w:rPr>
      </w:r>
      <w:r>
        <w:rPr/>
        <w:t>系，接待股东来访，回答咨询，联系股东，向投资者提供公司公开披露的资料；并</w:t>
      </w:r>
      <w:r>
        <w:rPr>
          <w:spacing w:val="-78"/>
        </w:rPr>
        <w:t> </w:t>
      </w:r>
      <w:r>
        <w:rPr>
          <w:spacing w:val="-78"/>
        </w:rPr>
      </w:r>
      <w:r>
        <w:rPr/>
        <w:t>将《证券时报》、巨潮网（</w:t>
      </w:r>
      <w:hyperlink r:id="rId12">
        <w:r>
          <w:rPr>
            <w:rFonts w:ascii="Times New Roman" w:hAnsi="Times New Roman" w:cs="Times New Roman" w:eastAsia="Times New Roman" w:hint="default"/>
          </w:rPr>
          <w:t>www.cninfo.com.cn</w:t>
        </w:r>
      </w:hyperlink>
      <w:r>
        <w:rPr/>
        <w:t>）以及公司官方网站作为公司信息披</w:t>
      </w:r>
      <w:r>
        <w:rPr>
          <w:spacing w:val="-107"/>
        </w:rPr>
        <w:t> </w:t>
      </w:r>
      <w:r>
        <w:rPr>
          <w:spacing w:val="-107"/>
        </w:rPr>
      </w:r>
      <w:r>
        <w:rPr/>
        <w:t>露平台，确保所有股东有平等的机会获得信息。</w:t>
      </w:r>
    </w:p>
    <w:p>
      <w:pPr>
        <w:spacing w:line="240" w:lineRule="auto" w:before="3"/>
        <w:rPr>
          <w:rFonts w:ascii="宋体" w:hAnsi="宋体" w:cs="宋体" w:eastAsia="宋体" w:hint="default"/>
          <w:sz w:val="20"/>
          <w:szCs w:val="20"/>
        </w:rPr>
      </w:pPr>
    </w:p>
    <w:p>
      <w:pPr>
        <w:pStyle w:val="Heading4"/>
        <w:spacing w:line="240" w:lineRule="auto"/>
        <w:ind w:left="558" w:right="82"/>
        <w:jc w:val="left"/>
        <w:rPr>
          <w:b w:val="0"/>
          <w:bCs w:val="0"/>
        </w:rPr>
      </w:pPr>
      <w:bookmarkStart w:name="_bookmark99" w:id="100"/>
      <w:bookmarkEnd w:id="100"/>
      <w:r>
        <w:rPr>
          <w:b w:val="0"/>
          <w:bCs w:val="0"/>
        </w:rPr>
      </w:r>
      <w:r>
        <w:rPr>
          <w:rFonts w:ascii="Times New Roman" w:hAnsi="Times New Roman" w:cs="Times New Roman" w:eastAsia="Times New Roman" w:hint="default"/>
        </w:rPr>
        <w:t>7</w:t>
      </w:r>
      <w:r>
        <w:rPr/>
        <w:t>、关于利益相关者</w:t>
      </w:r>
      <w:r>
        <w:rPr>
          <w:b w:val="0"/>
          <w:bCs w:val="0"/>
        </w:rPr>
      </w:r>
    </w:p>
    <w:p>
      <w:pPr>
        <w:spacing w:line="240" w:lineRule="auto" w:before="3"/>
        <w:rPr>
          <w:rFonts w:ascii="宋体" w:hAnsi="宋体" w:cs="宋体" w:eastAsia="宋体" w:hint="default"/>
          <w:b/>
          <w:bCs/>
          <w:sz w:val="27"/>
          <w:szCs w:val="27"/>
        </w:rPr>
      </w:pPr>
    </w:p>
    <w:p>
      <w:pPr>
        <w:pStyle w:val="BodyText"/>
        <w:spacing w:line="357" w:lineRule="auto"/>
        <w:ind w:right="82" w:firstLine="479"/>
        <w:jc w:val="left"/>
      </w:pPr>
      <w:r>
        <w:rPr/>
        <w:t>公司充分尊重和维护利益相关者的合法权利，并与利益相关者积极合作，共同 推动公司持续、健康地发展。</w:t>
      </w:r>
    </w:p>
    <w:p>
      <w:pPr>
        <w:spacing w:line="240" w:lineRule="auto" w:before="8"/>
        <w:rPr>
          <w:rFonts w:ascii="宋体" w:hAnsi="宋体" w:cs="宋体" w:eastAsia="宋体" w:hint="default"/>
          <w:sz w:val="26"/>
          <w:szCs w:val="26"/>
        </w:rPr>
      </w:pPr>
    </w:p>
    <w:p>
      <w:pPr>
        <w:pStyle w:val="BodyText"/>
        <w:spacing w:line="240" w:lineRule="auto"/>
        <w:ind w:right="82"/>
        <w:jc w:val="left"/>
      </w:pPr>
      <w:r>
        <w:rPr/>
        <w:t>公司治理与《公司法》和中国证监会相关规定的要求是否存在差异</w:t>
      </w:r>
    </w:p>
    <w:p>
      <w:pPr>
        <w:pStyle w:val="BodyText"/>
        <w:spacing w:line="240" w:lineRule="auto" w:before="154"/>
        <w:ind w:right="8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w:t>
      </w:r>
    </w:p>
    <w:p>
      <w:pPr>
        <w:spacing w:after="0" w:line="240" w:lineRule="auto"/>
        <w:jc w:val="left"/>
        <w:sectPr>
          <w:pgSz w:w="11910" w:h="16840"/>
          <w:pgMar w:header="884" w:footer="1007" w:top="1160" w:bottom="1200" w:left="1240" w:right="1200"/>
        </w:sectPr>
      </w:pPr>
    </w:p>
    <w:p>
      <w:pPr>
        <w:spacing w:line="240" w:lineRule="auto" w:before="2"/>
        <w:rPr>
          <w:rFonts w:ascii="宋体" w:hAnsi="宋体" w:cs="宋体" w:eastAsia="宋体" w:hint="default"/>
          <w:sz w:val="15"/>
          <w:szCs w:val="15"/>
        </w:rPr>
      </w:pPr>
      <w:r>
        <w:rPr/>
        <w:pict>
          <v:shape style="position:absolute;margin-left:388.389191pt;margin-top:527.63501pt;width:93.65pt;height:20.85pt;mso-position-horizontal-relative:page;mso-position-vertical-relative:page;z-index:-918040"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告》</w:t>
                  </w:r>
                </w:p>
              </w:txbxContent>
            </v:textbox>
            <w10:wrap type="none"/>
          </v:shape>
        </w:pict>
      </w:r>
    </w:p>
    <w:p>
      <w:pPr>
        <w:pStyle w:val="Heading4"/>
        <w:spacing w:line="240" w:lineRule="auto" w:before="26"/>
        <w:ind w:left="658" w:right="253"/>
        <w:jc w:val="left"/>
        <w:rPr>
          <w:b w:val="0"/>
          <w:bCs w:val="0"/>
        </w:rPr>
      </w:pPr>
      <w:bookmarkStart w:name="_bookmark100" w:id="101"/>
      <w:bookmarkEnd w:id="101"/>
      <w:r>
        <w:rPr>
          <w:b w:val="0"/>
          <w:bCs w:val="0"/>
        </w:rPr>
      </w: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2"/>
          <w:szCs w:val="22"/>
        </w:rPr>
      </w:pPr>
    </w:p>
    <w:p>
      <w:pPr>
        <w:pStyle w:val="Heading4"/>
        <w:spacing w:line="240" w:lineRule="auto"/>
        <w:ind w:left="658" w:right="253"/>
        <w:jc w:val="left"/>
        <w:rPr>
          <w:b w:val="0"/>
          <w:bCs w:val="0"/>
        </w:rPr>
      </w:pPr>
      <w:bookmarkStart w:name="_bookmark101" w:id="102"/>
      <w:bookmarkEnd w:id="102"/>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4"/>
        <w:rPr>
          <w:rFonts w:ascii="宋体" w:hAnsi="宋体" w:cs="宋体" w:eastAsia="宋体" w:hint="default"/>
          <w:b/>
          <w:bCs/>
          <w:sz w:val="24"/>
          <w:szCs w:val="24"/>
        </w:rPr>
      </w:pPr>
    </w:p>
    <w:tbl>
      <w:tblPr>
        <w:tblW w:w="0" w:type="auto"/>
        <w:jc w:val="left"/>
        <w:tblInd w:w="105" w:type="dxa"/>
        <w:tblLayout w:type="fixed"/>
        <w:tblCellMar>
          <w:top w:w="0" w:type="dxa"/>
          <w:left w:w="0" w:type="dxa"/>
          <w:bottom w:w="0" w:type="dxa"/>
          <w:right w:w="0" w:type="dxa"/>
        </w:tblCellMar>
        <w:tblLook w:val="01E0"/>
      </w:tblPr>
      <w:tblGrid>
        <w:gridCol w:w="1023"/>
        <w:gridCol w:w="1558"/>
        <w:gridCol w:w="3425"/>
        <w:gridCol w:w="1961"/>
        <w:gridCol w:w="1819"/>
      </w:tblGrid>
      <w:tr>
        <w:trPr>
          <w:trHeight w:val="634" w:hRule="exact"/>
        </w:trPr>
        <w:tc>
          <w:tcPr>
            <w:tcW w:w="10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82"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50"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3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会议内容</w:t>
            </w:r>
            <w:r>
              <w:rPr>
                <w:rFonts w:ascii="宋体" w:hAnsi="宋体" w:cs="宋体" w:eastAsia="宋体" w:hint="default"/>
                <w:sz w:val="21"/>
                <w:szCs w:val="21"/>
              </w:rPr>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40" w:right="26" w:hanging="317"/>
              <w:jc w:val="left"/>
              <w:rPr>
                <w:rFonts w:ascii="宋体" w:hAnsi="宋体" w:cs="宋体" w:eastAsia="宋体" w:hint="default"/>
                <w:sz w:val="21"/>
                <w:szCs w:val="21"/>
              </w:rPr>
            </w:pPr>
            <w:r>
              <w:rPr>
                <w:rFonts w:ascii="宋体" w:hAnsi="宋体" w:cs="宋体" w:eastAsia="宋体" w:hint="default"/>
                <w:b/>
                <w:bCs/>
                <w:sz w:val="21"/>
                <w:szCs w:val="21"/>
              </w:rPr>
              <w:t>会议决议刊登的指定</w:t>
            </w:r>
            <w:r>
              <w:rPr>
                <w:rFonts w:ascii="宋体" w:hAnsi="宋体" w:cs="宋体" w:eastAsia="宋体" w:hint="default"/>
                <w:b/>
                <w:bCs/>
                <w:spacing w:val="-103"/>
                <w:sz w:val="21"/>
                <w:szCs w:val="21"/>
              </w:rPr>
              <w:t> </w:t>
            </w:r>
            <w:r>
              <w:rPr>
                <w:rFonts w:ascii="宋体" w:hAnsi="宋体" w:cs="宋体" w:eastAsia="宋体" w:hint="default"/>
                <w:b/>
                <w:bCs/>
                <w:sz w:val="21"/>
                <w:szCs w:val="21"/>
              </w:rPr>
              <w:t>网站查询索引</w:t>
            </w:r>
            <w:r>
              <w:rPr>
                <w:rFonts w:ascii="宋体" w:hAnsi="宋体" w:cs="宋体" w:eastAsia="宋体" w:hint="default"/>
                <w:sz w:val="21"/>
                <w:szCs w:val="21"/>
              </w:rPr>
            </w:r>
          </w:p>
        </w:tc>
        <w:tc>
          <w:tcPr>
            <w:tcW w:w="18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76" w:right="59" w:hanging="317"/>
              <w:jc w:val="left"/>
              <w:rPr>
                <w:rFonts w:ascii="宋体" w:hAnsi="宋体" w:cs="宋体" w:eastAsia="宋体" w:hint="default"/>
                <w:sz w:val="21"/>
                <w:szCs w:val="21"/>
              </w:rPr>
            </w:pPr>
            <w:r>
              <w:rPr>
                <w:rFonts w:ascii="宋体" w:hAnsi="宋体" w:cs="宋体" w:eastAsia="宋体" w:hint="default"/>
                <w:b/>
                <w:bCs/>
                <w:sz w:val="21"/>
                <w:szCs w:val="21"/>
              </w:rPr>
              <w:t>会议决议刊登的信</w:t>
            </w:r>
            <w:r>
              <w:rPr>
                <w:rFonts w:ascii="宋体" w:hAnsi="宋体" w:cs="宋体" w:eastAsia="宋体" w:hint="default"/>
                <w:b/>
                <w:bCs/>
                <w:spacing w:val="-103"/>
                <w:sz w:val="21"/>
                <w:szCs w:val="21"/>
              </w:rPr>
              <w:t> </w:t>
            </w:r>
            <w:r>
              <w:rPr>
                <w:rFonts w:ascii="宋体" w:hAnsi="宋体" w:cs="宋体" w:eastAsia="宋体" w:hint="default"/>
                <w:b/>
                <w:bCs/>
                <w:sz w:val="21"/>
                <w:szCs w:val="21"/>
              </w:rPr>
              <w:t>息披露日期</w:t>
            </w:r>
            <w:r>
              <w:rPr>
                <w:rFonts w:ascii="宋体" w:hAnsi="宋体" w:cs="宋体" w:eastAsia="宋体" w:hint="default"/>
                <w:sz w:val="21"/>
                <w:szCs w:val="21"/>
              </w:rPr>
            </w:r>
          </w:p>
        </w:tc>
      </w:tr>
      <w:tr>
        <w:trPr>
          <w:trHeight w:val="1885" w:hRule="exact"/>
        </w:trPr>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64" w:lineRule="auto"/>
              <w:ind w:left="22" w:right="101"/>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年年</w:t>
            </w:r>
            <w:r>
              <w:rPr>
                <w:rFonts w:ascii="宋体" w:hAnsi="宋体" w:cs="宋体" w:eastAsia="宋体" w:hint="default"/>
                <w:w w:val="100"/>
                <w:sz w:val="21"/>
                <w:szCs w:val="21"/>
              </w:rPr>
              <w:t> </w:t>
            </w:r>
            <w:r>
              <w:rPr>
                <w:rFonts w:ascii="宋体" w:hAnsi="宋体" w:cs="宋体" w:eastAsia="宋体" w:hint="default"/>
                <w:sz w:val="21"/>
                <w:szCs w:val="21"/>
              </w:rPr>
              <w:t>度股东大</w:t>
            </w:r>
            <w:r>
              <w:rPr>
                <w:rFonts w:ascii="宋体" w:hAnsi="宋体" w:cs="宋体" w:eastAsia="宋体" w:hint="default"/>
                <w:w w:val="100"/>
                <w:sz w:val="21"/>
                <w:szCs w:val="21"/>
              </w:rPr>
              <w:t> </w:t>
            </w:r>
            <w:r>
              <w:rPr>
                <w:rFonts w:ascii="宋体" w:hAnsi="宋体" w:cs="宋体" w:eastAsia="宋体" w:hint="default"/>
                <w:sz w:val="21"/>
                <w:szCs w:val="21"/>
              </w:rPr>
              <w:t>会</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9"/>
              <w:jc w:val="left"/>
              <w:rPr>
                <w:rFonts w:ascii="宋体" w:hAnsi="宋体" w:cs="宋体" w:eastAsia="宋体" w:hint="default"/>
                <w:sz w:val="21"/>
                <w:szCs w:val="21"/>
              </w:rPr>
            </w:pPr>
            <w:r>
              <w:rPr>
                <w:rFonts w:ascii="宋体" w:hAnsi="宋体" w:cs="宋体" w:eastAsia="宋体" w:hint="default"/>
                <w:spacing w:val="-6"/>
                <w:sz w:val="21"/>
                <w:szCs w:val="21"/>
              </w:rPr>
              <w:t>审议通过了《</w:t>
            </w:r>
            <w:r>
              <w:rPr>
                <w:rFonts w:ascii="Times New Roman" w:hAnsi="Times New Roman" w:cs="Times New Roman" w:eastAsia="Times New Roman" w:hint="default"/>
                <w:spacing w:val="-6"/>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年度董事会工作报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8"/>
                <w:w w:val="100"/>
                <w:sz w:val="21"/>
                <w:szCs w:val="21"/>
              </w:rPr>
              <w:t>告》、《</w:t>
            </w:r>
            <w:r>
              <w:rPr>
                <w:rFonts w:ascii="Times New Roman" w:hAnsi="Times New Roman" w:cs="Times New Roman" w:eastAsia="Times New Roman" w:hint="default"/>
                <w:spacing w:val="-28"/>
                <w:w w:val="100"/>
                <w:sz w:val="21"/>
                <w:szCs w:val="21"/>
              </w:rPr>
              <w:t>2011</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2"/>
                <w:w w:val="100"/>
                <w:sz w:val="21"/>
                <w:szCs w:val="21"/>
              </w:rPr>
              <w:t>年度监事会工作报告》</w:t>
            </w:r>
          </w:p>
          <w:p>
            <w:pPr>
              <w:pStyle w:val="TableParagraph"/>
              <w:spacing w:line="240" w:lineRule="auto" w:before="5"/>
              <w:ind w:left="21" w:right="0"/>
              <w:jc w:val="left"/>
              <w:rPr>
                <w:rFonts w:ascii="宋体" w:hAnsi="宋体" w:cs="宋体" w:eastAsia="宋体" w:hint="default"/>
                <w:sz w:val="21"/>
                <w:szCs w:val="21"/>
              </w:rPr>
            </w:pP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全文</w:t>
            </w:r>
            <w:r>
              <w:rPr>
                <w:rFonts w:ascii="宋体" w:hAnsi="宋体" w:cs="宋体" w:eastAsia="宋体" w:hint="default"/>
                <w:w w:val="100"/>
                <w:sz w:val="21"/>
                <w:szCs w:val="21"/>
              </w:rPr>
              <w:t>及摘</w:t>
            </w:r>
            <w:r>
              <w:rPr>
                <w:rFonts w:ascii="宋体" w:hAnsi="宋体" w:cs="宋体" w:eastAsia="宋体" w:hint="default"/>
                <w:spacing w:val="-3"/>
                <w:w w:val="100"/>
                <w:sz w:val="21"/>
                <w:szCs w:val="21"/>
              </w:rPr>
              <w:t>要</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266" w:lineRule="auto" w:before="21"/>
              <w:ind w:left="21" w:right="27"/>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决</w:t>
            </w:r>
            <w:r>
              <w:rPr>
                <w:rFonts w:ascii="宋体" w:hAnsi="宋体" w:cs="宋体" w:eastAsia="宋体" w:hint="default"/>
                <w:w w:val="100"/>
                <w:sz w:val="21"/>
                <w:szCs w:val="21"/>
              </w:rPr>
              <w:t>算</w:t>
            </w:r>
            <w:r>
              <w:rPr>
                <w:rFonts w:ascii="宋体" w:hAnsi="宋体" w:cs="宋体" w:eastAsia="宋体" w:hint="default"/>
                <w:spacing w:val="-3"/>
                <w:w w:val="100"/>
                <w:sz w:val="21"/>
                <w:szCs w:val="21"/>
              </w:rPr>
              <w:t>报告</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w w:val="100"/>
                <w:sz w:val="21"/>
                <w:szCs w:val="21"/>
              </w:rPr>
              <w:t> </w:t>
            </w:r>
            <w:r>
              <w:rPr>
                <w:rFonts w:ascii="宋体" w:hAnsi="宋体" w:cs="宋体" w:eastAsia="宋体" w:hint="default"/>
                <w:w w:val="100"/>
                <w:sz w:val="21"/>
                <w:szCs w:val="21"/>
              </w:rPr>
              <w:t>年度</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分</w:t>
            </w:r>
            <w:r>
              <w:rPr>
                <w:rFonts w:ascii="宋体" w:hAnsi="宋体" w:cs="宋体" w:eastAsia="宋体" w:hint="default"/>
                <w:w w:val="100"/>
                <w:sz w:val="21"/>
                <w:szCs w:val="21"/>
              </w:rPr>
              <w:t>配</w:t>
            </w:r>
            <w:r>
              <w:rPr>
                <w:rFonts w:ascii="宋体" w:hAnsi="宋体" w:cs="宋体" w:eastAsia="宋体" w:hint="default"/>
                <w:spacing w:val="-3"/>
                <w:w w:val="100"/>
                <w:sz w:val="21"/>
                <w:szCs w:val="21"/>
              </w:rPr>
              <w:t>预</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于续</w:t>
            </w:r>
            <w:r>
              <w:rPr>
                <w:rFonts w:ascii="宋体" w:hAnsi="宋体" w:cs="宋体" w:eastAsia="宋体" w:hint="default"/>
                <w:spacing w:val="-3"/>
                <w:w w:val="100"/>
                <w:sz w:val="21"/>
                <w:szCs w:val="21"/>
              </w:rPr>
              <w:t>聘</w:t>
            </w:r>
            <w:r>
              <w:rPr>
                <w:rFonts w:ascii="宋体" w:hAnsi="宋体" w:cs="宋体" w:eastAsia="宋体" w:hint="default"/>
                <w:w w:val="100"/>
                <w:sz w:val="21"/>
                <w:szCs w:val="21"/>
              </w:rPr>
              <w:t>会计</w:t>
            </w:r>
            <w:r>
              <w:rPr>
                <w:rFonts w:ascii="宋体" w:hAnsi="宋体" w:cs="宋体" w:eastAsia="宋体" w:hint="default"/>
                <w:w w:val="100"/>
                <w:sz w:val="21"/>
                <w:szCs w:val="21"/>
              </w:rPr>
              <w:t> 师事</w:t>
            </w:r>
            <w:r>
              <w:rPr>
                <w:rFonts w:ascii="宋体" w:hAnsi="宋体" w:cs="宋体" w:eastAsia="宋体" w:hint="default"/>
                <w:spacing w:val="-3"/>
                <w:w w:val="100"/>
                <w:sz w:val="21"/>
                <w:szCs w:val="21"/>
              </w:rPr>
              <w:t>务</w:t>
            </w:r>
            <w:r>
              <w:rPr>
                <w:rFonts w:ascii="宋体" w:hAnsi="宋体" w:cs="宋体" w:eastAsia="宋体" w:hint="default"/>
                <w:w w:val="100"/>
                <w:sz w:val="21"/>
                <w:szCs w:val="21"/>
              </w:rPr>
              <w:t>所</w:t>
            </w:r>
            <w:r>
              <w:rPr>
                <w:rFonts w:ascii="宋体" w:hAnsi="宋体" w:cs="宋体" w:eastAsia="宋体" w:hint="default"/>
                <w:spacing w:val="-3"/>
                <w:w w:val="100"/>
                <w:sz w:val="21"/>
                <w:szCs w:val="21"/>
              </w:rPr>
              <w:t>的</w:t>
            </w:r>
            <w:r>
              <w:rPr>
                <w:rFonts w:ascii="宋体" w:hAnsi="宋体" w:cs="宋体" w:eastAsia="宋体" w:hint="default"/>
                <w:w w:val="100"/>
                <w:sz w:val="21"/>
                <w:szCs w:val="21"/>
              </w:rPr>
              <w:t>议</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章</w:t>
            </w:r>
            <w:r>
              <w:rPr>
                <w:rFonts w:ascii="宋体" w:hAnsi="宋体" w:cs="宋体" w:eastAsia="宋体" w:hint="default"/>
                <w:spacing w:val="-3"/>
                <w:w w:val="100"/>
                <w:sz w:val="21"/>
                <w:szCs w:val="21"/>
              </w:rPr>
              <w:t>程</w:t>
            </w:r>
            <w:r>
              <w:rPr>
                <w:rFonts w:ascii="宋体" w:hAnsi="宋体" w:cs="宋体" w:eastAsia="宋体" w:hint="default"/>
                <w:w w:val="100"/>
                <w:sz w:val="21"/>
                <w:szCs w:val="21"/>
              </w:rPr>
              <w:t>修正</w:t>
            </w:r>
            <w:r>
              <w:rPr>
                <w:rFonts w:ascii="宋体" w:hAnsi="宋体" w:cs="宋体" w:eastAsia="宋体" w:hint="default"/>
                <w:spacing w:val="-3"/>
                <w:w w:val="100"/>
                <w:sz w:val="21"/>
                <w:szCs w:val="21"/>
              </w:rPr>
              <w:t>案</w:t>
            </w:r>
            <w:r>
              <w:rPr>
                <w:rFonts w:ascii="宋体" w:hAnsi="宋体" w:cs="宋体" w:eastAsia="宋体" w:hint="default"/>
                <w:w w:val="100"/>
                <w:sz w:val="21"/>
                <w:szCs w:val="21"/>
              </w:rPr>
              <w:t>》</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37"/>
              <w:ind w:left="21"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w:t>
            </w:r>
            <w:hyperlink r:id="rId12">
              <w:r>
                <w:rPr>
                  <w:rFonts w:ascii="Times New Roman" w:hAnsi="Times New Roman" w:cs="Times New Roman" w:eastAsia="Times New Roman" w:hint="default"/>
                  <w:spacing w:val="-2"/>
                  <w:sz w:val="21"/>
                  <w:szCs w:val="21"/>
                </w:rPr>
                <w:t>www.cninfo.com.cn</w:t>
              </w:r>
            </w:hyperlink>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91"/>
              <w:ind w:left="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3"/>
        <w:rPr>
          <w:rFonts w:ascii="宋体" w:hAnsi="宋体" w:cs="宋体" w:eastAsia="宋体" w:hint="default"/>
          <w:b/>
          <w:bCs/>
          <w:sz w:val="19"/>
          <w:szCs w:val="19"/>
        </w:rPr>
      </w:pPr>
    </w:p>
    <w:p>
      <w:pPr>
        <w:spacing w:before="36"/>
        <w:ind w:left="658" w:right="253" w:firstLine="0"/>
        <w:jc w:val="left"/>
        <w:rPr>
          <w:rFonts w:ascii="宋体" w:hAnsi="宋体" w:cs="宋体" w:eastAsia="宋体" w:hint="default"/>
          <w:sz w:val="21"/>
          <w:szCs w:val="21"/>
        </w:rPr>
      </w:pPr>
      <w:bookmarkStart w:name="_bookmark102" w:id="103"/>
      <w:bookmarkEnd w:id="10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、本报告期临时股东大会情况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78" w:type="dxa"/>
        <w:tblLayout w:type="fixed"/>
        <w:tblCellMar>
          <w:top w:w="0" w:type="dxa"/>
          <w:left w:w="0" w:type="dxa"/>
          <w:bottom w:w="0" w:type="dxa"/>
          <w:right w:w="0" w:type="dxa"/>
        </w:tblCellMar>
        <w:tblLook w:val="01E0"/>
      </w:tblPr>
      <w:tblGrid>
        <w:gridCol w:w="1702"/>
        <w:gridCol w:w="1702"/>
        <w:gridCol w:w="2693"/>
        <w:gridCol w:w="1844"/>
        <w:gridCol w:w="1702"/>
      </w:tblGrid>
      <w:tr>
        <w:trPr>
          <w:trHeight w:val="63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24"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24"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会议内容</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80" w:right="68" w:hanging="106"/>
              <w:jc w:val="left"/>
              <w:rPr>
                <w:rFonts w:ascii="宋体" w:hAnsi="宋体" w:cs="宋体" w:eastAsia="宋体" w:hint="default"/>
                <w:sz w:val="21"/>
                <w:szCs w:val="21"/>
              </w:rPr>
            </w:pPr>
            <w:r>
              <w:rPr>
                <w:rFonts w:ascii="宋体" w:hAnsi="宋体" w:cs="宋体" w:eastAsia="宋体" w:hint="default"/>
                <w:b/>
                <w:bCs/>
                <w:sz w:val="21"/>
                <w:szCs w:val="21"/>
              </w:rPr>
              <w:t>会议决议刊登的指</w:t>
            </w:r>
            <w:r>
              <w:rPr>
                <w:rFonts w:ascii="宋体" w:hAnsi="宋体" w:cs="宋体" w:eastAsia="宋体" w:hint="default"/>
                <w:b/>
                <w:bCs/>
                <w:spacing w:val="-103"/>
                <w:sz w:val="21"/>
                <w:szCs w:val="21"/>
              </w:rPr>
              <w:t> </w:t>
            </w:r>
            <w:r>
              <w:rPr>
                <w:rFonts w:ascii="宋体" w:hAnsi="宋体" w:cs="宋体" w:eastAsia="宋体" w:hint="default"/>
                <w:b/>
                <w:bCs/>
                <w:sz w:val="21"/>
                <w:szCs w:val="21"/>
              </w:rPr>
              <w:t>定网站查询索引</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11" w:right="107" w:hanging="106"/>
              <w:jc w:val="left"/>
              <w:rPr>
                <w:rFonts w:ascii="宋体" w:hAnsi="宋体" w:cs="宋体" w:eastAsia="宋体" w:hint="default"/>
                <w:sz w:val="21"/>
                <w:szCs w:val="21"/>
              </w:rPr>
            </w:pPr>
            <w:r>
              <w:rPr>
                <w:rFonts w:ascii="宋体" w:hAnsi="宋体" w:cs="宋体" w:eastAsia="宋体" w:hint="default"/>
                <w:b/>
                <w:bCs/>
                <w:sz w:val="21"/>
                <w:szCs w:val="21"/>
              </w:rPr>
              <w:t>会议决议刊登的</w:t>
            </w:r>
            <w:r>
              <w:rPr>
                <w:rFonts w:ascii="宋体" w:hAnsi="宋体" w:cs="宋体" w:eastAsia="宋体" w:hint="default"/>
                <w:b/>
                <w:bCs/>
                <w:spacing w:val="-104"/>
                <w:sz w:val="21"/>
                <w:szCs w:val="21"/>
              </w:rPr>
              <w:t> </w:t>
            </w:r>
            <w:r>
              <w:rPr>
                <w:rFonts w:ascii="宋体" w:hAnsi="宋体" w:cs="宋体" w:eastAsia="宋体" w:hint="default"/>
                <w:b/>
                <w:bCs/>
                <w:sz w:val="21"/>
                <w:szCs w:val="21"/>
              </w:rPr>
              <w:t>信息披露日期</w:t>
            </w:r>
            <w:r>
              <w:rPr>
                <w:rFonts w:ascii="宋体" w:hAnsi="宋体" w:cs="宋体" w:eastAsia="宋体" w:hint="default"/>
                <w:sz w:val="21"/>
                <w:szCs w:val="21"/>
              </w:rPr>
            </w:r>
          </w:p>
        </w:tc>
      </w:tr>
      <w:tr>
        <w:trPr>
          <w:trHeight w:val="948"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143"/>
              <w:ind w:left="23" w:right="141"/>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年第一次临</w:t>
            </w:r>
            <w:r>
              <w:rPr>
                <w:rFonts w:ascii="宋体" w:hAnsi="宋体" w:cs="宋体" w:eastAsia="宋体" w:hint="default"/>
                <w:w w:val="100"/>
                <w:sz w:val="21"/>
                <w:szCs w:val="21"/>
              </w:rPr>
              <w:t> </w:t>
            </w:r>
            <w:r>
              <w:rPr>
                <w:rFonts w:ascii="宋体" w:hAnsi="宋体" w:cs="宋体" w:eastAsia="宋体" w:hint="default"/>
                <w:sz w:val="21"/>
                <w:szCs w:val="21"/>
              </w:rPr>
              <w:t>时股东大会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left="24"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2693" w:type="dxa"/>
            <w:tcBorders>
              <w:top w:val="single" w:sz="4" w:space="0" w:color="000000"/>
              <w:left w:val="single" w:sz="4" w:space="0" w:color="000000"/>
              <w:bottom w:val="single" w:sz="4" w:space="0" w:color="000000"/>
              <w:right w:val="single" w:sz="13" w:space="0" w:color="FFFFFF"/>
            </w:tcBorders>
          </w:tcPr>
          <w:p>
            <w:pPr>
              <w:pStyle w:val="TableParagraph"/>
              <w:spacing w:line="264" w:lineRule="auto"/>
              <w:ind w:left="21" w:right="99"/>
              <w:jc w:val="left"/>
              <w:rPr>
                <w:rFonts w:ascii="宋体" w:hAnsi="宋体" w:cs="宋体" w:eastAsia="宋体" w:hint="default"/>
                <w:sz w:val="21"/>
                <w:szCs w:val="21"/>
              </w:rPr>
            </w:pPr>
            <w:r>
              <w:rPr>
                <w:rFonts w:ascii="宋体" w:hAnsi="宋体" w:cs="宋体" w:eastAsia="宋体" w:hint="default"/>
                <w:sz w:val="21"/>
                <w:szCs w:val="21"/>
              </w:rPr>
              <w:t>《董事、监事薪酬管理制</w:t>
            </w:r>
            <w:r>
              <w:rPr>
                <w:rFonts w:ascii="宋体" w:hAnsi="宋体" w:cs="宋体" w:eastAsia="宋体" w:hint="default"/>
                <w:w w:val="100"/>
                <w:sz w:val="21"/>
                <w:szCs w:val="21"/>
              </w:rPr>
              <w:t> </w:t>
            </w:r>
            <w:r>
              <w:rPr>
                <w:rFonts w:ascii="宋体" w:hAnsi="宋体" w:cs="宋体" w:eastAsia="宋体" w:hint="default"/>
                <w:sz w:val="21"/>
                <w:szCs w:val="21"/>
              </w:rPr>
              <w:t>审议《关于修订</w:t>
            </w:r>
            <w:r>
              <w:rPr>
                <w:rFonts w:ascii="Times New Roman" w:hAnsi="Times New Roman" w:cs="Times New Roman" w:eastAsia="Times New Roman" w:hint="default"/>
                <w:sz w:val="21"/>
                <w:szCs w:val="21"/>
              </w:rPr>
              <w:t>&lt;</w:t>
            </w:r>
            <w:r>
              <w:rPr>
                <w:rFonts w:ascii="宋体" w:hAnsi="宋体" w:cs="宋体" w:eastAsia="宋体" w:hint="default"/>
                <w:sz w:val="21"/>
                <w:szCs w:val="21"/>
              </w:rPr>
              <w:t>公司章程</w:t>
            </w:r>
            <w:r>
              <w:rPr>
                <w:rFonts w:ascii="Times New Roman" w:hAnsi="Times New Roman" w:cs="Times New Roman" w:eastAsia="Times New Roman" w:hint="default"/>
                <w:sz w:val="21"/>
                <w:szCs w:val="21"/>
              </w:rPr>
              <w:t>&gt;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的议案》</w:t>
            </w:r>
          </w:p>
        </w:tc>
        <w:tc>
          <w:tcPr>
            <w:tcW w:w="1844" w:type="dxa"/>
            <w:tcBorders>
              <w:top w:val="single" w:sz="4" w:space="0" w:color="000000"/>
              <w:left w:val="single" w:sz="13" w:space="0" w:color="FFFFFF"/>
              <w:bottom w:val="single" w:sz="4" w:space="0" w:color="000000"/>
              <w:right w:val="single" w:sz="4" w:space="0" w:color="000000"/>
            </w:tcBorders>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56" w:lineRule="auto" w:before="37"/>
              <w:ind w:left="12" w:right="101"/>
              <w:jc w:val="left"/>
              <w:rPr>
                <w:rFonts w:ascii="宋体" w:hAnsi="宋体" w:cs="宋体" w:eastAsia="宋体" w:hint="default"/>
                <w:sz w:val="21"/>
                <w:szCs w:val="21"/>
              </w:rPr>
            </w:pPr>
            <w:r>
              <w:rPr>
                <w:rFonts w:ascii="宋体" w:hAnsi="宋体" w:cs="宋体" w:eastAsia="宋体" w:hint="default"/>
                <w:spacing w:val="-2"/>
                <w:sz w:val="21"/>
                <w:szCs w:val="21"/>
              </w:rPr>
              <w:t>（</w:t>
            </w:r>
            <w:hyperlink r:id="rId29">
              <w:r>
                <w:rPr>
                  <w:rFonts w:ascii="Times New Roman" w:hAnsi="Times New Roman" w:cs="Times New Roman" w:eastAsia="Times New Roman" w:hint="default"/>
                  <w:spacing w:val="-2"/>
                  <w:sz w:val="21"/>
                  <w:szCs w:val="21"/>
                </w:rPr>
                <w:t>www.cninfo.com.</w:t>
              </w:r>
            </w:hyperlink>
            <w:r>
              <w:rPr>
                <w:rFonts w:ascii="Times New Roman" w:hAnsi="Times New Roman" w:cs="Times New Roman" w:eastAsia="Times New Roman" w:hint="default"/>
                <w:spacing w:val="-38"/>
                <w:sz w:val="21"/>
                <w:szCs w:val="21"/>
              </w:rPr>
              <w:t> </w:t>
            </w:r>
            <w:r>
              <w:rPr>
                <w:rFonts w:ascii="Times New Roman" w:hAnsi="Times New Roman" w:cs="Times New Roman" w:eastAsia="Times New Roman" w:hint="default"/>
                <w:spacing w:val="-38"/>
                <w:sz w:val="21"/>
                <w:szCs w:val="21"/>
              </w:rPr>
            </w:r>
            <w:r>
              <w:rPr>
                <w:rFonts w:ascii="Times New Roman" w:hAnsi="Times New Roman" w:cs="Times New Roman" w:eastAsia="Times New Roman" w:hint="default"/>
                <w:sz w:val="21"/>
                <w:szCs w:val="21"/>
              </w:rPr>
              <w:t>cn</w:t>
            </w:r>
            <w:r>
              <w:rPr>
                <w:rFonts w:ascii="宋体" w:hAnsi="宋体" w:cs="宋体" w:eastAsia="宋体"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10"/>
                <w:sz w:val="21"/>
                <w:szCs w:val="21"/>
              </w:rPr>
              <w:t>11</w:t>
            </w:r>
            <w:r>
              <w:rPr>
                <w:rFonts w:ascii="Times New Roman" w:hAnsi="Times New Roman" w:cs="Times New Roman" w:eastAsia="Times New Roman" w:hint="default"/>
                <w:sz w:val="21"/>
                <w:szCs w:val="21"/>
              </w:rPr>
            </w:r>
          </w:p>
          <w:p>
            <w:pPr>
              <w:pStyle w:val="TableParagraph"/>
              <w:spacing w:line="240" w:lineRule="auto" w:before="21"/>
              <w:ind w:left="21" w:right="0"/>
              <w:jc w:val="left"/>
              <w:rPr>
                <w:rFonts w:ascii="宋体" w:hAnsi="宋体" w:cs="宋体" w:eastAsia="宋体" w:hint="default"/>
                <w:sz w:val="21"/>
                <w:szCs w:val="21"/>
              </w:rPr>
            </w:pPr>
            <w:r>
              <w:rPr>
                <w:rFonts w:ascii="宋体" w:hAnsi="宋体" w:cs="宋体" w:eastAsia="宋体" w:hint="default"/>
                <w:w w:val="100"/>
                <w:sz w:val="21"/>
                <w:szCs w:val="21"/>
              </w:rPr>
              <w:t>日</w:t>
            </w:r>
          </w:p>
        </w:tc>
      </w:tr>
    </w:tbl>
    <w:p>
      <w:pPr>
        <w:spacing w:line="240" w:lineRule="auto" w:before="1"/>
        <w:rPr>
          <w:rFonts w:ascii="宋体" w:hAnsi="宋体" w:cs="宋体" w:eastAsia="宋体" w:hint="default"/>
          <w:b/>
          <w:bCs/>
          <w:sz w:val="18"/>
          <w:szCs w:val="18"/>
        </w:rPr>
      </w:pPr>
    </w:p>
    <w:p>
      <w:pPr>
        <w:pStyle w:val="Heading4"/>
        <w:spacing w:line="240" w:lineRule="auto" w:before="26"/>
        <w:ind w:left="658" w:right="253"/>
        <w:jc w:val="left"/>
        <w:rPr>
          <w:b w:val="0"/>
          <w:bCs w:val="0"/>
        </w:rPr>
      </w:pPr>
      <w:r>
        <w:rPr/>
        <w:pict>
          <v:shape style="position:absolute;margin-left:353.229218pt;margin-top:-59.224361pt;width:108.55pt;height:15.6pt;mso-position-horizontal-relative:page;mso-position-vertical-relative:paragraph;z-index:-918064"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度》</w:t>
                  </w:r>
                </w:p>
              </w:txbxContent>
            </v:textbox>
            <w10:wrap type="none"/>
          </v:shape>
        </w:pict>
      </w:r>
      <w:r>
        <w:rPr/>
        <w:pict>
          <v:group style="position:absolute;margin-left:372.429993pt;margin-top:-59.224361pt;width:89.35pt;height:15.6pt;mso-position-horizontal-relative:page;mso-position-vertical-relative:paragraph;z-index:-918016" coordorigin="7449,-1184" coordsize="1787,312">
            <v:shape style="position:absolute;left:7449;top:-1184;width:1787;height:312" coordorigin="7449,-1184" coordsize="1787,312" path="m7449,-872l9235,-872,9235,-1184,7449,-1184,7449,-872xe" filled="true" fillcolor="#ffffff" stroked="false">
              <v:path arrowok="t"/>
              <v:fill type="solid"/>
            </v:shape>
            <w10:wrap type="none"/>
          </v:group>
        </w:pict>
      </w:r>
      <w:r>
        <w:rPr/>
        <w:pict>
          <v:group style="position:absolute;margin-left:405.670013pt;margin-top:81.555641pt;width:77.55pt;height:70.2pt;mso-position-horizontal-relative:page;mso-position-vertical-relative:paragraph;z-index:-917992" coordorigin="8113,1631" coordsize="1551,1404">
            <v:group style="position:absolute;left:8113;top:1631;width:1551;height:1092" coordorigin="8113,1631" coordsize="1551,1092">
              <v:shape style="position:absolute;left:8113;top:1631;width:1551;height:1092" coordorigin="8113,1631" coordsize="1551,1092" path="m8113,2723l9664,2723,9664,1631,8113,1631,8113,2723xe" filled="true" fillcolor="#ffffff" stroked="false">
                <v:path arrowok="t"/>
                <v:fill type="solid"/>
              </v:shape>
            </v:group>
            <v:group style="position:absolute;left:8137;top:2723;width:1503;height:312" coordorigin="8137,2723" coordsize="1503,312">
              <v:shape style="position:absolute;left:8137;top:2723;width:1503;height:312" coordorigin="8137,2723" coordsize="1503,312" path="m8137,3035l9640,3035,9640,2723,8137,2723,8137,3035xe" filled="true" fillcolor="#ffffff" stroked="false">
                <v:path arrowok="t"/>
                <v:fill type="solid"/>
              </v:shape>
            </v:group>
            <w10:wrap type="none"/>
          </v:group>
        </w:pict>
      </w:r>
      <w:bookmarkStart w:name="_bookmark103" w:id="104"/>
      <w:bookmarkEnd w:id="104"/>
      <w:r>
        <w:rPr>
          <w:b w:val="0"/>
          <w:bCs w:val="0"/>
        </w:rPr>
      </w: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22" w:type="dxa"/>
        <w:tblLayout w:type="fixed"/>
        <w:tblCellMar>
          <w:top w:w="0" w:type="dxa"/>
          <w:left w:w="0" w:type="dxa"/>
          <w:bottom w:w="0" w:type="dxa"/>
          <w:right w:w="0" w:type="dxa"/>
        </w:tblCellMar>
        <w:tblLook w:val="01E0"/>
      </w:tblPr>
      <w:tblGrid>
        <w:gridCol w:w="1171"/>
        <w:gridCol w:w="1135"/>
        <w:gridCol w:w="4537"/>
        <w:gridCol w:w="1558"/>
        <w:gridCol w:w="1351"/>
      </w:tblGrid>
      <w:tr>
        <w:trPr>
          <w:trHeight w:val="946" w:hRule="exact"/>
        </w:trPr>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141"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c>
          <w:tcPr>
            <w:tcW w:w="4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会议内容</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3" w:right="34"/>
              <w:jc w:val="center"/>
              <w:rPr>
                <w:rFonts w:ascii="宋体" w:hAnsi="宋体" w:cs="宋体" w:eastAsia="宋体" w:hint="default"/>
                <w:sz w:val="21"/>
                <w:szCs w:val="21"/>
              </w:rPr>
            </w:pPr>
            <w:r>
              <w:rPr>
                <w:rFonts w:ascii="宋体" w:hAnsi="宋体" w:cs="宋体" w:eastAsia="宋体" w:hint="default"/>
                <w:b/>
                <w:bCs/>
                <w:sz w:val="21"/>
                <w:szCs w:val="21"/>
              </w:rPr>
              <w:t>会议决议刊登的</w:t>
            </w:r>
            <w:r>
              <w:rPr>
                <w:rFonts w:ascii="宋体" w:hAnsi="宋体" w:cs="宋体" w:eastAsia="宋体" w:hint="default"/>
                <w:b/>
                <w:bCs/>
                <w:w w:val="100"/>
                <w:sz w:val="21"/>
                <w:szCs w:val="21"/>
              </w:rPr>
              <w:t> </w:t>
            </w:r>
            <w:r>
              <w:rPr>
                <w:rFonts w:ascii="宋体" w:hAnsi="宋体" w:cs="宋体" w:eastAsia="宋体" w:hint="default"/>
                <w:b/>
                <w:bCs/>
                <w:sz w:val="21"/>
                <w:szCs w:val="21"/>
              </w:rPr>
              <w:t>指定网站查询索</w:t>
            </w:r>
            <w:r>
              <w:rPr>
                <w:rFonts w:ascii="宋体" w:hAnsi="宋体" w:cs="宋体" w:eastAsia="宋体" w:hint="default"/>
                <w:b/>
                <w:bCs/>
                <w:w w:val="100"/>
                <w:sz w:val="21"/>
                <w:szCs w:val="21"/>
              </w:rPr>
              <w:t> </w:t>
            </w:r>
            <w:r>
              <w:rPr>
                <w:rFonts w:ascii="宋体" w:hAnsi="宋体" w:cs="宋体" w:eastAsia="宋体" w:hint="default"/>
                <w:b/>
                <w:bCs/>
                <w:sz w:val="21"/>
                <w:szCs w:val="21"/>
              </w:rPr>
              <w:t>引</w:t>
            </w:r>
            <w:r>
              <w:rPr>
                <w:rFonts w:ascii="宋体" w:hAnsi="宋体" w:cs="宋体" w:eastAsia="宋体" w:hint="default"/>
                <w:sz w:val="21"/>
                <w:szCs w:val="21"/>
              </w:rPr>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8" w:right="35"/>
              <w:jc w:val="center"/>
              <w:rPr>
                <w:rFonts w:ascii="宋体" w:hAnsi="宋体" w:cs="宋体" w:eastAsia="宋体" w:hint="default"/>
                <w:sz w:val="21"/>
                <w:szCs w:val="21"/>
              </w:rPr>
            </w:pPr>
            <w:r>
              <w:rPr>
                <w:rFonts w:ascii="宋体" w:hAnsi="宋体" w:cs="宋体" w:eastAsia="宋体" w:hint="default"/>
                <w:b/>
                <w:bCs/>
                <w:sz w:val="21"/>
                <w:szCs w:val="21"/>
              </w:rPr>
              <w:t>会议决议刊登</w:t>
            </w:r>
            <w:r>
              <w:rPr>
                <w:rFonts w:ascii="宋体" w:hAnsi="宋体" w:cs="宋体" w:eastAsia="宋体" w:hint="default"/>
                <w:b/>
                <w:bCs/>
                <w:w w:val="100"/>
                <w:sz w:val="21"/>
                <w:szCs w:val="21"/>
              </w:rPr>
              <w:t> </w:t>
            </w:r>
            <w:r>
              <w:rPr>
                <w:rFonts w:ascii="宋体" w:hAnsi="宋体" w:cs="宋体" w:eastAsia="宋体" w:hint="default"/>
                <w:b/>
                <w:bCs/>
                <w:sz w:val="21"/>
                <w:szCs w:val="21"/>
              </w:rPr>
              <w:t>的信息披露日</w:t>
            </w:r>
            <w:r>
              <w:rPr>
                <w:rFonts w:ascii="宋体" w:hAnsi="宋体" w:cs="宋体" w:eastAsia="宋体" w:hint="default"/>
                <w:b/>
                <w:bCs/>
                <w:w w:val="100"/>
                <w:sz w:val="21"/>
                <w:szCs w:val="21"/>
              </w:rPr>
              <w:t> </w:t>
            </w:r>
            <w:r>
              <w:rPr>
                <w:rFonts w:ascii="宋体" w:hAnsi="宋体" w:cs="宋体" w:eastAsia="宋体" w:hint="default"/>
                <w:b/>
                <w:bCs/>
                <w:sz w:val="21"/>
                <w:szCs w:val="21"/>
              </w:rPr>
              <w:t>期</w:t>
            </w:r>
            <w:r>
              <w:rPr>
                <w:rFonts w:ascii="宋体" w:hAnsi="宋体" w:cs="宋体" w:eastAsia="宋体" w:hint="default"/>
                <w:sz w:val="21"/>
                <w:szCs w:val="21"/>
              </w:rPr>
            </w:r>
          </w:p>
        </w:tc>
      </w:tr>
      <w:tr>
        <w:trPr>
          <w:trHeight w:val="313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73" w:lineRule="auto"/>
              <w:ind w:left="160" w:right="50" w:hanging="106"/>
              <w:jc w:val="left"/>
              <w:rPr>
                <w:rFonts w:ascii="宋体" w:hAnsi="宋体" w:cs="宋体" w:eastAsia="宋体" w:hint="default"/>
                <w:sz w:val="21"/>
                <w:szCs w:val="21"/>
              </w:rPr>
            </w:pPr>
            <w:r>
              <w:rPr>
                <w:rFonts w:ascii="宋体" w:hAnsi="宋体" w:cs="宋体" w:eastAsia="宋体" w:hint="default"/>
                <w:sz w:val="21"/>
                <w:szCs w:val="21"/>
              </w:rPr>
              <w:t>第二届第六</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次董事会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5"/>
              <w:ind w:right="0"/>
              <w:jc w:val="left"/>
              <w:rPr>
                <w:rFonts w:ascii="宋体" w:hAnsi="宋体" w:cs="宋体" w:eastAsia="宋体" w:hint="default"/>
                <w:b/>
                <w:bCs/>
                <w:sz w:val="28"/>
                <w:szCs w:val="2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03</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537" w:type="dxa"/>
            <w:tcBorders>
              <w:top w:val="single" w:sz="4" w:space="0" w:color="000000"/>
              <w:left w:val="single" w:sz="4" w:space="0" w:color="000000"/>
              <w:bottom w:val="single" w:sz="4" w:space="0" w:color="000000"/>
              <w:right w:val="single" w:sz="10" w:space="0" w:color="FFFFFF"/>
            </w:tcBorders>
          </w:tcPr>
          <w:p>
            <w:pPr>
              <w:pStyle w:val="TableParagraph"/>
              <w:spacing w:line="256" w:lineRule="auto"/>
              <w:ind w:left="21" w:right="12"/>
              <w:jc w:val="both"/>
              <w:rPr>
                <w:rFonts w:ascii="宋体" w:hAnsi="宋体" w:cs="宋体" w:eastAsia="宋体" w:hint="default"/>
                <w:sz w:val="21"/>
                <w:szCs w:val="21"/>
              </w:rPr>
            </w:pP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spacing w:val="-13"/>
                <w:w w:val="100"/>
                <w:sz w:val="21"/>
                <w:szCs w:val="21"/>
              </w:rPr>
              <w:t>过</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总经</w:t>
            </w:r>
            <w:r>
              <w:rPr>
                <w:rFonts w:ascii="宋体" w:hAnsi="宋体" w:cs="宋体" w:eastAsia="宋体" w:hint="default"/>
                <w:w w:val="100"/>
                <w:sz w:val="21"/>
                <w:szCs w:val="21"/>
              </w:rPr>
              <w:t>理工</w:t>
            </w:r>
            <w:r>
              <w:rPr>
                <w:rFonts w:ascii="宋体" w:hAnsi="宋体" w:cs="宋体" w:eastAsia="宋体" w:hint="default"/>
                <w:spacing w:val="-3"/>
                <w:w w:val="100"/>
                <w:sz w:val="21"/>
                <w:szCs w:val="21"/>
              </w:rPr>
              <w:t>作</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11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 董事</w:t>
            </w:r>
            <w:r>
              <w:rPr>
                <w:rFonts w:ascii="宋体" w:hAnsi="宋体" w:cs="宋体" w:eastAsia="宋体" w:hint="default"/>
                <w:spacing w:val="-3"/>
                <w:w w:val="100"/>
                <w:sz w:val="21"/>
                <w:szCs w:val="21"/>
              </w:rPr>
              <w:t>会</w:t>
            </w:r>
            <w:r>
              <w:rPr>
                <w:rFonts w:ascii="宋体" w:hAnsi="宋体" w:cs="宋体" w:eastAsia="宋体" w:hint="default"/>
                <w:w w:val="100"/>
                <w:sz w:val="21"/>
                <w:szCs w:val="21"/>
              </w:rPr>
              <w:t>工</w:t>
            </w:r>
            <w:r>
              <w:rPr>
                <w:rFonts w:ascii="宋体" w:hAnsi="宋体" w:cs="宋体" w:eastAsia="宋体" w:hint="default"/>
                <w:spacing w:val="-3"/>
                <w:w w:val="100"/>
                <w:sz w:val="21"/>
                <w:szCs w:val="21"/>
              </w:rPr>
              <w:t>作</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200"/>
                <w:w w:val="100"/>
                <w:sz w:val="21"/>
                <w:szCs w:val="21"/>
              </w:rPr>
              <w:t>、</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年度</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决</w:t>
            </w:r>
            <w:r>
              <w:rPr>
                <w:rFonts w:ascii="宋体" w:hAnsi="宋体" w:cs="宋体" w:eastAsia="宋体" w:hint="default"/>
                <w:w w:val="100"/>
                <w:sz w:val="21"/>
                <w:szCs w:val="21"/>
              </w:rPr>
              <w:t>算</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200"/>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w w:val="100"/>
                <w:sz w:val="21"/>
                <w:szCs w:val="21"/>
              </w:rPr>
              <w:t> 司</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预</w:t>
            </w:r>
            <w:r>
              <w:rPr>
                <w:rFonts w:ascii="宋体" w:hAnsi="宋体" w:cs="宋体" w:eastAsia="宋体" w:hint="default"/>
                <w:spacing w:val="-3"/>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180"/>
                <w:w w:val="100"/>
                <w:sz w:val="21"/>
                <w:szCs w:val="21"/>
              </w:rPr>
              <w:t>、</w:t>
            </w:r>
            <w:r>
              <w:rPr>
                <w:rFonts w:ascii="宋体" w:hAnsi="宋体" w:cs="宋体" w:eastAsia="宋体" w:hint="default"/>
                <w:spacing w:val="-1"/>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w:t>
            </w:r>
            <w:r>
              <w:rPr>
                <w:rFonts w:ascii="宋体" w:hAnsi="宋体" w:cs="宋体" w:eastAsia="宋体" w:hint="default"/>
                <w:spacing w:val="-3"/>
                <w:w w:val="100"/>
                <w:sz w:val="21"/>
                <w:szCs w:val="21"/>
              </w:rPr>
              <w:t>告</w:t>
            </w:r>
            <w:r>
              <w:rPr>
                <w:rFonts w:ascii="宋体" w:hAnsi="宋体" w:cs="宋体" w:eastAsia="宋体" w:hint="default"/>
                <w:w w:val="100"/>
                <w:sz w:val="21"/>
                <w:szCs w:val="21"/>
              </w:rPr>
              <w:t>全文</w:t>
            </w:r>
            <w:r>
              <w:rPr>
                <w:rFonts w:ascii="宋体" w:hAnsi="宋体" w:cs="宋体" w:eastAsia="宋体" w:hint="default"/>
                <w:w w:val="100"/>
                <w:sz w:val="21"/>
                <w:szCs w:val="21"/>
              </w:rPr>
              <w:t> 及摘</w:t>
            </w:r>
            <w:r>
              <w:rPr>
                <w:rFonts w:ascii="宋体" w:hAnsi="宋体" w:cs="宋体" w:eastAsia="宋体" w:hint="default"/>
                <w:spacing w:val="-3"/>
                <w:w w:val="100"/>
                <w:sz w:val="21"/>
                <w:szCs w:val="21"/>
              </w:rPr>
              <w:t>要</w:t>
            </w:r>
            <w:r>
              <w:rPr>
                <w:rFonts w:ascii="宋体" w:hAnsi="宋体" w:cs="宋体" w:eastAsia="宋体" w:hint="default"/>
                <w:spacing w:val="-106"/>
                <w:w w:val="100"/>
                <w:sz w:val="21"/>
                <w:szCs w:val="21"/>
              </w:rPr>
              <w:t>》</w:t>
            </w:r>
            <w:r>
              <w:rPr>
                <w:rFonts w:ascii="宋体" w:hAnsi="宋体" w:cs="宋体" w:eastAsia="宋体" w:hint="default"/>
                <w:spacing w:val="-212"/>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公司</w:t>
            </w:r>
            <w:r>
              <w:rPr>
                <w:rFonts w:ascii="宋体" w:hAnsi="宋体" w:cs="宋体" w:eastAsia="宋体" w:hint="default"/>
                <w:spacing w:val="-67"/>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3"/>
                <w:w w:val="100"/>
                <w:sz w:val="21"/>
                <w:szCs w:val="21"/>
              </w:rPr>
              <w:t>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17"/>
                <w:sz w:val="21"/>
                <w:szCs w:val="21"/>
              </w:rPr>
              <w:t> </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内部</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自</w:t>
            </w:r>
            <w:r>
              <w:rPr>
                <w:rFonts w:ascii="宋体" w:hAnsi="宋体" w:cs="宋体" w:eastAsia="宋体" w:hint="default"/>
                <w:w w:val="100"/>
                <w:sz w:val="21"/>
                <w:szCs w:val="21"/>
              </w:rPr>
              <w:t>我</w:t>
            </w:r>
            <w:r>
              <w:rPr>
                <w:rFonts w:ascii="宋体" w:hAnsi="宋体" w:cs="宋体" w:eastAsia="宋体" w:hint="default"/>
                <w:spacing w:val="-3"/>
                <w:w w:val="100"/>
                <w:sz w:val="21"/>
                <w:szCs w:val="21"/>
              </w:rPr>
              <w:t>评</w:t>
            </w:r>
            <w:r>
              <w:rPr>
                <w:rFonts w:ascii="宋体" w:hAnsi="宋体" w:cs="宋体" w:eastAsia="宋体" w:hint="default"/>
                <w:w w:val="100"/>
                <w:sz w:val="21"/>
                <w:szCs w:val="21"/>
              </w:rPr>
              <w:t>价报</w:t>
            </w:r>
          </w:p>
          <w:p>
            <w:pPr>
              <w:pStyle w:val="TableParagraph"/>
              <w:spacing w:line="266" w:lineRule="auto" w:before="5"/>
              <w:ind w:left="21" w:right="12"/>
              <w:jc w:val="both"/>
              <w:rPr>
                <w:rFonts w:ascii="宋体" w:hAnsi="宋体" w:cs="宋体" w:eastAsia="宋体" w:hint="default"/>
                <w:sz w:val="21"/>
                <w:szCs w:val="21"/>
              </w:rPr>
            </w:pPr>
            <w:r>
              <w:rPr>
                <w:rFonts w:ascii="宋体" w:hAnsi="宋体" w:cs="宋体" w:eastAsia="宋体" w:hint="default"/>
                <w:spacing w:val="-8"/>
                <w:w w:val="100"/>
                <w:sz w:val="21"/>
                <w:szCs w:val="21"/>
              </w:rPr>
              <w:t>、《公司控股股东及其他关联方占用资金情况的专</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23"/>
                <w:w w:val="100"/>
                <w:sz w:val="21"/>
                <w:szCs w:val="21"/>
              </w:rPr>
              <w:t>项说明》、《</w:t>
            </w:r>
            <w:r>
              <w:rPr>
                <w:rFonts w:ascii="Times New Roman" w:hAnsi="Times New Roman" w:cs="Times New Roman" w:eastAsia="Times New Roman" w:hint="default"/>
                <w:spacing w:val="-23"/>
                <w:w w:val="100"/>
                <w:sz w:val="21"/>
                <w:szCs w:val="21"/>
              </w:rPr>
              <w:t>2011</w:t>
            </w:r>
            <w:r>
              <w:rPr>
                <w:rFonts w:ascii="Times New Roman" w:hAnsi="Times New Roman" w:cs="Times New Roman" w:eastAsia="Times New Roman" w:hint="default"/>
                <w:spacing w:val="31"/>
                <w:w w:val="100"/>
                <w:sz w:val="21"/>
                <w:szCs w:val="21"/>
              </w:rPr>
              <w:t> </w:t>
            </w:r>
            <w:r>
              <w:rPr>
                <w:rFonts w:ascii="宋体" w:hAnsi="宋体" w:cs="宋体" w:eastAsia="宋体" w:hint="default"/>
                <w:spacing w:val="-2"/>
                <w:w w:val="100"/>
                <w:sz w:val="21"/>
                <w:szCs w:val="21"/>
              </w:rPr>
              <w:t>年度募集资金存放与使用情况的</w:t>
            </w:r>
            <w:r>
              <w:rPr>
                <w:rFonts w:ascii="宋体" w:hAnsi="宋体" w:cs="宋体" w:eastAsia="宋体" w:hint="default"/>
                <w:spacing w:val="-102"/>
                <w:w w:val="100"/>
                <w:sz w:val="21"/>
                <w:szCs w:val="21"/>
              </w:rPr>
              <w:t> </w:t>
            </w:r>
            <w:r>
              <w:rPr>
                <w:rFonts w:ascii="宋体" w:hAnsi="宋体" w:cs="宋体" w:eastAsia="宋体" w:hint="default"/>
                <w:spacing w:val="-102"/>
                <w:w w:val="100"/>
                <w:sz w:val="21"/>
                <w:szCs w:val="21"/>
              </w:rPr>
            </w:r>
            <w:r>
              <w:rPr>
                <w:rFonts w:ascii="宋体" w:hAnsi="宋体" w:cs="宋体" w:eastAsia="宋体" w:hint="default"/>
                <w:spacing w:val="-25"/>
                <w:w w:val="100"/>
                <w:sz w:val="21"/>
                <w:szCs w:val="21"/>
              </w:rPr>
              <w:t>专项报告》、《关于续聘会计师事务所的议案》、《公</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8"/>
                <w:w w:val="100"/>
                <w:sz w:val="21"/>
                <w:szCs w:val="21"/>
              </w:rPr>
              <w:t>司章程修正案》、《关于对调整股票期权激励计划</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4"/>
                <w:w w:val="100"/>
                <w:sz w:val="21"/>
                <w:szCs w:val="21"/>
              </w:rPr>
              <w:t>对象人数及期权数量的议案》、《关于召开</w:t>
            </w:r>
            <w:r>
              <w:rPr>
                <w:rFonts w:ascii="宋体" w:hAnsi="宋体" w:cs="宋体" w:eastAsia="宋体" w:hint="default"/>
                <w:spacing w:val="-51"/>
                <w:w w:val="100"/>
                <w:sz w:val="21"/>
                <w:szCs w:val="21"/>
              </w:rPr>
              <w:t> </w:t>
            </w: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年 </w:t>
            </w:r>
            <w:r>
              <w:rPr>
                <w:rFonts w:ascii="宋体" w:hAnsi="宋体" w:cs="宋体" w:eastAsia="宋体" w:hint="default"/>
                <w:sz w:val="21"/>
                <w:szCs w:val="21"/>
              </w:rPr>
              <w:t>度股东大会的议案》</w:t>
            </w:r>
          </w:p>
        </w:tc>
        <w:tc>
          <w:tcPr>
            <w:tcW w:w="155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5"/>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59" w:lineRule="auto" w:before="37"/>
              <w:ind w:left="19" w:right="27"/>
              <w:jc w:val="center"/>
              <w:rPr>
                <w:rFonts w:ascii="宋体" w:hAnsi="宋体" w:cs="宋体" w:eastAsia="宋体" w:hint="default"/>
                <w:sz w:val="21"/>
                <w:szCs w:val="21"/>
              </w:rPr>
            </w:pPr>
            <w:r>
              <w:rPr>
                <w:rFonts w:ascii="宋体" w:hAnsi="宋体" w:cs="宋体" w:eastAsia="宋体" w:hint="default"/>
                <w:spacing w:val="-2"/>
                <w:sz w:val="21"/>
                <w:szCs w:val="21"/>
              </w:rPr>
              <w:t>（</w:t>
            </w:r>
            <w:hyperlink r:id="rId30">
              <w:r>
                <w:rPr>
                  <w:rFonts w:ascii="Times New Roman" w:hAnsi="Times New Roman" w:cs="Times New Roman" w:eastAsia="Times New Roman" w:hint="default"/>
                  <w:spacing w:val="-2"/>
                  <w:sz w:val="21"/>
                  <w:szCs w:val="21"/>
                </w:rPr>
                <w:t>www.cninfo.co</w:t>
              </w:r>
            </w:hyperlink>
            <w:r>
              <w:rPr>
                <w:rFonts w:ascii="Times New Roman" w:hAnsi="Times New Roman" w:cs="Times New Roman" w:eastAsia="Times New Roman" w:hint="default"/>
                <w:spacing w:val="-50"/>
                <w:sz w:val="21"/>
                <w:szCs w:val="21"/>
              </w:rPr>
              <w:t> </w:t>
            </w:r>
            <w:r>
              <w:rPr>
                <w:rFonts w:ascii="Times New Roman" w:hAnsi="Times New Roman" w:cs="Times New Roman" w:eastAsia="Times New Roman" w:hint="default"/>
                <w:spacing w:val="-50"/>
                <w:sz w:val="21"/>
                <w:szCs w:val="21"/>
              </w:rPr>
            </w:r>
            <w:r>
              <w:rPr>
                <w:rFonts w:ascii="Times New Roman" w:hAnsi="Times New Roman" w:cs="Times New Roman" w:eastAsia="Times New Roman" w:hint="default"/>
                <w:sz w:val="21"/>
                <w:szCs w:val="21"/>
              </w:rPr>
              <w:t>m.cn</w:t>
            </w:r>
            <w:r>
              <w:rPr>
                <w:rFonts w:ascii="宋体" w:hAnsi="宋体" w:cs="宋体" w:eastAsia="宋体" w:hint="default"/>
                <w:sz w:val="21"/>
                <w:szCs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5"/>
              <w:ind w:right="0"/>
              <w:jc w:val="left"/>
              <w:rPr>
                <w:rFonts w:ascii="宋体" w:hAnsi="宋体" w:cs="宋体" w:eastAsia="宋体" w:hint="default"/>
                <w:b/>
                <w:bCs/>
                <w:sz w:val="28"/>
                <w:szCs w:val="28"/>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636"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160" w:right="50" w:hanging="106"/>
              <w:jc w:val="left"/>
              <w:rPr>
                <w:rFonts w:ascii="宋体" w:hAnsi="宋体" w:cs="宋体" w:eastAsia="宋体" w:hint="default"/>
                <w:sz w:val="21"/>
                <w:szCs w:val="21"/>
              </w:rPr>
            </w:pPr>
            <w:r>
              <w:rPr>
                <w:rFonts w:ascii="宋体" w:hAnsi="宋体" w:cs="宋体" w:eastAsia="宋体" w:hint="default"/>
                <w:sz w:val="21"/>
                <w:szCs w:val="21"/>
              </w:rPr>
              <w:t>第二届第七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次董事会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81"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04</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9"/>
              <w:jc w:val="left"/>
              <w:rPr>
                <w:rFonts w:ascii="宋体" w:hAnsi="宋体" w:cs="宋体" w:eastAsia="宋体" w:hint="default"/>
                <w:sz w:val="21"/>
                <w:szCs w:val="21"/>
              </w:rPr>
            </w:pPr>
            <w:r>
              <w:rPr>
                <w:rFonts w:ascii="宋体" w:hAnsi="宋体" w:cs="宋体" w:eastAsia="宋体" w:hint="default"/>
                <w:sz w:val="21"/>
                <w:szCs w:val="21"/>
              </w:rPr>
              <w:t>审议通过了公司《</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年第一季度报告全文及正</w:t>
            </w:r>
            <w:r>
              <w:rPr>
                <w:rFonts w:ascii="宋体" w:hAnsi="宋体" w:cs="宋体" w:eastAsia="宋体" w:hint="default"/>
                <w:w w:val="100"/>
                <w:sz w:val="21"/>
                <w:szCs w:val="21"/>
              </w:rPr>
              <w:t> </w:t>
            </w:r>
            <w:r>
              <w:rPr>
                <w:rFonts w:ascii="宋体" w:hAnsi="宋体" w:cs="宋体" w:eastAsia="宋体" w:hint="default"/>
                <w:sz w:val="21"/>
                <w:szCs w:val="21"/>
              </w:rPr>
              <w:t>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w:t>
            </w:r>
          </w:p>
        </w:tc>
      </w:tr>
      <w:tr>
        <w:trPr>
          <w:trHeight w:val="946"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60" w:right="50" w:hanging="106"/>
              <w:jc w:val="left"/>
              <w:rPr>
                <w:rFonts w:ascii="宋体" w:hAnsi="宋体" w:cs="宋体" w:eastAsia="宋体" w:hint="default"/>
                <w:sz w:val="21"/>
                <w:szCs w:val="21"/>
              </w:rPr>
            </w:pPr>
            <w:r>
              <w:rPr>
                <w:rFonts w:ascii="宋体" w:hAnsi="宋体" w:cs="宋体" w:eastAsia="宋体" w:hint="default"/>
                <w:sz w:val="21"/>
                <w:szCs w:val="21"/>
              </w:rPr>
              <w:t>第二届第八</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次董事会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05</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8"/>
              <w:jc w:val="left"/>
              <w:rPr>
                <w:rFonts w:ascii="宋体" w:hAnsi="宋体" w:cs="宋体" w:eastAsia="宋体" w:hint="default"/>
                <w:sz w:val="21"/>
                <w:szCs w:val="21"/>
              </w:rPr>
            </w:pPr>
            <w:r>
              <w:rPr>
                <w:rFonts w:ascii="宋体" w:hAnsi="宋体" w:cs="宋体" w:eastAsia="宋体" w:hint="default"/>
                <w:sz w:val="21"/>
                <w:szCs w:val="21"/>
              </w:rPr>
              <w:t>审议通过了《关于使用部分超募资金永久补充流</w:t>
            </w:r>
            <w:r>
              <w:rPr>
                <w:rFonts w:ascii="宋体" w:hAnsi="宋体" w:cs="宋体" w:eastAsia="宋体" w:hint="default"/>
                <w:spacing w:val="-38"/>
                <w:sz w:val="21"/>
                <w:szCs w:val="21"/>
              </w:rPr>
              <w:t> </w:t>
            </w:r>
            <w:r>
              <w:rPr>
                <w:rFonts w:ascii="宋体" w:hAnsi="宋体" w:cs="宋体" w:eastAsia="宋体" w:hint="default"/>
                <w:sz w:val="21"/>
                <w:szCs w:val="21"/>
              </w:rPr>
              <w:t>动资金的议案》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56" w:lineRule="auto" w:before="37"/>
              <w:ind w:left="26" w:right="27"/>
              <w:jc w:val="center"/>
              <w:rPr>
                <w:rFonts w:ascii="宋体" w:hAnsi="宋体" w:cs="宋体" w:eastAsia="宋体" w:hint="default"/>
                <w:sz w:val="21"/>
                <w:szCs w:val="21"/>
              </w:rPr>
            </w:pPr>
            <w:r>
              <w:rPr>
                <w:rFonts w:ascii="宋体" w:hAnsi="宋体" w:cs="宋体" w:eastAsia="宋体" w:hint="default"/>
                <w:spacing w:val="-2"/>
                <w:sz w:val="21"/>
                <w:szCs w:val="21"/>
              </w:rPr>
              <w:t>（</w:t>
            </w:r>
            <w:hyperlink r:id="rId30">
              <w:r>
                <w:rPr>
                  <w:rFonts w:ascii="Times New Roman" w:hAnsi="Times New Roman" w:cs="Times New Roman" w:eastAsia="Times New Roman" w:hint="default"/>
                  <w:spacing w:val="-2"/>
                  <w:sz w:val="21"/>
                  <w:szCs w:val="21"/>
                </w:rPr>
                <w:t>www.cninfo.co</w:t>
              </w:r>
            </w:hyperlink>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Times New Roman" w:hAnsi="Times New Roman" w:cs="Times New Roman" w:eastAsia="Times New Roman" w:hint="default"/>
                <w:sz w:val="21"/>
                <w:szCs w:val="21"/>
              </w:rPr>
              <w:t>m.cn</w:t>
            </w:r>
            <w:r>
              <w:rPr>
                <w:rFonts w:ascii="宋体" w:hAnsi="宋体" w:cs="宋体" w:eastAsia="宋体" w:hint="default"/>
                <w:sz w:val="21"/>
                <w:szCs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946"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160" w:right="50" w:hanging="106"/>
              <w:jc w:val="left"/>
              <w:rPr>
                <w:rFonts w:ascii="宋体" w:hAnsi="宋体" w:cs="宋体" w:eastAsia="宋体" w:hint="default"/>
                <w:sz w:val="21"/>
                <w:szCs w:val="21"/>
              </w:rPr>
            </w:pPr>
            <w:r>
              <w:rPr>
                <w:rFonts w:ascii="宋体" w:hAnsi="宋体" w:cs="宋体" w:eastAsia="宋体" w:hint="default"/>
                <w:sz w:val="21"/>
                <w:szCs w:val="21"/>
              </w:rPr>
              <w:t>第二届第九</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次董事会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06</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pacing w:val="-8"/>
                <w:w w:val="100"/>
                <w:sz w:val="21"/>
                <w:szCs w:val="21"/>
              </w:rPr>
              <w:t>审议通过了《关于会计差错更正的议案》、《关于</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向银行申请授信的议案》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56" w:lineRule="auto" w:before="37"/>
              <w:ind w:left="26" w:right="27"/>
              <w:jc w:val="center"/>
              <w:rPr>
                <w:rFonts w:ascii="宋体" w:hAnsi="宋体" w:cs="宋体" w:eastAsia="宋体" w:hint="default"/>
                <w:sz w:val="21"/>
                <w:szCs w:val="21"/>
              </w:rPr>
            </w:pPr>
            <w:r>
              <w:rPr>
                <w:rFonts w:ascii="宋体" w:hAnsi="宋体" w:cs="宋体" w:eastAsia="宋体" w:hint="default"/>
                <w:spacing w:val="-2"/>
                <w:sz w:val="21"/>
                <w:szCs w:val="21"/>
              </w:rPr>
              <w:t>（</w:t>
            </w:r>
            <w:hyperlink r:id="rId30">
              <w:r>
                <w:rPr>
                  <w:rFonts w:ascii="Times New Roman" w:hAnsi="Times New Roman" w:cs="Times New Roman" w:eastAsia="Times New Roman" w:hint="default"/>
                  <w:spacing w:val="-2"/>
                  <w:sz w:val="21"/>
                  <w:szCs w:val="21"/>
                </w:rPr>
                <w:t>www.cninfo.co</w:t>
              </w:r>
            </w:hyperlink>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Times New Roman" w:hAnsi="Times New Roman" w:cs="Times New Roman" w:eastAsia="Times New Roman" w:hint="default"/>
                <w:sz w:val="21"/>
                <w:szCs w:val="21"/>
              </w:rPr>
              <w:t>m.cn</w:t>
            </w:r>
            <w:r>
              <w:rPr>
                <w:rFonts w:ascii="宋体" w:hAnsi="宋体" w:cs="宋体" w:eastAsia="宋体" w:hint="default"/>
                <w:sz w:val="21"/>
                <w:szCs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884" w:footer="1007" w:top="1160" w:bottom="1200" w:left="1140" w:right="740"/>
        </w:sectPr>
      </w:pPr>
    </w:p>
    <w:p>
      <w:pPr>
        <w:spacing w:line="240" w:lineRule="auto" w:before="13"/>
        <w:rPr>
          <w:rFonts w:ascii="宋体" w:hAnsi="宋体" w:cs="宋体" w:eastAsia="宋体" w:hint="default"/>
          <w:b/>
          <w:bCs/>
          <w:sz w:val="19"/>
          <w:szCs w:val="19"/>
        </w:rPr>
      </w:pPr>
      <w:r>
        <w:rPr/>
        <w:pict>
          <v:shape style="position:absolute;margin-left:398.953827pt;margin-top:72.475983pt;width:84.3pt;height:62.45pt;mso-position-horizontal-relative:page;mso-position-vertical-relative:page;z-index:-917944"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9"/>
                    <w:ind w:left="0" w:right="0" w:firstLine="0"/>
                    <w:jc w:val="left"/>
                    <w:rPr>
                      <w:rFonts w:ascii="宋体" w:hAnsi="宋体" w:cs="宋体" w:eastAsia="宋体" w:hint="default"/>
                      <w:sz w:val="21"/>
                      <w:szCs w:val="21"/>
                    </w:rPr>
                  </w:pPr>
                  <w:r>
                    <w:rPr>
                      <w:rFonts w:ascii="宋体" w:hAnsi="宋体" w:cs="宋体" w:eastAsia="宋体" w:hint="default"/>
                      <w:w w:val="100"/>
                      <w:sz w:val="21"/>
                      <w:szCs w:val="21"/>
                    </w:rPr>
                    <w:t>、</w:t>
                  </w:r>
                </w:p>
              </w:txbxContent>
            </v:textbox>
            <w10:wrap type="none"/>
          </v:shape>
        </w:pict>
      </w:r>
    </w:p>
    <w:tbl>
      <w:tblPr>
        <w:tblW w:w="0" w:type="auto"/>
        <w:jc w:val="left"/>
        <w:tblInd w:w="102" w:type="dxa"/>
        <w:tblLayout w:type="fixed"/>
        <w:tblCellMar>
          <w:top w:w="0" w:type="dxa"/>
          <w:left w:w="0" w:type="dxa"/>
          <w:bottom w:w="0" w:type="dxa"/>
          <w:right w:w="0" w:type="dxa"/>
        </w:tblCellMar>
        <w:tblLook w:val="01E0"/>
      </w:tblPr>
      <w:tblGrid>
        <w:gridCol w:w="1171"/>
        <w:gridCol w:w="1135"/>
        <w:gridCol w:w="4537"/>
        <w:gridCol w:w="1558"/>
        <w:gridCol w:w="1351"/>
      </w:tblGrid>
      <w:tr>
        <w:trPr>
          <w:trHeight w:val="3442"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6"/>
                <w:szCs w:val="26"/>
              </w:rPr>
            </w:pPr>
          </w:p>
          <w:p>
            <w:pPr>
              <w:pStyle w:val="TableParagraph"/>
              <w:spacing w:line="273" w:lineRule="auto"/>
              <w:ind w:left="160" w:right="50" w:hanging="106"/>
              <w:jc w:val="left"/>
              <w:rPr>
                <w:rFonts w:ascii="宋体" w:hAnsi="宋体" w:cs="宋体" w:eastAsia="宋体" w:hint="default"/>
                <w:sz w:val="21"/>
                <w:szCs w:val="21"/>
              </w:rPr>
            </w:pPr>
            <w:r>
              <w:rPr>
                <w:rFonts w:ascii="宋体" w:hAnsi="宋体" w:cs="宋体" w:eastAsia="宋体" w:hint="default"/>
                <w:sz w:val="21"/>
                <w:szCs w:val="21"/>
              </w:rPr>
              <w:t>第二届第十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次董事会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08</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ind w:left="21" w:right="17"/>
              <w:jc w:val="both"/>
              <w:rPr>
                <w:rFonts w:ascii="宋体" w:hAnsi="宋体" w:cs="宋体" w:eastAsia="宋体" w:hint="default"/>
                <w:sz w:val="21"/>
                <w:szCs w:val="21"/>
              </w:rPr>
            </w:pPr>
            <w:r>
              <w:rPr>
                <w:rFonts w:ascii="宋体" w:hAnsi="宋体" w:cs="宋体" w:eastAsia="宋体" w:hint="default"/>
                <w:spacing w:val="-1"/>
                <w:w w:val="100"/>
                <w:sz w:val="21"/>
                <w:szCs w:val="21"/>
              </w:rPr>
              <w:t>审议通过《</w:t>
            </w:r>
            <w:r>
              <w:rPr>
                <w:rFonts w:ascii="Times New Roman" w:hAnsi="Times New Roman" w:cs="Times New Roman" w:eastAsia="Times New Roman" w:hint="default"/>
                <w:spacing w:val="-1"/>
                <w:w w:val="100"/>
                <w:sz w:val="21"/>
                <w:szCs w:val="21"/>
              </w:rPr>
              <w:t>2012</w:t>
            </w:r>
            <w:r>
              <w:rPr>
                <w:rFonts w:ascii="Times New Roman" w:hAnsi="Times New Roman" w:cs="Times New Roman" w:eastAsia="Times New Roman" w:hint="default"/>
                <w:spacing w:val="25"/>
                <w:w w:val="100"/>
                <w:sz w:val="21"/>
                <w:szCs w:val="21"/>
              </w:rPr>
              <w:t> </w:t>
            </w:r>
            <w:r>
              <w:rPr>
                <w:rFonts w:ascii="宋体" w:hAnsi="宋体" w:cs="宋体" w:eastAsia="宋体" w:hint="default"/>
                <w:spacing w:val="-16"/>
                <w:w w:val="100"/>
                <w:sz w:val="21"/>
                <w:szCs w:val="21"/>
              </w:rPr>
              <w:t>年半年度报告及其摘要》、《关于</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募投项目节余资金转为超募资金并注销部分募集</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8"/>
                <w:w w:val="100"/>
                <w:sz w:val="21"/>
                <w:szCs w:val="21"/>
              </w:rPr>
              <w:t>资金专用帐户的议案》、《关于超募资金使用计划</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22"/>
                <w:w w:val="100"/>
                <w:sz w:val="21"/>
                <w:szCs w:val="21"/>
              </w:rPr>
              <w:t>的议案》、《关于修改</w:t>
            </w:r>
            <w:r>
              <w:rPr>
                <w:rFonts w:ascii="Times New Roman" w:hAnsi="Times New Roman" w:cs="Times New Roman" w:eastAsia="Times New Roman" w:hint="default"/>
                <w:spacing w:val="-22"/>
                <w:w w:val="100"/>
                <w:sz w:val="21"/>
                <w:szCs w:val="21"/>
              </w:rPr>
              <w:t>&lt;</w:t>
            </w:r>
            <w:r>
              <w:rPr>
                <w:rFonts w:ascii="宋体" w:hAnsi="宋体" w:cs="宋体" w:eastAsia="宋体" w:hint="default"/>
                <w:spacing w:val="-22"/>
                <w:w w:val="100"/>
                <w:sz w:val="21"/>
                <w:szCs w:val="21"/>
              </w:rPr>
              <w:t>公司章程</w:t>
            </w:r>
            <w:r>
              <w:rPr>
                <w:rFonts w:ascii="Times New Roman" w:hAnsi="Times New Roman" w:cs="Times New Roman" w:eastAsia="Times New Roman" w:hint="default"/>
                <w:spacing w:val="-22"/>
                <w:w w:val="100"/>
                <w:sz w:val="21"/>
                <w:szCs w:val="21"/>
              </w:rPr>
              <w:t>&gt;</w:t>
            </w:r>
            <w:r>
              <w:rPr>
                <w:rFonts w:ascii="宋体" w:hAnsi="宋体" w:cs="宋体" w:eastAsia="宋体" w:hint="default"/>
                <w:spacing w:val="-22"/>
                <w:w w:val="100"/>
                <w:sz w:val="21"/>
                <w:szCs w:val="21"/>
              </w:rPr>
              <w:t>的议案》、《董事</w:t>
            </w:r>
          </w:p>
          <w:p>
            <w:pPr>
              <w:pStyle w:val="TableParagraph"/>
              <w:spacing w:line="261" w:lineRule="auto"/>
              <w:ind w:left="21" w:right="17"/>
              <w:jc w:val="both"/>
              <w:rPr>
                <w:rFonts w:ascii="宋体" w:hAnsi="宋体" w:cs="宋体" w:eastAsia="宋体" w:hint="default"/>
                <w:sz w:val="21"/>
                <w:szCs w:val="21"/>
              </w:rPr>
            </w:pPr>
            <w:r>
              <w:rPr>
                <w:rFonts w:ascii="宋体" w:hAnsi="宋体" w:cs="宋体" w:eastAsia="宋体" w:hint="default"/>
                <w:spacing w:val="-8"/>
                <w:w w:val="100"/>
                <w:sz w:val="21"/>
                <w:szCs w:val="21"/>
              </w:rPr>
              <w:t>监事薪酬管理制度》、《高级管理人员薪酬管理制</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pacing w:val="-17"/>
                <w:w w:val="100"/>
                <w:sz w:val="21"/>
                <w:szCs w:val="21"/>
              </w:rPr>
              <w:t>度》、《修改</w:t>
            </w:r>
            <w:r>
              <w:rPr>
                <w:rFonts w:ascii="Times New Roman" w:hAnsi="Times New Roman" w:cs="Times New Roman" w:eastAsia="Times New Roman" w:hint="default"/>
                <w:spacing w:val="-17"/>
                <w:w w:val="100"/>
                <w:sz w:val="21"/>
                <w:szCs w:val="21"/>
              </w:rPr>
              <w:t>&lt;</w:t>
            </w:r>
            <w:r>
              <w:rPr>
                <w:rFonts w:ascii="宋体" w:hAnsi="宋体" w:cs="宋体" w:eastAsia="宋体" w:hint="default"/>
                <w:spacing w:val="-17"/>
                <w:w w:val="100"/>
                <w:sz w:val="21"/>
                <w:szCs w:val="21"/>
              </w:rPr>
              <w:t>投资者关系管理制度</w:t>
            </w:r>
            <w:r>
              <w:rPr>
                <w:rFonts w:ascii="Times New Roman" w:hAnsi="Times New Roman" w:cs="Times New Roman" w:eastAsia="Times New Roman" w:hint="default"/>
                <w:spacing w:val="-17"/>
                <w:w w:val="100"/>
                <w:sz w:val="21"/>
                <w:szCs w:val="21"/>
              </w:rPr>
              <w:t>&gt;</w:t>
            </w:r>
            <w:r>
              <w:rPr>
                <w:rFonts w:ascii="宋体" w:hAnsi="宋体" w:cs="宋体" w:eastAsia="宋体" w:hint="default"/>
                <w:spacing w:val="-17"/>
                <w:w w:val="100"/>
                <w:sz w:val="21"/>
                <w:szCs w:val="21"/>
              </w:rPr>
              <w:t>的议案》、《修</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4"/>
                <w:w w:val="100"/>
                <w:sz w:val="21"/>
                <w:szCs w:val="21"/>
              </w:rPr>
              <w:t>改</w:t>
            </w:r>
            <w:r>
              <w:rPr>
                <w:rFonts w:ascii="Times New Roman" w:hAnsi="Times New Roman" w:cs="Times New Roman" w:eastAsia="Times New Roman" w:hint="default"/>
                <w:spacing w:val="-14"/>
                <w:w w:val="100"/>
                <w:sz w:val="21"/>
                <w:szCs w:val="21"/>
              </w:rPr>
              <w:t>&lt;</w:t>
            </w:r>
            <w:r>
              <w:rPr>
                <w:rFonts w:ascii="宋体" w:hAnsi="宋体" w:cs="宋体" w:eastAsia="宋体" w:hint="default"/>
                <w:spacing w:val="-14"/>
                <w:w w:val="100"/>
                <w:sz w:val="21"/>
                <w:szCs w:val="21"/>
              </w:rPr>
              <w:t>对外担保管理制度</w:t>
            </w:r>
            <w:r>
              <w:rPr>
                <w:rFonts w:ascii="Times New Roman" w:hAnsi="Times New Roman" w:cs="Times New Roman" w:eastAsia="Times New Roman" w:hint="default"/>
                <w:spacing w:val="-14"/>
                <w:w w:val="100"/>
                <w:sz w:val="21"/>
                <w:szCs w:val="21"/>
              </w:rPr>
              <w:t>&gt;</w:t>
            </w:r>
            <w:r>
              <w:rPr>
                <w:rFonts w:ascii="宋体" w:hAnsi="宋体" w:cs="宋体" w:eastAsia="宋体" w:hint="default"/>
                <w:spacing w:val="-14"/>
                <w:w w:val="100"/>
                <w:sz w:val="21"/>
                <w:szCs w:val="21"/>
              </w:rPr>
              <w:t>的议案》、《修改</w:t>
            </w:r>
            <w:r>
              <w:rPr>
                <w:rFonts w:ascii="Times New Roman" w:hAnsi="Times New Roman" w:cs="Times New Roman" w:eastAsia="Times New Roman" w:hint="default"/>
                <w:spacing w:val="-14"/>
                <w:w w:val="100"/>
                <w:sz w:val="21"/>
                <w:szCs w:val="21"/>
              </w:rPr>
              <w:t>&lt;</w:t>
            </w:r>
            <w:r>
              <w:rPr>
                <w:rFonts w:ascii="宋体" w:hAnsi="宋体" w:cs="宋体" w:eastAsia="宋体" w:hint="default"/>
                <w:spacing w:val="-14"/>
                <w:w w:val="100"/>
                <w:sz w:val="21"/>
                <w:szCs w:val="21"/>
              </w:rPr>
              <w:t>董事、监</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事和高级管理人员所持本公司股份及其变动管理</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13"/>
                <w:w w:val="100"/>
                <w:sz w:val="21"/>
                <w:szCs w:val="21"/>
              </w:rPr>
              <w:t>规则</w:t>
            </w:r>
            <w:r>
              <w:rPr>
                <w:rFonts w:ascii="Times New Roman" w:hAnsi="Times New Roman" w:cs="Times New Roman" w:eastAsia="Times New Roman" w:hint="default"/>
                <w:spacing w:val="-13"/>
                <w:w w:val="100"/>
                <w:sz w:val="21"/>
                <w:szCs w:val="21"/>
              </w:rPr>
              <w:t>&gt;</w:t>
            </w:r>
            <w:r>
              <w:rPr>
                <w:rFonts w:ascii="宋体" w:hAnsi="宋体" w:cs="宋体" w:eastAsia="宋体" w:hint="default"/>
                <w:spacing w:val="-13"/>
                <w:w w:val="100"/>
                <w:sz w:val="21"/>
                <w:szCs w:val="21"/>
              </w:rPr>
              <w:t>的议案》、《北京超图软件股份有限公司资产</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21"/>
                <w:w w:val="100"/>
                <w:sz w:val="21"/>
                <w:szCs w:val="21"/>
              </w:rPr>
              <w:t>减值准备制度》、《关于召开</w:t>
            </w:r>
            <w:r>
              <w:rPr>
                <w:rFonts w:ascii="宋体" w:hAnsi="宋体" w:cs="宋体" w:eastAsia="宋体" w:hint="default"/>
                <w:spacing w:val="-47"/>
                <w:w w:val="100"/>
                <w:sz w:val="21"/>
                <w:szCs w:val="21"/>
              </w:rPr>
              <w:t> </w:t>
            </w:r>
            <w:r>
              <w:rPr>
                <w:rFonts w:ascii="Times New Roman" w:hAnsi="Times New Roman" w:cs="Times New Roman" w:eastAsia="Times New Roman" w:hint="default"/>
                <w:spacing w:val="-1"/>
                <w:w w:val="100"/>
                <w:sz w:val="21"/>
                <w:szCs w:val="21"/>
              </w:rPr>
              <w:t>2012</w:t>
            </w:r>
            <w:r>
              <w:rPr>
                <w:rFonts w:ascii="Times New Roman" w:hAnsi="Times New Roman" w:cs="Times New Roman" w:eastAsia="Times New Roman" w:hint="default"/>
                <w:spacing w:val="6"/>
                <w:w w:val="100"/>
                <w:sz w:val="21"/>
                <w:szCs w:val="21"/>
              </w:rPr>
              <w:t> </w:t>
            </w:r>
            <w:r>
              <w:rPr>
                <w:rFonts w:ascii="宋体" w:hAnsi="宋体" w:cs="宋体" w:eastAsia="宋体" w:hint="default"/>
                <w:spacing w:val="-2"/>
                <w:w w:val="100"/>
                <w:sz w:val="21"/>
                <w:szCs w:val="21"/>
              </w:rPr>
              <w:t>年第一次临时股</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东大会的议案》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1248" w:lineRule="exact"/>
              <w:ind w:left="-3" w:right="-50"/>
              <w:jc w:val="left"/>
              <w:rPr>
                <w:rFonts w:ascii="宋体" w:hAnsi="宋体" w:cs="宋体" w:eastAsia="宋体" w:hint="default"/>
                <w:sz w:val="20"/>
                <w:szCs w:val="20"/>
              </w:rPr>
            </w:pPr>
            <w:r>
              <w:rPr>
                <w:rFonts w:ascii="宋体" w:hAnsi="宋体" w:cs="宋体" w:eastAsia="宋体" w:hint="default"/>
                <w:position w:val="-24"/>
                <w:sz w:val="20"/>
                <w:szCs w:val="20"/>
              </w:rPr>
              <w:pict>
                <v:group style="width:77.55pt;height:62.45pt;mso-position-horizontal-relative:char;mso-position-vertical-relative:line" coordorigin="0,0" coordsize="1551,1249">
                  <v:group style="position:absolute;left:0;top:0;width:1551;height:1249" coordorigin="0,0" coordsize="1551,1249">
                    <v:shape style="position:absolute;left:0;top:0;width:1551;height:1249" coordorigin="0,0" coordsize="1551,1249" path="m0,1248l1551,1248,1551,0,0,0,0,1248xe" filled="true" fillcolor="#ffffff" stroked="false">
                      <v:path arrowok="t"/>
                      <v:fill type="solid"/>
                    </v:shape>
                  </v:group>
                </v:group>
              </w:pict>
            </w:r>
            <w:r>
              <w:rPr>
                <w:rFonts w:ascii="宋体" w:hAnsi="宋体" w:cs="宋体" w:eastAsia="宋体" w:hint="default"/>
                <w:position w:val="-24"/>
                <w:sz w:val="20"/>
                <w:szCs w:val="20"/>
              </w:rPr>
            </w: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56" w:lineRule="auto" w:before="37"/>
              <w:ind w:left="26" w:right="27"/>
              <w:jc w:val="center"/>
              <w:rPr>
                <w:rFonts w:ascii="宋体" w:hAnsi="宋体" w:cs="宋体" w:eastAsia="宋体" w:hint="default"/>
                <w:sz w:val="21"/>
                <w:szCs w:val="21"/>
              </w:rPr>
            </w:pPr>
            <w:r>
              <w:rPr>
                <w:rFonts w:ascii="宋体" w:hAnsi="宋体" w:cs="宋体" w:eastAsia="宋体" w:hint="default"/>
                <w:spacing w:val="-2"/>
                <w:sz w:val="21"/>
                <w:szCs w:val="21"/>
              </w:rPr>
              <w:t>（</w:t>
            </w:r>
            <w:hyperlink r:id="rId30">
              <w:r>
                <w:rPr>
                  <w:rFonts w:ascii="Times New Roman" w:hAnsi="Times New Roman" w:cs="Times New Roman" w:eastAsia="Times New Roman" w:hint="default"/>
                  <w:spacing w:val="-2"/>
                  <w:sz w:val="21"/>
                  <w:szCs w:val="21"/>
                </w:rPr>
                <w:t>www.cninfo.co</w:t>
              </w:r>
            </w:hyperlink>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Times New Roman" w:hAnsi="Times New Roman" w:cs="Times New Roman" w:eastAsia="Times New Roman" w:hint="default"/>
                <w:sz w:val="21"/>
                <w:szCs w:val="21"/>
              </w:rPr>
              <w:t>m.cn</w:t>
            </w:r>
            <w:r>
              <w:rPr>
                <w:rFonts w:ascii="宋体" w:hAnsi="宋体" w:cs="宋体" w:eastAsia="宋体" w:hint="default"/>
                <w:sz w:val="21"/>
                <w:szCs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946"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55" w:right="50"/>
              <w:jc w:val="left"/>
              <w:rPr>
                <w:rFonts w:ascii="宋体" w:hAnsi="宋体" w:cs="宋体" w:eastAsia="宋体" w:hint="default"/>
                <w:sz w:val="21"/>
                <w:szCs w:val="21"/>
              </w:rPr>
            </w:pPr>
            <w:r>
              <w:rPr>
                <w:rFonts w:ascii="宋体" w:hAnsi="宋体" w:cs="宋体" w:eastAsia="宋体" w:hint="default"/>
                <w:sz w:val="21"/>
                <w:szCs w:val="21"/>
              </w:rPr>
              <w:t>第二届第十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一次董事会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79" w:lineRule="exact"/>
              <w:ind w:left="21" w:right="0"/>
              <w:jc w:val="left"/>
              <w:rPr>
                <w:rFonts w:ascii="宋体" w:hAnsi="宋体" w:cs="宋体" w:eastAsia="宋体" w:hint="default"/>
                <w:sz w:val="21"/>
                <w:szCs w:val="21"/>
              </w:rPr>
            </w:pPr>
            <w:r>
              <w:rPr>
                <w:rFonts w:ascii="宋体" w:hAnsi="宋体" w:cs="宋体" w:eastAsia="宋体" w:hint="default"/>
                <w:sz w:val="21"/>
                <w:szCs w:val="21"/>
              </w:rPr>
              <w:t>审议通过了《</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年第三季度报告全文及正文》</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56" w:lineRule="auto" w:before="37"/>
              <w:ind w:left="26" w:right="27"/>
              <w:jc w:val="center"/>
              <w:rPr>
                <w:rFonts w:ascii="宋体" w:hAnsi="宋体" w:cs="宋体" w:eastAsia="宋体" w:hint="default"/>
                <w:sz w:val="21"/>
                <w:szCs w:val="21"/>
              </w:rPr>
            </w:pPr>
            <w:r>
              <w:rPr>
                <w:rFonts w:ascii="宋体" w:hAnsi="宋体" w:cs="宋体" w:eastAsia="宋体" w:hint="default"/>
                <w:spacing w:val="-2"/>
                <w:sz w:val="21"/>
                <w:szCs w:val="21"/>
              </w:rPr>
              <w:t>（</w:t>
            </w:r>
            <w:hyperlink r:id="rId30">
              <w:r>
                <w:rPr>
                  <w:rFonts w:ascii="Times New Roman" w:hAnsi="Times New Roman" w:cs="Times New Roman" w:eastAsia="Times New Roman" w:hint="default"/>
                  <w:spacing w:val="-2"/>
                  <w:sz w:val="21"/>
                  <w:szCs w:val="21"/>
                </w:rPr>
                <w:t>www.cninfo.co</w:t>
              </w:r>
            </w:hyperlink>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Times New Roman" w:hAnsi="Times New Roman" w:cs="Times New Roman" w:eastAsia="Times New Roman" w:hint="default"/>
                <w:sz w:val="21"/>
                <w:szCs w:val="21"/>
              </w:rPr>
              <w:t>m.cn</w:t>
            </w:r>
            <w:r>
              <w:rPr>
                <w:rFonts w:ascii="宋体" w:hAnsi="宋体" w:cs="宋体" w:eastAsia="宋体" w:hint="default"/>
                <w:sz w:val="21"/>
                <w:szCs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948"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55" w:right="50"/>
              <w:jc w:val="left"/>
              <w:rPr>
                <w:rFonts w:ascii="宋体" w:hAnsi="宋体" w:cs="宋体" w:eastAsia="宋体" w:hint="default"/>
                <w:sz w:val="21"/>
                <w:szCs w:val="21"/>
              </w:rPr>
            </w:pPr>
            <w:r>
              <w:rPr>
                <w:rFonts w:ascii="宋体" w:hAnsi="宋体" w:cs="宋体" w:eastAsia="宋体" w:hint="default"/>
                <w:sz w:val="21"/>
                <w:szCs w:val="21"/>
              </w:rPr>
              <w:t>第二届第十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二次董事会</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02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ind w:left="21" w:right="19"/>
              <w:jc w:val="both"/>
              <w:rPr>
                <w:rFonts w:ascii="宋体" w:hAnsi="宋体" w:cs="宋体" w:eastAsia="宋体" w:hint="default"/>
                <w:sz w:val="21"/>
                <w:szCs w:val="21"/>
              </w:rPr>
            </w:pPr>
            <w:r>
              <w:rPr>
                <w:rFonts w:ascii="宋体" w:hAnsi="宋体" w:cs="宋体" w:eastAsia="宋体" w:hint="default"/>
                <w:spacing w:val="-4"/>
                <w:sz w:val="21"/>
                <w:szCs w:val="21"/>
              </w:rPr>
              <w:t>审议通过《关于终止实施</w:t>
            </w:r>
            <w:r>
              <w:rPr>
                <w:rFonts w:ascii="Times New Roman" w:hAnsi="Times New Roman" w:cs="Times New Roman" w:eastAsia="Times New Roman" w:hint="default"/>
                <w:spacing w:val="-4"/>
                <w:sz w:val="21"/>
                <w:szCs w:val="21"/>
              </w:rPr>
              <w:t>&lt;</w:t>
            </w:r>
            <w:r>
              <w:rPr>
                <w:rFonts w:ascii="宋体" w:hAnsi="宋体" w:cs="宋体" w:eastAsia="宋体" w:hint="default"/>
                <w:spacing w:val="-4"/>
                <w:sz w:val="21"/>
                <w:szCs w:val="21"/>
              </w:rPr>
              <w:t>北京超图软件股份有限</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13"/>
                <w:w w:val="100"/>
                <w:sz w:val="21"/>
                <w:szCs w:val="21"/>
              </w:rPr>
              <w:t>公司股票期权激励计划</w:t>
            </w:r>
            <w:r>
              <w:rPr>
                <w:rFonts w:ascii="Times New Roman" w:hAnsi="Times New Roman" w:cs="Times New Roman" w:eastAsia="Times New Roman" w:hint="default"/>
                <w:spacing w:val="-13"/>
                <w:w w:val="100"/>
                <w:sz w:val="21"/>
                <w:szCs w:val="21"/>
              </w:rPr>
              <w:t>&gt;</w:t>
            </w:r>
            <w:r>
              <w:rPr>
                <w:rFonts w:ascii="宋体" w:hAnsi="宋体" w:cs="宋体" w:eastAsia="宋体" w:hint="default"/>
                <w:spacing w:val="-13"/>
                <w:w w:val="100"/>
                <w:sz w:val="21"/>
                <w:szCs w:val="21"/>
              </w:rPr>
              <w:t>的议案》、《关于注销已授</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z w:val="21"/>
                <w:szCs w:val="21"/>
              </w:rPr>
              <w:t>予股票期权的议案》</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56" w:lineRule="auto" w:before="37"/>
              <w:ind w:left="26" w:right="27"/>
              <w:jc w:val="center"/>
              <w:rPr>
                <w:rFonts w:ascii="宋体" w:hAnsi="宋体" w:cs="宋体" w:eastAsia="宋体" w:hint="default"/>
                <w:sz w:val="21"/>
                <w:szCs w:val="21"/>
              </w:rPr>
            </w:pPr>
            <w:r>
              <w:rPr>
                <w:rFonts w:ascii="宋体" w:hAnsi="宋体" w:cs="宋体" w:eastAsia="宋体" w:hint="default"/>
                <w:spacing w:val="-2"/>
                <w:sz w:val="21"/>
                <w:szCs w:val="21"/>
              </w:rPr>
              <w:t>（</w:t>
            </w:r>
            <w:hyperlink r:id="rId30">
              <w:r>
                <w:rPr>
                  <w:rFonts w:ascii="Times New Roman" w:hAnsi="Times New Roman" w:cs="Times New Roman" w:eastAsia="Times New Roman" w:hint="default"/>
                  <w:spacing w:val="-2"/>
                  <w:sz w:val="21"/>
                  <w:szCs w:val="21"/>
                </w:rPr>
                <w:t>www.cninfo.co</w:t>
              </w:r>
            </w:hyperlink>
            <w:r>
              <w:rPr>
                <w:rFonts w:ascii="Times New Roman" w:hAnsi="Times New Roman" w:cs="Times New Roman" w:eastAsia="Times New Roman" w:hint="default"/>
                <w:spacing w:val="-47"/>
                <w:sz w:val="21"/>
                <w:szCs w:val="21"/>
              </w:rPr>
              <w:t> </w:t>
            </w:r>
            <w:r>
              <w:rPr>
                <w:rFonts w:ascii="Times New Roman" w:hAnsi="Times New Roman" w:cs="Times New Roman" w:eastAsia="Times New Roman" w:hint="default"/>
                <w:spacing w:val="-47"/>
                <w:sz w:val="21"/>
                <w:szCs w:val="21"/>
              </w:rPr>
            </w:r>
            <w:r>
              <w:rPr>
                <w:rFonts w:ascii="Times New Roman" w:hAnsi="Times New Roman" w:cs="Times New Roman" w:eastAsia="Times New Roman" w:hint="default"/>
                <w:sz w:val="21"/>
                <w:szCs w:val="21"/>
              </w:rPr>
              <w:t>m.cn</w:t>
            </w:r>
            <w:r>
              <w:rPr>
                <w:rFonts w:ascii="宋体" w:hAnsi="宋体" w:cs="宋体" w:eastAsia="宋体" w:hint="default"/>
                <w:sz w:val="21"/>
                <w:szCs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p>
            <w:pPr>
              <w:pStyle w:val="TableParagraph"/>
              <w:spacing w:line="240" w:lineRule="auto" w:before="21"/>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line="240" w:lineRule="auto" w:before="1"/>
        <w:rPr>
          <w:rFonts w:ascii="宋体" w:hAnsi="宋体" w:cs="宋体" w:eastAsia="宋体" w:hint="default"/>
          <w:b/>
          <w:bCs/>
          <w:sz w:val="18"/>
          <w:szCs w:val="18"/>
        </w:rPr>
      </w:pPr>
    </w:p>
    <w:p>
      <w:pPr>
        <w:pStyle w:val="Heading4"/>
        <w:spacing w:line="240" w:lineRule="auto" w:before="26"/>
        <w:ind w:left="638" w:right="522"/>
        <w:jc w:val="left"/>
        <w:rPr>
          <w:b w:val="0"/>
          <w:bCs w:val="0"/>
        </w:rPr>
      </w:pPr>
      <w:bookmarkStart w:name="_bookmark104" w:id="105"/>
      <w:bookmarkEnd w:id="105"/>
      <w:r>
        <w:rPr>
          <w:b w:val="0"/>
          <w:bCs w:val="0"/>
        </w:rPr>
      </w:r>
      <w:r>
        <w:rPr/>
        <w:t>四、年度报告重大差错责任追究制度的建立与执行情况</w:t>
      </w:r>
      <w:r>
        <w:rPr>
          <w:b w:val="0"/>
          <w:bCs w:val="0"/>
        </w:rPr>
      </w:r>
    </w:p>
    <w:p>
      <w:pPr>
        <w:spacing w:line="240" w:lineRule="auto" w:before="8"/>
        <w:rPr>
          <w:rFonts w:ascii="宋体" w:hAnsi="宋体" w:cs="宋体" w:eastAsia="宋体" w:hint="default"/>
          <w:b/>
          <w:bCs/>
          <w:sz w:val="28"/>
          <w:szCs w:val="28"/>
        </w:rPr>
      </w:pPr>
    </w:p>
    <w:p>
      <w:pPr>
        <w:pStyle w:val="BodyText"/>
        <w:spacing w:line="357" w:lineRule="auto"/>
        <w:ind w:left="638" w:right="522" w:firstLine="479"/>
        <w:jc w:val="left"/>
      </w:pPr>
      <w:r>
        <w:rPr>
          <w:spacing w:val="-6"/>
        </w:rPr>
        <w:t>公司已经制定了《年报信息披露重大差错责任追究制度》，明确了年报信息责任</w:t>
      </w:r>
      <w:r>
        <w:rPr/>
        <w:t> 人、年报信息披露差错的认定以及处理程序以及相关责任追究，以进一步提高年报 </w:t>
      </w:r>
      <w:r>
        <w:rPr>
          <w:spacing w:val="-2"/>
        </w:rPr>
        <w:t>信息披露的质量和透明度，增强年报信息披露的真实性、准确性、完整性和及时性。</w:t>
      </w:r>
    </w:p>
    <w:p>
      <w:pPr>
        <w:pStyle w:val="BodyText"/>
        <w:spacing w:line="338" w:lineRule="auto" w:before="36"/>
        <w:ind w:left="638" w:right="638" w:firstLine="479"/>
        <w:jc w:val="left"/>
      </w:pPr>
      <w:r>
        <w:rPr>
          <w:spacing w:val="-3"/>
        </w:rPr>
        <w:t>报告期内，公司未发生与</w:t>
      </w:r>
      <w:r>
        <w:rPr>
          <w:spacing w:val="-72"/>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2"/>
        </w:rPr>
        <w:t> </w:t>
      </w:r>
      <w:r>
        <w:rPr/>
        <w:t>年年报相关的重大会计差错更正、重大遗漏信息 补充以及业绩预告修正等情况。</w:t>
      </w:r>
    </w:p>
    <w:p>
      <w:pPr>
        <w:pStyle w:val="BodyText"/>
        <w:spacing w:line="343" w:lineRule="auto" w:before="55"/>
        <w:ind w:left="638" w:right="652" w:firstLine="599"/>
        <w:jc w:val="both"/>
      </w:pP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23 </w:t>
      </w:r>
      <w:r>
        <w:rPr/>
        <w:t>日，公司发布了</w:t>
      </w:r>
      <w:r>
        <w:rPr>
          <w:spacing w:val="-60"/>
        </w:rPr>
        <w:t> </w:t>
      </w:r>
      <w:r>
        <w:rPr>
          <w:rFonts w:ascii="Times New Roman" w:hAnsi="Times New Roman" w:cs="Times New Roman" w:eastAsia="Times New Roman" w:hint="default"/>
        </w:rPr>
        <w:t>2012 </w:t>
      </w:r>
      <w:r>
        <w:rPr/>
        <w:t>年第一季度业绩预告修正公告，</w:t>
      </w:r>
      <w:r>
        <w:rPr>
          <w:rFonts w:ascii="Times New Roman" w:hAnsi="Times New Roman" w:cs="Times New Roman" w:eastAsia="Times New Roman" w:hint="default"/>
        </w:rPr>
        <w:t>2012 </w:t>
      </w:r>
      <w:r>
        <w:rPr/>
        <w:t>年 第一季度归属于上市公司股东的净利润与原预告相比大幅下降，业绩修正原因、影 响以及披露董事会对有关责任人采取的问责措施详见公司于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4 </w:t>
      </w:r>
      <w:r>
        <w:rPr/>
        <w:t>月</w:t>
      </w:r>
      <w:r>
        <w:rPr>
          <w:spacing w:val="-60"/>
        </w:rPr>
        <w:t> </w:t>
      </w:r>
      <w:r>
        <w:rPr>
          <w:rFonts w:ascii="Times New Roman" w:hAnsi="Times New Roman" w:cs="Times New Roman" w:eastAsia="Times New Roman" w:hint="default"/>
        </w:rPr>
        <w:t>23 </w:t>
      </w:r>
      <w:r>
        <w:rPr/>
        <w:t>日刊登 于证监会指定创业板信息披露网站（巨潮资讯网）上的《</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年第一季度业绩预告 </w:t>
      </w:r>
      <w:r>
        <w:rPr>
          <w:spacing w:val="-6"/>
        </w:rPr>
        <w:t>修正公告》，公告中所述问责措施均已执行。</w:t>
      </w:r>
    </w:p>
    <w:p>
      <w:pPr>
        <w:pStyle w:val="BodyText"/>
        <w:spacing w:line="348" w:lineRule="auto" w:before="50"/>
        <w:ind w:left="638" w:right="655" w:firstLine="479"/>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日，由于公司参股公司国遥对其自</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月开展的航空遥感 数据自主采集业务的财务处理方式进行了变更，致使我公司第一季度财务报表中的 投资收益以及净利润等相关数据需要进行调整，公司董事会对此进行了追溯重述。 具体内容详见公司于</w:t>
      </w:r>
      <w:r>
        <w:rPr>
          <w:spacing w:val="-60"/>
        </w:rPr>
        <w:t> </w:t>
      </w:r>
      <w:r>
        <w:rPr>
          <w:rFonts w:ascii="Times New Roman" w:hAnsi="Times New Roman" w:cs="Times New Roman" w:eastAsia="Times New Roman" w:hint="default"/>
        </w:rPr>
        <w:t>2012 </w:t>
      </w:r>
      <w:r>
        <w:rPr/>
        <w:t>年</w:t>
      </w:r>
      <w:r>
        <w:rPr>
          <w:spacing w:val="-60"/>
        </w:rPr>
        <w:t> </w:t>
      </w:r>
      <w:r>
        <w:rPr>
          <w:rFonts w:ascii="Times New Roman" w:hAnsi="Times New Roman" w:cs="Times New Roman" w:eastAsia="Times New Roman" w:hint="default"/>
        </w:rPr>
        <w:t>6 </w:t>
      </w:r>
      <w:r>
        <w:rPr/>
        <w:t>月</w:t>
      </w:r>
      <w:r>
        <w:rPr>
          <w:spacing w:val="-60"/>
        </w:rPr>
        <w:t> </w:t>
      </w:r>
      <w:r>
        <w:rPr>
          <w:rFonts w:ascii="Times New Roman" w:hAnsi="Times New Roman" w:cs="Times New Roman" w:eastAsia="Times New Roman" w:hint="default"/>
        </w:rPr>
        <w:t>16 </w:t>
      </w:r>
      <w:r>
        <w:rPr/>
        <w:t>日刊登于证监会指定创业板信息披露网站（巨 </w:t>
      </w:r>
      <w:r>
        <w:rPr>
          <w:spacing w:val="-6"/>
        </w:rPr>
        <w:t>潮资讯网）上的《关于前期会计差错更正的公告》。</w:t>
      </w:r>
    </w:p>
    <w:p>
      <w:pPr>
        <w:spacing w:after="0" w:line="348" w:lineRule="auto"/>
        <w:jc w:val="both"/>
        <w:sectPr>
          <w:pgSz w:w="11910" w:h="16840"/>
          <w:pgMar w:header="884" w:footer="1007" w:top="1160" w:bottom="1200" w:left="1160" w:right="760"/>
        </w:sectPr>
      </w:pPr>
    </w:p>
    <w:p>
      <w:pPr>
        <w:spacing w:line="240" w:lineRule="auto" w:before="2"/>
        <w:rPr>
          <w:rFonts w:ascii="宋体" w:hAnsi="宋体" w:cs="宋体" w:eastAsia="宋体" w:hint="default"/>
          <w:sz w:val="15"/>
          <w:szCs w:val="15"/>
        </w:rPr>
      </w:pPr>
    </w:p>
    <w:p>
      <w:pPr>
        <w:pStyle w:val="Heading4"/>
        <w:spacing w:line="240" w:lineRule="auto" w:before="26"/>
        <w:ind w:left="558" w:right="102"/>
        <w:jc w:val="left"/>
        <w:rPr>
          <w:b w:val="0"/>
          <w:bCs w:val="0"/>
        </w:rPr>
      </w:pPr>
      <w:bookmarkStart w:name="_bookmark105" w:id="106"/>
      <w:bookmarkEnd w:id="106"/>
      <w:r>
        <w:rPr>
          <w:b w:val="0"/>
          <w:bCs w:val="0"/>
        </w:rPr>
      </w:r>
      <w:r>
        <w:rPr/>
        <w:t>五、公司董事会下设委员会工作情况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ind w:right="236" w:firstLine="479"/>
        <w:jc w:val="both"/>
      </w:pPr>
      <w:r>
        <w:rPr/>
        <w:t>公司董事会下设四个专业委员会：审计委员会、薪酬与考核委员会、提名委员 会以及战略与发展委员会。</w:t>
      </w:r>
    </w:p>
    <w:p>
      <w:pPr>
        <w:spacing w:line="240" w:lineRule="auto" w:before="11"/>
        <w:rPr>
          <w:rFonts w:ascii="宋体" w:hAnsi="宋体" w:cs="宋体" w:eastAsia="宋体" w:hint="default"/>
          <w:sz w:val="19"/>
          <w:szCs w:val="19"/>
        </w:rPr>
      </w:pPr>
    </w:p>
    <w:p>
      <w:pPr>
        <w:pStyle w:val="Heading4"/>
        <w:spacing w:line="240" w:lineRule="auto"/>
        <w:ind w:left="558" w:right="102"/>
        <w:jc w:val="left"/>
        <w:rPr>
          <w:b w:val="0"/>
          <w:bCs w:val="0"/>
        </w:rPr>
      </w:pPr>
      <w:bookmarkStart w:name="_bookmark106" w:id="107"/>
      <w:bookmarkEnd w:id="107"/>
      <w:r>
        <w:rPr>
          <w:b w:val="0"/>
          <w:bCs w:val="0"/>
        </w:rPr>
      </w:r>
      <w:r>
        <w:rPr>
          <w:rFonts w:ascii="Times New Roman" w:hAnsi="Times New Roman" w:cs="Times New Roman" w:eastAsia="Times New Roman" w:hint="default"/>
        </w:rPr>
        <w:t>1</w:t>
      </w:r>
      <w:r>
        <w:rPr/>
        <w:t>、审计委员会</w:t>
      </w:r>
      <w:r>
        <w:rPr>
          <w:b w:val="0"/>
          <w:bCs w:val="0"/>
        </w:rPr>
      </w:r>
    </w:p>
    <w:p>
      <w:pPr>
        <w:spacing w:line="240" w:lineRule="auto" w:before="3"/>
        <w:rPr>
          <w:rFonts w:ascii="宋体" w:hAnsi="宋体" w:cs="宋体" w:eastAsia="宋体" w:hint="default"/>
          <w:b/>
          <w:bCs/>
          <w:sz w:val="27"/>
          <w:szCs w:val="27"/>
        </w:rPr>
      </w:pPr>
    </w:p>
    <w:p>
      <w:pPr>
        <w:pStyle w:val="BodyText"/>
        <w:spacing w:line="357" w:lineRule="auto"/>
        <w:ind w:right="237" w:firstLine="479"/>
        <w:jc w:val="both"/>
      </w:pPr>
      <w:r>
        <w:rPr>
          <w:spacing w:val="-6"/>
        </w:rPr>
        <w:t>审计委员会现有委员谢德仁先生（召集人）、董云庭先生以及徐立新先生，共计</w:t>
      </w:r>
      <w:r>
        <w:rPr/>
        <w:t> 三名，人员数目以及人员结构符合《公司章程》以及《公司审计委员会实施细则》</w:t>
      </w:r>
      <w:r>
        <w:rPr>
          <w:spacing w:val="-77"/>
        </w:rPr>
        <w:t> </w:t>
      </w:r>
      <w:r>
        <w:rPr>
          <w:spacing w:val="-77"/>
        </w:rPr>
      </w:r>
      <w:r>
        <w:rPr/>
        <w:t>的要求。</w:t>
      </w:r>
    </w:p>
    <w:p>
      <w:pPr>
        <w:spacing w:line="240" w:lineRule="auto" w:before="11"/>
        <w:rPr>
          <w:rFonts w:ascii="宋体" w:hAnsi="宋体" w:cs="宋体" w:eastAsia="宋体" w:hint="default"/>
          <w:sz w:val="19"/>
          <w:szCs w:val="19"/>
        </w:rPr>
      </w:pPr>
    </w:p>
    <w:p>
      <w:pPr>
        <w:pStyle w:val="Heading4"/>
        <w:spacing w:line="240" w:lineRule="auto"/>
        <w:ind w:left="558" w:right="102"/>
        <w:jc w:val="left"/>
        <w:rPr>
          <w:b w:val="0"/>
          <w:bCs w:val="0"/>
        </w:rPr>
      </w:pPr>
      <w:r>
        <w:rPr/>
        <w:t>（</w:t>
      </w:r>
      <w:r>
        <w:rPr>
          <w:rFonts w:ascii="Times New Roman" w:hAnsi="Times New Roman" w:cs="Times New Roman" w:eastAsia="Times New Roman" w:hint="default"/>
        </w:rPr>
        <w:t>1</w:t>
      </w:r>
      <w:r>
        <w:rPr/>
        <w:t>）报告期内审计委员会会议情况</w:t>
      </w:r>
      <w:r>
        <w:rPr>
          <w:b w:val="0"/>
          <w:bCs w:val="0"/>
        </w:rPr>
      </w:r>
    </w:p>
    <w:p>
      <w:pPr>
        <w:spacing w:line="240" w:lineRule="auto" w:before="6"/>
        <w:rPr>
          <w:rFonts w:ascii="宋体" w:hAnsi="宋体" w:cs="宋体" w:eastAsia="宋体" w:hint="default"/>
          <w:b/>
          <w:bCs/>
          <w:sz w:val="27"/>
          <w:szCs w:val="27"/>
        </w:rPr>
      </w:pPr>
    </w:p>
    <w:p>
      <w:pPr>
        <w:pStyle w:val="BodyText"/>
        <w:spacing w:line="240" w:lineRule="auto"/>
        <w:ind w:left="1038" w:right="102"/>
        <w:jc w:val="left"/>
      </w:pPr>
      <w:r>
        <w:rPr/>
        <w:t>报告期内，审计委员会共召开</w:t>
      </w:r>
      <w:r>
        <w:rPr>
          <w:spacing w:val="-60"/>
        </w:rPr>
        <w:t> </w:t>
      </w:r>
      <w:r>
        <w:rPr>
          <w:rFonts w:ascii="Times New Roman" w:hAnsi="Times New Roman" w:cs="Times New Roman" w:eastAsia="Times New Roman" w:hint="default"/>
        </w:rPr>
        <w:t>4 </w:t>
      </w:r>
      <w:r>
        <w:rPr/>
        <w:t>次会议，主要内容为：</w:t>
      </w:r>
    </w:p>
    <w:p>
      <w:pPr>
        <w:pStyle w:val="BodyText"/>
        <w:spacing w:line="343" w:lineRule="auto" w:before="135"/>
        <w:ind w:right="115" w:firstLine="479"/>
        <w:jc w:val="righ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3"/>
        </w:rPr>
        <w:t> </w:t>
      </w:r>
      <w:r>
        <w:rPr/>
        <w:t>月</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15"/>
        </w:rPr>
        <w:t> </w:t>
      </w:r>
      <w:r>
        <w:rPr/>
        <w:t>日，召开审计委员会第二届第</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次会议，会议主要内容为： </w:t>
      </w:r>
      <w:r>
        <w:rPr>
          <w:spacing w:val="-7"/>
        </w:rPr>
        <w:t>审核《</w:t>
      </w:r>
      <w:r>
        <w:rPr>
          <w:rFonts w:ascii="Times New Roman" w:hAnsi="Times New Roman" w:cs="Times New Roman" w:eastAsia="Times New Roman" w:hint="default"/>
          <w:spacing w:val="-7"/>
        </w:rPr>
        <w:t>2011</w:t>
      </w:r>
      <w:r>
        <w:rPr>
          <w:rFonts w:ascii="Times New Roman" w:hAnsi="Times New Roman" w:cs="Times New Roman" w:eastAsia="Times New Roman" w:hint="default"/>
        </w:rPr>
        <w:t> </w:t>
      </w:r>
      <w:r>
        <w:rPr>
          <w:spacing w:val="-22"/>
        </w:rPr>
        <w:t>年度审计报告》、《公司内部控制自我评价报告》、《关于</w:t>
      </w:r>
      <w:r>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35"/>
        </w:rPr>
        <w:t> </w:t>
      </w:r>
      <w:r>
        <w:rPr/>
        <w:t>年募集资金 </w:t>
      </w:r>
      <w:r>
        <w:rPr>
          <w:spacing w:val="-10"/>
        </w:rPr>
        <w:t>存放与使用情况的专项报告》、《关于续聘京都天华会计师事务所有限公司的议案》。</w:t>
      </w:r>
      <w:r>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日，召开审计委员会第二届第</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次会议，会议主要内容为审 </w:t>
      </w:r>
      <w:r>
        <w:rPr>
          <w:spacing w:val="-2"/>
        </w:rPr>
        <w:t>阅公司第一季度财务报表，并对公司第一季度募集资金存放和使用情况进行了审议。</w:t>
      </w:r>
    </w:p>
    <w:p>
      <w:pPr>
        <w:pStyle w:val="BodyText"/>
        <w:spacing w:line="350" w:lineRule="auto" w:before="50"/>
        <w:ind w:right="232" w:firstLine="479"/>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日，召开审计委员会第二届第</w:t>
      </w:r>
      <w:r>
        <w:rPr>
          <w:spacing w:val="-62"/>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次会议，会议主要内容为审 议并讨论会议主要内容为审议公司半年度内部审计报告（包括审计制度执行情况、</w:t>
      </w:r>
      <w:r>
        <w:rPr>
          <w:spacing w:val="-77"/>
        </w:rPr>
        <w:t> </w:t>
      </w:r>
      <w:r>
        <w:rPr>
          <w:spacing w:val="-77"/>
        </w:rPr>
      </w:r>
      <w:r>
        <w:rPr>
          <w:spacing w:val="-6"/>
        </w:rPr>
        <w:t>其他内控制度执行情况以及内控完善建议）、公司半度财务报告、公司上半年度关联</w:t>
      </w:r>
      <w:r>
        <w:rPr>
          <w:spacing w:val="-86"/>
        </w:rPr>
        <w:t> </w:t>
      </w:r>
      <w:r>
        <w:rPr>
          <w:spacing w:val="-86"/>
        </w:rPr>
      </w:r>
      <w:r>
        <w:rPr/>
        <w:t>交易审计情况、公司上半年度募集资金使用审计情况。</w:t>
      </w:r>
    </w:p>
    <w:p>
      <w:pPr>
        <w:pStyle w:val="BodyText"/>
        <w:spacing w:line="338" w:lineRule="auto" w:before="43"/>
        <w:ind w:right="232" w:firstLine="479"/>
        <w:jc w:val="both"/>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2012</w:t>
      </w:r>
      <w:r>
        <w:rPr>
          <w:rFonts w:ascii="Times New Roman" w:hAnsi="Times New Roman" w:cs="Times New Roman" w:eastAsia="Times New Roman" w:hint="default"/>
          <w:spacing w:val="15"/>
        </w:rPr>
        <w:t> </w:t>
      </w:r>
      <w:r>
        <w:rPr/>
        <w:t>年</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4"/>
        </w:rPr>
        <w:t> </w:t>
      </w:r>
      <w:r>
        <w:rPr/>
        <w:t>月</w:t>
      </w:r>
      <w:r>
        <w:rPr>
          <w:spacing w:val="-45"/>
        </w:rPr>
        <w:t> </w:t>
      </w:r>
      <w:r>
        <w:rPr>
          <w:rFonts w:ascii="Times New Roman" w:hAnsi="Times New Roman" w:cs="Times New Roman" w:eastAsia="Times New Roman" w:hint="default"/>
        </w:rPr>
        <w:t>22</w:t>
      </w:r>
      <w:r>
        <w:rPr>
          <w:rFonts w:ascii="Times New Roman" w:hAnsi="Times New Roman" w:cs="Times New Roman" w:eastAsia="Times New Roman" w:hint="default"/>
          <w:spacing w:val="15"/>
        </w:rPr>
        <w:t> </w:t>
      </w:r>
      <w:r>
        <w:rPr/>
        <w:t>日，审计委员会召开第二届第</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次会议，会议主要内容为 认真审议公司第三季度财务报表，同意公司《</w:t>
      </w: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年第三季度全文及正文》中所引 用的财务数据，并提交董事会审议。</w:t>
      </w:r>
    </w:p>
    <w:p>
      <w:pPr>
        <w:spacing w:line="240" w:lineRule="auto" w:before="4"/>
        <w:rPr>
          <w:rFonts w:ascii="宋体" w:hAnsi="宋体" w:cs="宋体" w:eastAsia="宋体" w:hint="default"/>
          <w:sz w:val="21"/>
          <w:szCs w:val="21"/>
        </w:rPr>
      </w:pPr>
    </w:p>
    <w:p>
      <w:pPr>
        <w:pStyle w:val="Heading4"/>
        <w:spacing w:line="240" w:lineRule="auto"/>
        <w:ind w:left="558" w:right="102"/>
        <w:jc w:val="left"/>
        <w:rPr>
          <w:b w:val="0"/>
          <w:bCs w:val="0"/>
        </w:rPr>
      </w:pPr>
      <w:r>
        <w:rPr/>
        <w:t>（</w:t>
      </w:r>
      <w:r>
        <w:rPr>
          <w:rFonts w:ascii="Times New Roman" w:hAnsi="Times New Roman" w:cs="Times New Roman" w:eastAsia="Times New Roman" w:hint="default"/>
        </w:rPr>
        <w:t>2</w:t>
      </w:r>
      <w:r>
        <w:rPr/>
        <w:t>）对公司</w:t>
      </w:r>
      <w:r>
        <w:rPr>
          <w:spacing w:val="-6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年度财务报告审计的工作情况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1038" w:right="102"/>
        <w:jc w:val="left"/>
      </w:pPr>
      <w:r>
        <w:rPr>
          <w:rFonts w:ascii="Times New Roman" w:hAnsi="Times New Roman" w:cs="Times New Roman" w:eastAsia="Times New Roman" w:hint="default"/>
        </w:rPr>
        <w:t>1</w:t>
      </w:r>
      <w:r>
        <w:rPr/>
        <w:t>）确定总体审计计划</w:t>
      </w:r>
    </w:p>
    <w:p>
      <w:pPr>
        <w:pStyle w:val="BodyText"/>
        <w:spacing w:line="348" w:lineRule="auto" w:before="135"/>
        <w:ind w:right="102" w:firstLine="479"/>
        <w:jc w:val="left"/>
      </w:pP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7 </w:t>
      </w:r>
      <w:r>
        <w:rPr/>
        <w:t>日，审计委员会认真审阅了致同会计师事务所关于对公司</w:t>
      </w:r>
      <w:r>
        <w:rPr>
          <w:spacing w:val="-13"/>
        </w:rPr>
        <w:t> </w:t>
      </w:r>
      <w:r>
        <w:rPr>
          <w:rFonts w:ascii="Times New Roman" w:hAnsi="Times New Roman" w:cs="Times New Roman" w:eastAsia="Times New Roman" w:hint="default"/>
        </w:rPr>
        <w:t>2012 </w:t>
      </w:r>
      <w:r>
        <w:rPr>
          <w:spacing w:val="-9"/>
        </w:rPr>
        <w:t>年度审计工作计划以及审计要点，与负责审计工作的会计师（以下称“年审会计师”）</w:t>
      </w:r>
      <w:r>
        <w:rPr>
          <w:spacing w:val="-87"/>
        </w:rPr>
        <w:t> </w:t>
      </w:r>
      <w:r>
        <w:rPr>
          <w:spacing w:val="-87"/>
        </w:rPr>
      </w:r>
      <w:r>
        <w:rPr>
          <w:spacing w:val="-4"/>
        </w:rPr>
        <w:t>就公司预审问题进行了沟通，并协商确定了公司</w:t>
      </w:r>
      <w:r>
        <w:rPr>
          <w:spacing w:val="-53"/>
        </w:rPr>
        <w:t>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年度财务及相关专项报告审计</w:t>
      </w:r>
    </w:p>
    <w:p>
      <w:pPr>
        <w:spacing w:after="0" w:line="348" w:lineRule="auto"/>
        <w:jc w:val="left"/>
        <w:sectPr>
          <w:footerReference w:type="default" r:id="rId31"/>
          <w:pgSz w:w="11910" w:h="16840"/>
          <w:pgMar w:footer="1007" w:header="884" w:top="1160" w:bottom="1200" w:left="1240" w:right="1180"/>
        </w:sectPr>
      </w:pPr>
    </w:p>
    <w:p>
      <w:pPr>
        <w:spacing w:line="240" w:lineRule="auto" w:before="0"/>
        <w:rPr>
          <w:rFonts w:ascii="宋体" w:hAnsi="宋体" w:cs="宋体" w:eastAsia="宋体" w:hint="default"/>
          <w:sz w:val="21"/>
          <w:szCs w:val="21"/>
        </w:rPr>
      </w:pPr>
    </w:p>
    <w:p>
      <w:pPr>
        <w:pStyle w:val="BodyText"/>
        <w:spacing w:line="240" w:lineRule="auto" w:before="26"/>
        <w:ind w:right="0"/>
        <w:jc w:val="both"/>
      </w:pPr>
      <w:r>
        <w:rPr/>
        <w:t>工作的时间安排和审计方案。</w:t>
      </w:r>
    </w:p>
    <w:p>
      <w:pPr>
        <w:pStyle w:val="BodyText"/>
        <w:spacing w:line="338" w:lineRule="auto" w:before="154"/>
        <w:ind w:left="1038" w:right="102"/>
        <w:jc w:val="left"/>
        <w:rPr>
          <w:rFonts w:ascii="Times New Roman" w:hAnsi="Times New Roman" w:cs="Times New Roman" w:eastAsia="Times New Roman" w:hint="default"/>
        </w:rPr>
      </w:pPr>
      <w:r>
        <w:rPr>
          <w:rFonts w:ascii="Times New Roman" w:hAnsi="Times New Roman" w:cs="Times New Roman" w:eastAsia="Times New Roman" w:hint="default"/>
        </w:rPr>
        <w:t>2</w:t>
      </w:r>
      <w:r>
        <w:rPr/>
        <w:t>）对公司财务报告的两次审计意见 在年审会计师进场前，审计委员会审阅了公司财务部门编制的财务报表。</w:t>
      </w:r>
      <w:r>
        <w:rPr>
          <w:rFonts w:ascii="Times New Roman" w:hAnsi="Times New Roman" w:cs="Times New Roman" w:eastAsia="Times New Roman" w:hint="default"/>
        </w:rPr>
        <w:t>2013</w:t>
      </w:r>
    </w:p>
    <w:p>
      <w:pPr>
        <w:pStyle w:val="BodyText"/>
        <w:spacing w:line="350" w:lineRule="auto" w:before="27"/>
        <w:ind w:right="235"/>
        <w:jc w:val="both"/>
      </w:pP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spacing w:val="-3"/>
        </w:rPr>
        <w:t>日审计委员会就财务报表审阅的问题向财务部询问了相关情况，听取了财</w:t>
      </w:r>
      <w:r>
        <w:rPr/>
        <w:t> 务负责人对公司财务情况的汇报，认为：公司财务报表依照公司会计政策编制、会</w:t>
      </w:r>
      <w:r>
        <w:rPr>
          <w:spacing w:val="-77"/>
        </w:rPr>
        <w:t> </w:t>
      </w:r>
      <w:r>
        <w:rPr>
          <w:spacing w:val="-77"/>
        </w:rPr>
      </w:r>
      <w:r>
        <w:rPr/>
        <w:t>计政策运用恰当，会计估计合理，符合新企业会计准则及财政部发布的有关规定要</w:t>
      </w:r>
      <w:r>
        <w:rPr>
          <w:spacing w:val="-77"/>
        </w:rPr>
        <w:t> </w:t>
      </w:r>
      <w:r>
        <w:rPr>
          <w:spacing w:val="-77"/>
        </w:rPr>
      </w:r>
      <w:r>
        <w:rPr/>
        <w:t>求，审计委员会同意以此财务报表提交年审注册会计师开展审计工作。</w:t>
      </w:r>
    </w:p>
    <w:p>
      <w:pPr>
        <w:pStyle w:val="BodyText"/>
        <w:spacing w:line="348" w:lineRule="auto" w:before="44"/>
        <w:ind w:right="232" w:firstLine="479"/>
        <w:jc w:val="both"/>
      </w:pP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日，年审会计师初步完成审计工作，形成初审意见，拟出具标准 无保留意见的审计报告，认为“公司财务报表已经按照企业会计准则的规定编制，</w:t>
      </w:r>
      <w:r>
        <w:rPr>
          <w:spacing w:val="-77"/>
        </w:rPr>
        <w:t> </w:t>
      </w:r>
      <w:r>
        <w:rPr>
          <w:spacing w:val="-77"/>
        </w:rPr>
      </w:r>
      <w:r>
        <w:rPr/>
        <w:t>在所有重大方面公允反映了公司</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日的财务状况以及</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年度的经 </w:t>
      </w:r>
      <w:r>
        <w:rPr>
          <w:spacing w:val="-6"/>
        </w:rPr>
        <w:t>营成果和现金流量”。审计委员会认真审阅了拟出具审计意见的财务报告，与年审会</w:t>
      </w:r>
      <w:r>
        <w:rPr>
          <w:spacing w:val="-86"/>
        </w:rPr>
        <w:t> </w:t>
      </w:r>
      <w:r>
        <w:rPr>
          <w:spacing w:val="-86"/>
        </w:rPr>
      </w:r>
      <w:r>
        <w:rPr/>
        <w:t>计师进行了讨论。</w:t>
      </w:r>
    </w:p>
    <w:p>
      <w:pPr>
        <w:pStyle w:val="BodyText"/>
        <w:spacing w:line="357" w:lineRule="auto" w:before="46"/>
        <w:ind w:right="234" w:firstLine="479"/>
        <w:jc w:val="both"/>
      </w:pPr>
      <w:r>
        <w:rPr/>
        <w:t>审计委员会审议后认为：公司财务报表已经按照企业会计准则的规定编制，在 所在重大方面公允反映了公司</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日的财务状况以及</w:t>
      </w:r>
      <w:r>
        <w:rPr>
          <w:spacing w:val="-5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6"/>
        </w:rPr>
        <w:t> </w:t>
      </w:r>
      <w:r>
        <w:rPr/>
        <w:t>年度的经营</w:t>
      </w:r>
    </w:p>
    <w:p>
      <w:pPr>
        <w:pStyle w:val="BodyText"/>
        <w:spacing w:line="338" w:lineRule="auto" w:before="6"/>
        <w:ind w:right="102"/>
        <w:jc w:val="left"/>
      </w:pPr>
      <w:r>
        <w:rPr>
          <w:spacing w:val="-3"/>
        </w:rPr>
        <w:t>成果和现金流量，同意年审会计师拟发表的标准无保留审计意见的</w:t>
      </w:r>
      <w:r>
        <w:rPr>
          <w:spacing w:val="-56"/>
        </w:rPr>
        <w:t> </w:t>
      </w:r>
      <w:r>
        <w:rPr>
          <w:rFonts w:ascii="Times New Roman" w:hAnsi="Times New Roman" w:cs="Times New Roman" w:eastAsia="Times New Roman" w:hint="default"/>
        </w:rPr>
        <w:t>2012</w:t>
      </w:r>
      <w:r>
        <w:rPr>
          <w:rFonts w:ascii="Times New Roman" w:hAnsi="Times New Roman" w:cs="Times New Roman" w:eastAsia="Times New Roman" w:hint="default"/>
          <w:spacing w:val="4"/>
        </w:rPr>
        <w:t> </w:t>
      </w:r>
      <w:r>
        <w:rPr/>
        <w:t>年度财务报</w:t>
      </w:r>
      <w:r>
        <w:rPr>
          <w:spacing w:val="-112"/>
        </w:rPr>
        <w:t> </w:t>
      </w:r>
      <w:r>
        <w:rPr>
          <w:spacing w:val="-2"/>
        </w:rPr>
        <w:t>告，并提请董事审议。同时，会计师事务所按照计划如期完成了相关专项审核报告。</w:t>
      </w:r>
    </w:p>
    <w:p>
      <w:pPr>
        <w:pStyle w:val="BodyText"/>
        <w:spacing w:line="240" w:lineRule="auto" w:before="55"/>
        <w:ind w:left="1038" w:right="102"/>
        <w:jc w:val="left"/>
      </w:pPr>
      <w:r>
        <w:rPr>
          <w:rFonts w:ascii="Times New Roman" w:hAnsi="Times New Roman" w:cs="Times New Roman" w:eastAsia="Times New Roman" w:hint="default"/>
        </w:rPr>
        <w:t>3</w:t>
      </w:r>
      <w:r>
        <w:rPr/>
        <w:t>）对会计师事务所审计工作的督促情况</w:t>
      </w:r>
    </w:p>
    <w:p>
      <w:pPr>
        <w:pStyle w:val="BodyText"/>
        <w:spacing w:line="240" w:lineRule="auto" w:before="135"/>
        <w:ind w:left="1038"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日，审计委员会就年审关注的重点领域向年审会计师提出要求。</w:t>
      </w:r>
    </w:p>
    <w:p>
      <w:pPr>
        <w:pStyle w:val="BodyText"/>
        <w:spacing w:line="338" w:lineRule="auto" w:before="135"/>
        <w:ind w:right="235"/>
        <w:jc w:val="both"/>
      </w:pP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日，审计委员会在审阅了拟出具初步审计意见的财务会计报表后与 年审会计师进行审计情况沟通，并交换了意见。</w:t>
      </w:r>
    </w:p>
    <w:p>
      <w:pPr>
        <w:pStyle w:val="BodyText"/>
        <w:spacing w:line="338" w:lineRule="auto" w:before="55"/>
        <w:ind w:right="234" w:firstLine="479"/>
        <w:jc w:val="both"/>
      </w:pPr>
      <w:r>
        <w:rPr>
          <w:rFonts w:ascii="Times New Roman" w:hAnsi="Times New Roman" w:cs="Times New Roman" w:eastAsia="Times New Roman" w:hint="default"/>
        </w:rPr>
        <w:t>4</w:t>
      </w:r>
      <w:r>
        <w:rPr/>
        <w:t>）年审会计师从事 </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年公司审计工作的总结报告及下年度续聘年审会计师 的情况</w:t>
      </w:r>
    </w:p>
    <w:p>
      <w:pPr>
        <w:pStyle w:val="BodyText"/>
        <w:spacing w:line="338" w:lineRule="auto" w:before="55"/>
        <w:ind w:right="235" w:firstLine="479"/>
        <w:jc w:val="both"/>
      </w:pP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13"/>
        </w:rPr>
        <w:t> </w:t>
      </w:r>
      <w:r>
        <w:rPr/>
        <w:t>日，审计委员会会议，审议通过了《关于续聘会计师事务所意 </w:t>
      </w:r>
      <w:r>
        <w:rPr>
          <w:spacing w:val="-40"/>
        </w:rPr>
        <w:t>见》。</w:t>
      </w:r>
    </w:p>
    <w:p>
      <w:pPr>
        <w:pStyle w:val="BodyText"/>
        <w:spacing w:line="357" w:lineRule="auto" w:before="55"/>
        <w:ind w:right="234" w:firstLine="479"/>
        <w:jc w:val="both"/>
      </w:pPr>
      <w:r>
        <w:rPr/>
        <w:t>审计委员会认为：致同会计师事务所具有证券审计从业资格，签字注册会计师 和项目负责人具有相应的专业胜任能力，在执业过程中坚持以独立、客观、公正的</w:t>
      </w:r>
      <w:r>
        <w:rPr>
          <w:spacing w:val="-77"/>
        </w:rPr>
        <w:t> </w:t>
      </w:r>
      <w:r>
        <w:rPr>
          <w:spacing w:val="-77"/>
        </w:rPr>
      </w:r>
      <w:r>
        <w:rPr/>
        <w:t>态度进行审计，表现了良好的职业规范和精神。</w:t>
      </w:r>
    </w:p>
    <w:p>
      <w:pPr>
        <w:pStyle w:val="BodyText"/>
        <w:spacing w:line="357" w:lineRule="auto" w:before="36"/>
        <w:ind w:right="232" w:firstLine="479"/>
        <w:jc w:val="both"/>
      </w:pPr>
      <w:r>
        <w:rPr/>
        <w:t>鉴于前述情况，审计委员会认为：聘任致同会计师事务所作为财务审计机构， 能够为我公司提供高质量的审计服务，因此审计委员会提议董事会提请股东大会续</w:t>
      </w:r>
      <w:r>
        <w:rPr>
          <w:spacing w:val="-75"/>
        </w:rPr>
        <w:t> </w:t>
      </w:r>
      <w:r>
        <w:rPr>
          <w:spacing w:val="-75"/>
        </w:rPr>
      </w:r>
      <w:r>
        <w:rPr/>
        <w:t>聘致同会计师事务所担任我公司</w:t>
      </w:r>
      <w:r>
        <w:rPr>
          <w:spacing w:val="-61"/>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年度审计机构。</w:t>
      </w:r>
    </w:p>
    <w:p>
      <w:pPr>
        <w:spacing w:after="0" w:line="357" w:lineRule="auto"/>
        <w:jc w:val="both"/>
        <w:sectPr>
          <w:footerReference w:type="default" r:id="rId32"/>
          <w:pgSz w:w="11910" w:h="16840"/>
          <w:pgMar w:footer="1007" w:header="884" w:top="1160" w:bottom="1200" w:left="1240" w:right="1180"/>
        </w:sectPr>
      </w:pPr>
    </w:p>
    <w:p>
      <w:pPr>
        <w:spacing w:line="240" w:lineRule="auto" w:before="0"/>
        <w:rPr>
          <w:rFonts w:ascii="宋体" w:hAnsi="宋体" w:cs="宋体" w:eastAsia="宋体" w:hint="default"/>
          <w:sz w:val="21"/>
          <w:szCs w:val="21"/>
        </w:rPr>
      </w:pPr>
    </w:p>
    <w:p>
      <w:pPr>
        <w:pStyle w:val="BodyText"/>
        <w:spacing w:line="338" w:lineRule="auto" w:before="26"/>
        <w:ind w:right="233" w:firstLine="479"/>
        <w:jc w:val="both"/>
      </w:pPr>
      <w:r>
        <w:rPr>
          <w:rFonts w:ascii="Times New Roman" w:hAnsi="Times New Roman" w:cs="Times New Roman" w:eastAsia="Times New Roman" w:hint="default"/>
          <w:spacing w:val="-2"/>
        </w:rPr>
        <w:t>5</w:t>
      </w:r>
      <w:r>
        <w:rPr>
          <w:spacing w:val="-2"/>
        </w:rPr>
        <w:t>）对公司内部控制的自我评价报告、公司控股股东及其他关联方占用资金情况</w:t>
      </w:r>
      <w:r>
        <w:rPr/>
        <w:t> 报告的审议情况</w:t>
      </w:r>
    </w:p>
    <w:p>
      <w:pPr>
        <w:pStyle w:val="BodyText"/>
        <w:spacing w:line="348" w:lineRule="auto" w:before="55"/>
        <w:ind w:right="235" w:firstLine="479"/>
        <w:jc w:val="both"/>
      </w:pP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15</w:t>
      </w:r>
      <w:r>
        <w:rPr>
          <w:rFonts w:ascii="Times New Roman" w:hAnsi="Times New Roman" w:cs="Times New Roman" w:eastAsia="Times New Roman" w:hint="default"/>
          <w:spacing w:val="-13"/>
        </w:rPr>
        <w:t> </w:t>
      </w:r>
      <w:r>
        <w:rPr/>
        <w:t>日，审计委员会召开会议审议通过了《关于公司控股股东及其 </w:t>
      </w:r>
      <w:r>
        <w:rPr>
          <w:spacing w:val="-6"/>
        </w:rPr>
        <w:t>他关联方占用资金情况报告的审议意见》、《关于内部控制的自我评价报告的审议意</w:t>
      </w:r>
      <w:r>
        <w:rPr>
          <w:spacing w:val="-93"/>
        </w:rPr>
        <w:t> </w:t>
      </w:r>
      <w:r>
        <w:rPr>
          <w:spacing w:val="-93"/>
        </w:rPr>
      </w:r>
      <w:r>
        <w:rPr>
          <w:spacing w:val="-40"/>
        </w:rPr>
        <w:t>见》。</w:t>
      </w:r>
    </w:p>
    <w:p>
      <w:pPr>
        <w:pStyle w:val="BodyText"/>
        <w:spacing w:line="350" w:lineRule="auto" w:before="46"/>
        <w:ind w:right="235" w:firstLine="479"/>
        <w:jc w:val="both"/>
      </w:pPr>
      <w:r>
        <w:rPr/>
        <w:t>审计委员会认为：</w:t>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t>年度控股股东及其他关联方占用资金情况报告符合公司 的实际情况。公司内部控制体系符合公司目前经营管理需要，公司重点控制活动规</w:t>
      </w:r>
      <w:r>
        <w:rPr>
          <w:spacing w:val="-77"/>
        </w:rPr>
        <w:t> </w:t>
      </w:r>
      <w:r>
        <w:rPr>
          <w:spacing w:val="-77"/>
        </w:rPr>
      </w:r>
      <w:r>
        <w:rPr/>
        <w:t>范有效，公司内控制度的自我评价，真实客观地反映了内部控制运行情况，同意公</w:t>
      </w:r>
      <w:r>
        <w:rPr>
          <w:spacing w:val="-74"/>
        </w:rPr>
        <w:t> </w:t>
      </w:r>
      <w:r>
        <w:rPr>
          <w:spacing w:val="-74"/>
        </w:rPr>
      </w:r>
      <w:r>
        <w:rPr/>
        <w:t>司内部控制自我评价报告。</w:t>
      </w:r>
    </w:p>
    <w:p>
      <w:pPr>
        <w:spacing w:line="240" w:lineRule="auto" w:before="5"/>
        <w:rPr>
          <w:rFonts w:ascii="宋体" w:hAnsi="宋体" w:cs="宋体" w:eastAsia="宋体" w:hint="default"/>
          <w:sz w:val="20"/>
          <w:szCs w:val="20"/>
        </w:rPr>
      </w:pPr>
    </w:p>
    <w:p>
      <w:pPr>
        <w:pStyle w:val="Heading4"/>
        <w:spacing w:line="240" w:lineRule="auto"/>
        <w:ind w:left="558" w:right="102"/>
        <w:jc w:val="left"/>
        <w:rPr>
          <w:b w:val="0"/>
          <w:bCs w:val="0"/>
        </w:rPr>
      </w:pPr>
      <w:bookmarkStart w:name="_bookmark107" w:id="108"/>
      <w:bookmarkEnd w:id="108"/>
      <w:r>
        <w:rPr>
          <w:b w:val="0"/>
          <w:bCs w:val="0"/>
        </w:rPr>
      </w:r>
      <w:r>
        <w:rPr>
          <w:rFonts w:ascii="Times New Roman" w:hAnsi="Times New Roman" w:cs="Times New Roman" w:eastAsia="Times New Roman" w:hint="default"/>
        </w:rPr>
        <w:t>2</w:t>
      </w:r>
      <w:r>
        <w:rPr/>
        <w:t>、薪酬与考核委员会</w:t>
      </w:r>
      <w:r>
        <w:rPr>
          <w:b w:val="0"/>
          <w:bCs w:val="0"/>
        </w:rPr>
      </w:r>
    </w:p>
    <w:p>
      <w:pPr>
        <w:spacing w:line="240" w:lineRule="auto" w:before="6"/>
        <w:rPr>
          <w:rFonts w:ascii="宋体" w:hAnsi="宋体" w:cs="宋体" w:eastAsia="宋体" w:hint="default"/>
          <w:b/>
          <w:bCs/>
          <w:sz w:val="27"/>
          <w:szCs w:val="27"/>
        </w:rPr>
      </w:pPr>
    </w:p>
    <w:p>
      <w:pPr>
        <w:pStyle w:val="BodyText"/>
        <w:spacing w:line="357" w:lineRule="auto"/>
        <w:ind w:right="102" w:firstLine="479"/>
        <w:jc w:val="left"/>
      </w:pPr>
      <w:r>
        <w:rPr>
          <w:spacing w:val="-9"/>
        </w:rPr>
        <w:t>薪酬与考核委员会现有委员董云庭先生（召集人）、谢德仁先生以及徐立新先生，</w:t>
      </w:r>
      <w:r>
        <w:rPr/>
        <w:t> 共计三名，人员数目以及人员结构符合《公司章程》以及《公司薪酬与考核委员会</w:t>
      </w:r>
      <w:r>
        <w:rPr>
          <w:spacing w:val="-77"/>
        </w:rPr>
        <w:t> </w:t>
      </w:r>
      <w:r>
        <w:rPr>
          <w:spacing w:val="-77"/>
        </w:rPr>
      </w:r>
      <w:r>
        <w:rPr/>
        <w:t>实施细则》的要求。</w:t>
      </w:r>
    </w:p>
    <w:p>
      <w:pPr>
        <w:pStyle w:val="BodyText"/>
        <w:spacing w:line="240" w:lineRule="auto" w:before="36"/>
        <w:ind w:left="1038" w:right="102"/>
        <w:jc w:val="left"/>
      </w:pPr>
      <w:r>
        <w:rPr/>
        <w:t>报告期内，薪酬与考核委员会召开了</w:t>
      </w:r>
      <w:r>
        <w:rPr>
          <w:spacing w:val="-60"/>
        </w:rPr>
        <w:t> </w:t>
      </w:r>
      <w:r>
        <w:rPr>
          <w:rFonts w:ascii="Times New Roman" w:hAnsi="Times New Roman" w:cs="Times New Roman" w:eastAsia="Times New Roman" w:hint="default"/>
        </w:rPr>
        <w:t>3 </w:t>
      </w:r>
      <w:r>
        <w:rPr/>
        <w:t>次会议，主要内容为：</w:t>
      </w:r>
    </w:p>
    <w:p>
      <w:pPr>
        <w:pStyle w:val="BodyText"/>
        <w:spacing w:line="355" w:lineRule="auto" w:before="135"/>
        <w:ind w:right="284" w:firstLine="479"/>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日，公司薪酬与考核委员会召开第二届第</w:t>
      </w:r>
      <w:r>
        <w:rPr>
          <w:rFonts w:ascii="Times New Roman" w:hAnsi="Times New Roman" w:cs="Times New Roman" w:eastAsia="Times New Roman" w:hint="default"/>
        </w:rPr>
        <w:t>3</w:t>
      </w:r>
      <w:r>
        <w:rPr/>
        <w:t>次会议，会议主要内容 为：对公司人力资源部提交的董事、监事薪酬管理制度以及高级管理人员薪酬管理 制度进行了认真讨论，认为这两个制度符合公司的实际情况以及需要，相关人员的 薪酬结构设计、薪酬标准等相关内容符合公司所处的行业、规模的薪酬水平以及公 司的实际经营情况，符合相关的法律、法规的规定，有利于公司的董事、监事和高 级管理人员勤勉尽责，有效履行职务，有利于公司的发展。此外，审查了公司董事 及高管人员半年度的履职情况；审查了公司董事及高管人员的半年度薪酬情况。</w:t>
      </w:r>
    </w:p>
    <w:p>
      <w:pPr>
        <w:pStyle w:val="BodyText"/>
        <w:spacing w:line="352" w:lineRule="auto" w:before="38"/>
        <w:ind w:right="232" w:firstLine="479"/>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日，薪酬与考核委员会召开第二届第</w:t>
      </w:r>
      <w:r>
        <w:rPr>
          <w:rFonts w:ascii="Times New Roman" w:hAnsi="Times New Roman" w:cs="Times New Roman" w:eastAsia="Times New Roman" w:hint="default"/>
        </w:rPr>
        <w:t>4</w:t>
      </w:r>
      <w:r>
        <w:rPr/>
        <w:t>次会议，会议就股权激励实 施现状以及是否取消股权激励进行认真讨论，认为自公司推出股权激励计划以来，</w:t>
      </w:r>
      <w:r>
        <w:rPr>
          <w:spacing w:val="-73"/>
        </w:rPr>
        <w:t> </w:t>
      </w:r>
      <w:r>
        <w:rPr>
          <w:spacing w:val="-73"/>
        </w:rPr>
      </w:r>
      <w:r>
        <w:rPr/>
        <w:t>国内证券市场环境发生较大变化，市场价值持续低迷，若继续实施本次股票期权激</w:t>
      </w:r>
      <w:r>
        <w:rPr>
          <w:spacing w:val="-71"/>
        </w:rPr>
        <w:t> </w:t>
      </w:r>
      <w:r>
        <w:rPr>
          <w:spacing w:val="-71"/>
        </w:rPr>
      </w:r>
      <w:r>
        <w:rPr/>
        <w:t>励计划，将很难真正达到预期的激励效果，建议公司董事会终止正在实施的股票期</w:t>
      </w:r>
      <w:r>
        <w:rPr>
          <w:spacing w:val="-77"/>
        </w:rPr>
        <w:t> </w:t>
      </w:r>
      <w:r>
        <w:rPr>
          <w:spacing w:val="-77"/>
        </w:rPr>
      </w:r>
      <w:r>
        <w:rPr/>
        <w:t>权激励计划。</w:t>
      </w:r>
    </w:p>
    <w:p>
      <w:pPr>
        <w:pStyle w:val="BodyText"/>
        <w:spacing w:line="240" w:lineRule="auto" w:before="41"/>
        <w:ind w:left="1038"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spacing w:val="-5"/>
        </w:rPr>
        <w:t>日，薪酬与考核委员会召开第二届第</w:t>
      </w:r>
      <w:r>
        <w:rPr>
          <w:spacing w:val="-5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6"/>
        </w:rPr>
        <w:t>次会议，会议主要内容为：</w:t>
      </w:r>
    </w:p>
    <w:p>
      <w:pPr>
        <w:pStyle w:val="BodyText"/>
        <w:spacing w:line="240" w:lineRule="auto" w:before="136"/>
        <w:ind w:right="0"/>
        <w:jc w:val="left"/>
      </w:pPr>
      <w:r>
        <w:rPr/>
        <w:t>审议通过了人力资源部门提交的</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spacing w:val="-10"/>
        </w:rPr>
        <w:t>年度董事、高管薪酬考核结果，认为公司董事、</w:t>
      </w:r>
    </w:p>
    <w:p>
      <w:pPr>
        <w:pStyle w:val="BodyText"/>
        <w:spacing w:line="240" w:lineRule="auto" w:before="135"/>
        <w:ind w:right="102"/>
        <w:jc w:val="left"/>
      </w:pPr>
      <w:r>
        <w:rPr/>
        <w:t>高管人员</w:t>
      </w:r>
      <w:r>
        <w:rPr>
          <w:spacing w:val="-5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spacing w:val="-3"/>
        </w:rPr>
        <w:t>年度薪酬体符合公司的薪酬制度及具体方案，相应的报酬符合公司的</w:t>
      </w:r>
    </w:p>
    <w:p>
      <w:pPr>
        <w:spacing w:after="0" w:line="240" w:lineRule="auto"/>
        <w:jc w:val="left"/>
        <w:sectPr>
          <w:footerReference w:type="default" r:id="rId33"/>
          <w:pgSz w:w="11910" w:h="16840"/>
          <w:pgMar w:footer="1007" w:header="884" w:top="1160" w:bottom="1200" w:left="1240" w:right="1180"/>
          <w:pgNumType w:start="72"/>
        </w:sectPr>
      </w:pPr>
    </w:p>
    <w:p>
      <w:pPr>
        <w:spacing w:line="240" w:lineRule="auto" w:before="0"/>
        <w:rPr>
          <w:rFonts w:ascii="宋体" w:hAnsi="宋体" w:cs="宋体" w:eastAsia="宋体" w:hint="default"/>
          <w:sz w:val="21"/>
          <w:szCs w:val="21"/>
        </w:rPr>
      </w:pPr>
    </w:p>
    <w:p>
      <w:pPr>
        <w:pStyle w:val="BodyText"/>
        <w:spacing w:line="240" w:lineRule="auto" w:before="26"/>
        <w:ind w:right="0"/>
        <w:jc w:val="left"/>
      </w:pPr>
      <w:r>
        <w:rPr/>
        <w:t>整体经营业绩和个人绩效。</w:t>
      </w:r>
    </w:p>
    <w:p>
      <w:pPr>
        <w:spacing w:line="240" w:lineRule="auto" w:before="11"/>
        <w:rPr>
          <w:rFonts w:ascii="宋体" w:hAnsi="宋体" w:cs="宋体" w:eastAsia="宋体" w:hint="default"/>
          <w:sz w:val="28"/>
          <w:szCs w:val="28"/>
        </w:rPr>
      </w:pPr>
    </w:p>
    <w:p>
      <w:pPr>
        <w:pStyle w:val="Heading4"/>
        <w:spacing w:line="240" w:lineRule="auto"/>
        <w:ind w:left="558" w:right="0"/>
        <w:jc w:val="left"/>
        <w:rPr>
          <w:b w:val="0"/>
          <w:bCs w:val="0"/>
        </w:rPr>
      </w:pPr>
      <w:bookmarkStart w:name="_bookmark108" w:id="109"/>
      <w:bookmarkEnd w:id="109"/>
      <w:r>
        <w:rPr>
          <w:b w:val="0"/>
          <w:bCs w:val="0"/>
        </w:rPr>
      </w:r>
      <w:r>
        <w:rPr>
          <w:rFonts w:ascii="Times New Roman" w:hAnsi="Times New Roman" w:cs="Times New Roman" w:eastAsia="Times New Roman" w:hint="default"/>
        </w:rPr>
        <w:t>3</w:t>
      </w:r>
      <w:r>
        <w:rPr/>
        <w:t>、提名委员会</w:t>
      </w:r>
      <w:r>
        <w:rPr>
          <w:b w:val="0"/>
          <w:bCs w:val="0"/>
        </w:rPr>
      </w:r>
    </w:p>
    <w:p>
      <w:pPr>
        <w:spacing w:line="240" w:lineRule="auto" w:before="6"/>
        <w:rPr>
          <w:rFonts w:ascii="宋体" w:hAnsi="宋体" w:cs="宋体" w:eastAsia="宋体" w:hint="default"/>
          <w:b/>
          <w:bCs/>
          <w:sz w:val="27"/>
          <w:szCs w:val="27"/>
        </w:rPr>
      </w:pPr>
    </w:p>
    <w:p>
      <w:pPr>
        <w:pStyle w:val="BodyText"/>
        <w:spacing w:line="357" w:lineRule="auto"/>
        <w:ind w:right="129" w:firstLine="479"/>
        <w:jc w:val="both"/>
      </w:pPr>
      <w:r>
        <w:rPr/>
        <w:t>公司提名委员会委员为董云庭先生（召集人）、王浩先生、钟耳顺先生，人员 数目以及人员结构符合《公司章程》以及《公司提名委员会实施细则》的要求。</w:t>
      </w:r>
    </w:p>
    <w:p>
      <w:pPr>
        <w:pStyle w:val="BodyText"/>
        <w:spacing w:line="240" w:lineRule="auto" w:before="36"/>
        <w:ind w:left="1038" w:right="0"/>
        <w:jc w:val="left"/>
      </w:pPr>
      <w:r>
        <w:rPr/>
        <w:t>报告期内，提名委员会召开了</w:t>
      </w:r>
      <w:r>
        <w:rPr>
          <w:spacing w:val="-60"/>
        </w:rPr>
        <w:t> </w:t>
      </w:r>
      <w:r>
        <w:rPr>
          <w:rFonts w:ascii="Times New Roman" w:hAnsi="Times New Roman" w:cs="Times New Roman" w:eastAsia="Times New Roman" w:hint="default"/>
        </w:rPr>
        <w:t>0 </w:t>
      </w:r>
      <w:r>
        <w:rPr/>
        <w:t>次会议。</w:t>
      </w:r>
    </w:p>
    <w:p>
      <w:pPr>
        <w:spacing w:line="670" w:lineRule="atLeast" w:before="21"/>
        <w:ind w:left="1038" w:right="0" w:hanging="480"/>
        <w:jc w:val="left"/>
        <w:rPr>
          <w:rFonts w:ascii="宋体" w:hAnsi="宋体" w:cs="宋体" w:eastAsia="宋体" w:hint="default"/>
          <w:sz w:val="24"/>
          <w:szCs w:val="24"/>
        </w:rPr>
      </w:pPr>
      <w:bookmarkStart w:name="_bookmark109" w:id="110"/>
      <w:bookmarkEnd w:id="110"/>
      <w:r>
        <w:rPr/>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、战略与发展委员会</w:t>
      </w:r>
      <w:r>
        <w:rPr>
          <w:rFonts w:ascii="宋体" w:hAnsi="宋体" w:cs="宋体" w:eastAsia="宋体" w:hint="default"/>
          <w:b/>
          <w:bCs/>
          <w:w w:val="99"/>
          <w:sz w:val="24"/>
          <w:szCs w:val="24"/>
        </w:rPr>
        <w:t> </w:t>
      </w:r>
      <w:r>
        <w:rPr>
          <w:rFonts w:ascii="宋体" w:hAnsi="宋体" w:cs="宋体" w:eastAsia="宋体" w:hint="default"/>
          <w:spacing w:val="-6"/>
          <w:sz w:val="24"/>
          <w:szCs w:val="24"/>
        </w:rPr>
        <w:t>公司战略与发展委员会委员为王浩先生（召集人）、钟耳顺先生以及高星先生共</w:t>
      </w:r>
    </w:p>
    <w:p>
      <w:pPr>
        <w:pStyle w:val="BodyText"/>
        <w:spacing w:line="357" w:lineRule="auto" w:before="154"/>
        <w:ind w:right="0"/>
        <w:jc w:val="left"/>
      </w:pPr>
      <w:r>
        <w:rPr/>
        <w:t>计三名，人员数目以及人员结构符合《公司章程》以及《公司战略与发展委员会实</w:t>
      </w:r>
      <w:r>
        <w:rPr>
          <w:spacing w:val="-71"/>
        </w:rPr>
        <w:t> </w:t>
      </w:r>
      <w:r>
        <w:rPr>
          <w:spacing w:val="-71"/>
        </w:rPr>
      </w:r>
      <w:r>
        <w:rPr/>
        <w:t>施细则》的要求。</w:t>
      </w:r>
    </w:p>
    <w:p>
      <w:pPr>
        <w:pStyle w:val="BodyText"/>
        <w:spacing w:line="240" w:lineRule="auto" w:before="36"/>
        <w:ind w:left="1038" w:right="0"/>
        <w:jc w:val="left"/>
      </w:pPr>
      <w:r>
        <w:rPr/>
        <w:t>报告期内，战略与发展委员会召开了</w:t>
      </w:r>
      <w:r>
        <w:rPr>
          <w:spacing w:val="-60"/>
        </w:rPr>
        <w:t> </w:t>
      </w:r>
      <w:r>
        <w:rPr>
          <w:rFonts w:ascii="Times New Roman" w:hAnsi="Times New Roman" w:cs="Times New Roman" w:eastAsia="Times New Roman" w:hint="default"/>
        </w:rPr>
        <w:t>1 </w:t>
      </w:r>
      <w:r>
        <w:rPr/>
        <w:t>次会议。</w:t>
      </w:r>
    </w:p>
    <w:p>
      <w:pPr>
        <w:pStyle w:val="BodyText"/>
        <w:spacing w:line="348" w:lineRule="auto" w:before="135"/>
        <w:ind w:right="135" w:firstLine="479"/>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62"/>
        </w:rPr>
        <w:t> </w:t>
      </w:r>
      <w:r>
        <w:rPr>
          <w:rFonts w:ascii="Times New Roman" w:hAnsi="Times New Roman" w:cs="Times New Roman" w:eastAsia="Times New Roman" w:hint="default"/>
        </w:rPr>
        <w:t>08</w:t>
      </w:r>
      <w:r>
        <w:rPr>
          <w:rFonts w:ascii="Times New Roman" w:hAnsi="Times New Roman" w:cs="Times New Roman" w:eastAsia="Times New Roman" w:hint="default"/>
          <w:spacing w:val="-2"/>
        </w:rPr>
        <w:t> </w:t>
      </w:r>
      <w:r>
        <w:rPr/>
        <w:t>月</w:t>
      </w:r>
      <w:r>
        <w:rPr>
          <w:spacing w:val="-62"/>
        </w:rPr>
        <w:t> </w:t>
      </w:r>
      <w:r>
        <w:rPr>
          <w:rFonts w:ascii="Times New Roman" w:hAnsi="Times New Roman" w:cs="Times New Roman" w:eastAsia="Times New Roman" w:hint="default"/>
        </w:rPr>
        <w:t>15</w:t>
      </w:r>
      <w:r>
        <w:rPr>
          <w:rFonts w:ascii="Times New Roman" w:hAnsi="Times New Roman" w:cs="Times New Roman" w:eastAsia="Times New Roman" w:hint="default"/>
          <w:spacing w:val="-2"/>
        </w:rPr>
        <w:t> </w:t>
      </w:r>
      <w:r>
        <w:rPr/>
        <w:t>日，战略与发展委员会第二届第</w:t>
      </w:r>
      <w:r>
        <w:rPr>
          <w:spacing w:val="-62"/>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次会议召开，与会委员听取 了公司相关人员的报告，研究了相关资料，经认真讨论，同意公司关于使用超募资</w:t>
      </w:r>
      <w:r>
        <w:rPr>
          <w:spacing w:val="-77"/>
        </w:rPr>
        <w:t> </w:t>
      </w:r>
      <w:r>
        <w:rPr>
          <w:spacing w:val="-77"/>
        </w:rPr>
      </w:r>
      <w:r>
        <w:rPr/>
        <w:t>金</w:t>
      </w:r>
      <w:r>
        <w:rPr>
          <w:spacing w:val="-49"/>
        </w:rPr>
        <w:t> </w:t>
      </w:r>
      <w:r>
        <w:rPr>
          <w:rFonts w:ascii="Times New Roman" w:hAnsi="Times New Roman" w:cs="Times New Roman" w:eastAsia="Times New Roman" w:hint="default"/>
        </w:rPr>
        <w:t>2,809.5</w:t>
      </w:r>
      <w:r>
        <w:rPr>
          <w:rFonts w:ascii="Times New Roman" w:hAnsi="Times New Roman" w:cs="Times New Roman" w:eastAsia="Times New Roman" w:hint="default"/>
          <w:spacing w:val="12"/>
        </w:rPr>
        <w:t> </w:t>
      </w:r>
      <w:r>
        <w:rPr>
          <w:spacing w:val="-3"/>
        </w:rPr>
        <w:t>万元建设移动地理信息平台产品及整体方案研发与产业化项目，认为该项</w:t>
      </w:r>
      <w:r>
        <w:rPr/>
        <w:t> 目有利于进一步扩大公司产业规模，延伸现有产品线，提高营业收益，同时有利于</w:t>
      </w:r>
      <w:r>
        <w:rPr>
          <w:spacing w:val="-74"/>
        </w:rPr>
        <w:t> </w:t>
      </w:r>
      <w:r>
        <w:rPr>
          <w:spacing w:val="-74"/>
        </w:rPr>
      </w:r>
      <w:r>
        <w:rPr/>
        <w:t>推进行业的技术升级和产业升级，提升公司核心竞争力。</w:t>
      </w:r>
    </w:p>
    <w:p>
      <w:pPr>
        <w:spacing w:line="240" w:lineRule="auto" w:before="7"/>
        <w:rPr>
          <w:rFonts w:ascii="宋体" w:hAnsi="宋体" w:cs="宋体" w:eastAsia="宋体" w:hint="default"/>
          <w:sz w:val="20"/>
          <w:szCs w:val="20"/>
        </w:rPr>
      </w:pPr>
    </w:p>
    <w:p>
      <w:pPr>
        <w:pStyle w:val="Heading4"/>
        <w:spacing w:line="240" w:lineRule="auto"/>
        <w:ind w:left="558" w:right="0"/>
        <w:jc w:val="left"/>
        <w:rPr>
          <w:b w:val="0"/>
          <w:bCs w:val="0"/>
        </w:rPr>
      </w:pPr>
      <w:bookmarkStart w:name="_bookmark110" w:id="111"/>
      <w:bookmarkEnd w:id="111"/>
      <w:r>
        <w:rPr>
          <w:b w:val="0"/>
          <w:bCs w:val="0"/>
        </w:rPr>
      </w:r>
      <w:r>
        <w:rPr/>
        <w:t>六、独立董事履行职责情况</w:t>
      </w:r>
      <w:r>
        <w:rPr>
          <w:b w:val="0"/>
          <w:bCs w:val="0"/>
        </w:rPr>
      </w:r>
    </w:p>
    <w:p>
      <w:pPr>
        <w:spacing w:line="240" w:lineRule="auto" w:before="11"/>
        <w:rPr>
          <w:rFonts w:ascii="宋体" w:hAnsi="宋体" w:cs="宋体" w:eastAsia="宋体" w:hint="default"/>
          <w:b/>
          <w:bCs/>
          <w:sz w:val="28"/>
          <w:szCs w:val="28"/>
        </w:rPr>
      </w:pPr>
    </w:p>
    <w:p>
      <w:pPr>
        <w:pStyle w:val="BodyText"/>
        <w:spacing w:line="357" w:lineRule="auto"/>
        <w:ind w:right="138" w:firstLine="479"/>
        <w:jc w:val="both"/>
      </w:pPr>
      <w:r>
        <w:rPr>
          <w:spacing w:val="-13"/>
        </w:rPr>
        <w:t>报告期内，公司独立董事严格按照《公司章程》、《董事会议事规则》、《独立董</w:t>
      </w:r>
      <w:r>
        <w:rPr/>
        <w:t> 事工作制度》等相关规定行使自己的权利，履行自己的义务。</w:t>
      </w:r>
    </w:p>
    <w:p>
      <w:pPr>
        <w:spacing w:line="240" w:lineRule="auto" w:before="12"/>
        <w:rPr>
          <w:rFonts w:ascii="宋体" w:hAnsi="宋体" w:cs="宋体" w:eastAsia="宋体" w:hint="default"/>
          <w:sz w:val="19"/>
          <w:szCs w:val="19"/>
        </w:rPr>
      </w:pPr>
    </w:p>
    <w:p>
      <w:pPr>
        <w:pStyle w:val="Heading4"/>
        <w:spacing w:line="240" w:lineRule="auto"/>
        <w:ind w:left="558" w:right="0"/>
        <w:jc w:val="left"/>
        <w:rPr>
          <w:b w:val="0"/>
          <w:bCs w:val="0"/>
        </w:rPr>
      </w:pPr>
      <w:bookmarkStart w:name="_bookmark111" w:id="112"/>
      <w:bookmarkEnd w:id="112"/>
      <w:r>
        <w:rPr>
          <w:b w:val="0"/>
          <w:bCs w:val="0"/>
        </w:rPr>
      </w:r>
      <w:r>
        <w:rPr>
          <w:rFonts w:ascii="Times New Roman" w:hAnsi="Times New Roman" w:cs="Times New Roman" w:eastAsia="Times New Roman" w:hint="default"/>
        </w:rPr>
        <w:t>1</w:t>
      </w:r>
      <w:r>
        <w:rPr/>
        <w:t>、独立董事工作情况</w:t>
      </w:r>
      <w:r>
        <w:rPr>
          <w:b w:val="0"/>
          <w:bCs w:val="0"/>
        </w:rPr>
      </w:r>
    </w:p>
    <w:p>
      <w:pPr>
        <w:spacing w:line="240" w:lineRule="auto" w:before="3"/>
        <w:rPr>
          <w:rFonts w:ascii="宋体" w:hAnsi="宋体" w:cs="宋体" w:eastAsia="宋体" w:hint="default"/>
          <w:b/>
          <w:bCs/>
          <w:sz w:val="27"/>
          <w:szCs w:val="27"/>
        </w:rPr>
      </w:pPr>
    </w:p>
    <w:p>
      <w:pPr>
        <w:pStyle w:val="BodyText"/>
        <w:spacing w:line="357" w:lineRule="auto"/>
        <w:ind w:right="133" w:firstLine="479"/>
        <w:jc w:val="both"/>
      </w:pPr>
      <w:r>
        <w:rPr/>
        <w:t>根据《公司章程》的规定，公司董事九名，其中独立董事三名，独立董事人数 为董事会人数的三分之一，符合《公司法》以及《关于在上市公司建立独立董事制</w:t>
      </w:r>
      <w:r>
        <w:rPr>
          <w:spacing w:val="-77"/>
        </w:rPr>
        <w:t> </w:t>
      </w:r>
      <w:r>
        <w:rPr>
          <w:spacing w:val="-77"/>
        </w:rPr>
      </w:r>
      <w:r>
        <w:rPr/>
        <w:t>度的指导意见》的规定。第二届董事会独立董事为王浩先生、董云庭先生以及谢德</w:t>
      </w:r>
      <w:r>
        <w:rPr>
          <w:spacing w:val="-77"/>
        </w:rPr>
        <w:t> </w:t>
      </w:r>
      <w:r>
        <w:rPr>
          <w:spacing w:val="-77"/>
        </w:rPr>
      </w:r>
      <w:r>
        <w:rPr>
          <w:spacing w:val="-6"/>
        </w:rPr>
        <w:t>仁先生，各独立董事均能够严格按照《公司章程》、《独立董事工作制度》等相关规</w:t>
      </w:r>
      <w:r>
        <w:rPr>
          <w:spacing w:val="-91"/>
        </w:rPr>
        <w:t> </w:t>
      </w:r>
      <w:r>
        <w:rPr>
          <w:spacing w:val="-91"/>
        </w:rPr>
      </w:r>
      <w:r>
        <w:rPr/>
        <w:t>定，本着对公司以及股东负责的态度，勤勉尽责，积极出席相关会议，认真审议名</w:t>
      </w:r>
      <w:r>
        <w:rPr>
          <w:spacing w:val="-77"/>
        </w:rPr>
        <w:t> </w:t>
      </w:r>
      <w:r>
        <w:rPr>
          <w:spacing w:val="-77"/>
        </w:rPr>
      </w:r>
      <w:r>
        <w:rPr/>
        <w:t>项议案，客观发表自己的看法与建议。同时，各位独立董事积极了解公司运营、研</w:t>
      </w:r>
      <w:r>
        <w:rPr>
          <w:spacing w:val="-77"/>
        </w:rPr>
        <w:t> </w:t>
      </w:r>
      <w:r>
        <w:rPr>
          <w:spacing w:val="-77"/>
        </w:rPr>
      </w:r>
      <w:r>
        <w:rPr/>
        <w:t>发状况、内控建设状况以及董事会决议、股东会决议的执行情况，并运用自己的专</w:t>
      </w:r>
    </w:p>
    <w:p>
      <w:pPr>
        <w:spacing w:after="0" w:line="357" w:lineRule="auto"/>
        <w:jc w:val="both"/>
        <w:sectPr>
          <w:footerReference w:type="default" r:id="rId34"/>
          <w:pgSz w:w="11910" w:h="16840"/>
          <w:pgMar w:footer="1007" w:header="884" w:top="1160" w:bottom="1200" w:left="1240" w:right="1280"/>
          <w:pgNumType w:start="73"/>
        </w:sectPr>
      </w:pPr>
    </w:p>
    <w:p>
      <w:pPr>
        <w:spacing w:line="240" w:lineRule="auto" w:before="0"/>
        <w:rPr>
          <w:rFonts w:ascii="宋体" w:hAnsi="宋体" w:cs="宋体" w:eastAsia="宋体" w:hint="default"/>
          <w:sz w:val="21"/>
          <w:szCs w:val="21"/>
        </w:rPr>
      </w:pPr>
    </w:p>
    <w:p>
      <w:pPr>
        <w:pStyle w:val="BodyText"/>
        <w:spacing w:line="357" w:lineRule="auto" w:before="26"/>
        <w:ind w:right="258"/>
        <w:jc w:val="both"/>
      </w:pPr>
      <w:r>
        <w:rPr/>
        <w:t>业知识做出独立、公正的判断。在报告期内，对公司股权激励事宜、关联交易、续</w:t>
      </w:r>
      <w:r>
        <w:rPr>
          <w:spacing w:val="-77"/>
        </w:rPr>
        <w:t> </w:t>
      </w:r>
      <w:r>
        <w:rPr>
          <w:spacing w:val="-77"/>
        </w:rPr>
      </w:r>
      <w:r>
        <w:rPr/>
        <w:t>聘审计机构、内控的自我评价、聘任高管成员等事项发表独立董事意见，不受公司</w:t>
      </w:r>
      <w:r>
        <w:rPr>
          <w:spacing w:val="-77"/>
        </w:rPr>
        <w:t> </w:t>
      </w:r>
      <w:r>
        <w:rPr>
          <w:spacing w:val="-77"/>
        </w:rPr>
      </w:r>
      <w:r>
        <w:rPr/>
        <w:t>和投股股东的影响，切实维护了中小股东的利益。</w:t>
      </w:r>
    </w:p>
    <w:p>
      <w:pPr>
        <w:spacing w:line="240" w:lineRule="auto" w:before="11"/>
        <w:rPr>
          <w:rFonts w:ascii="宋体" w:hAnsi="宋体" w:cs="宋体" w:eastAsia="宋体" w:hint="default"/>
          <w:sz w:val="19"/>
          <w:szCs w:val="19"/>
        </w:rPr>
      </w:pPr>
    </w:p>
    <w:p>
      <w:pPr>
        <w:pStyle w:val="Heading4"/>
        <w:spacing w:line="240" w:lineRule="auto"/>
        <w:ind w:left="558" w:right="0"/>
        <w:jc w:val="both"/>
        <w:rPr>
          <w:b w:val="0"/>
          <w:bCs w:val="0"/>
        </w:rPr>
      </w:pPr>
      <w:bookmarkStart w:name="_bookmark112" w:id="113"/>
      <w:bookmarkEnd w:id="113"/>
      <w:r>
        <w:rPr>
          <w:b w:val="0"/>
          <w:bCs w:val="0"/>
        </w:rPr>
      </w:r>
      <w:r>
        <w:rPr>
          <w:rFonts w:ascii="Times New Roman" w:hAnsi="Times New Roman" w:cs="Times New Roman" w:eastAsia="Times New Roman" w:hint="default"/>
        </w:rPr>
        <w:t>2</w:t>
      </w:r>
      <w:r>
        <w:rPr/>
        <w:t>、报告期内公司独立董事出席董事会情况</w:t>
      </w:r>
      <w:r>
        <w:rPr>
          <w:b w:val="0"/>
          <w:bCs w:val="0"/>
        </w:rPr>
      </w:r>
    </w:p>
    <w:p>
      <w:pPr>
        <w:spacing w:line="240" w:lineRule="auto" w:before="6"/>
        <w:rPr>
          <w:rFonts w:ascii="宋体" w:hAnsi="宋体" w:cs="宋体" w:eastAsia="宋体" w:hint="default"/>
          <w:b/>
          <w:bCs/>
          <w:sz w:val="24"/>
          <w:szCs w:val="24"/>
        </w:rPr>
      </w:pPr>
    </w:p>
    <w:tbl>
      <w:tblPr>
        <w:tblW w:w="0" w:type="auto"/>
        <w:jc w:val="left"/>
        <w:tblInd w:w="435" w:type="dxa"/>
        <w:tblLayout w:type="fixed"/>
        <w:tblCellMar>
          <w:top w:w="0" w:type="dxa"/>
          <w:left w:w="0" w:type="dxa"/>
          <w:bottom w:w="0" w:type="dxa"/>
          <w:right w:w="0" w:type="dxa"/>
        </w:tblCellMar>
        <w:tblLook w:val="01E0"/>
      </w:tblPr>
      <w:tblGrid>
        <w:gridCol w:w="1272"/>
        <w:gridCol w:w="1273"/>
        <w:gridCol w:w="1123"/>
        <w:gridCol w:w="1040"/>
        <w:gridCol w:w="1186"/>
        <w:gridCol w:w="739"/>
        <w:gridCol w:w="2276"/>
      </w:tblGrid>
      <w:tr>
        <w:trPr>
          <w:trHeight w:val="334" w:hRule="exact"/>
        </w:trPr>
        <w:tc>
          <w:tcPr>
            <w:tcW w:w="3668" w:type="dxa"/>
            <w:gridSpan w:val="3"/>
            <w:tcBorders>
              <w:top w:val="single" w:sz="12" w:space="0" w:color="000000"/>
              <w:left w:val="single" w:sz="12" w:space="0" w:color="000000"/>
              <w:bottom w:val="single" w:sz="6" w:space="0" w:color="000000"/>
              <w:right w:val="single" w:sz="6" w:space="0" w:color="000000"/>
            </w:tcBorders>
          </w:tcPr>
          <w:p>
            <w:pPr>
              <w:pStyle w:val="TableParagraph"/>
              <w:spacing w:line="262" w:lineRule="exact"/>
              <w:ind w:left="662" w:right="0"/>
              <w:jc w:val="left"/>
              <w:rPr>
                <w:rFonts w:ascii="宋体" w:hAnsi="宋体" w:cs="宋体" w:eastAsia="宋体" w:hint="default"/>
                <w:sz w:val="21"/>
                <w:szCs w:val="21"/>
              </w:rPr>
            </w:pPr>
            <w:r>
              <w:rPr>
                <w:rFonts w:ascii="宋体" w:hAnsi="宋体" w:cs="宋体" w:eastAsia="宋体" w:hint="default"/>
                <w:sz w:val="21"/>
                <w:szCs w:val="21"/>
              </w:rPr>
              <w:t>报告期内董事会召开次数</w:t>
            </w:r>
          </w:p>
        </w:tc>
        <w:tc>
          <w:tcPr>
            <w:tcW w:w="5240" w:type="dxa"/>
            <w:gridSpan w:val="4"/>
            <w:tcBorders>
              <w:top w:val="single" w:sz="12" w:space="0" w:color="000000"/>
              <w:left w:val="single" w:sz="6" w:space="0" w:color="000000"/>
              <w:bottom w:val="single" w:sz="6" w:space="0" w:color="000000"/>
              <w:right w:val="single" w:sz="12" w:space="0" w:color="000000"/>
            </w:tcBorders>
          </w:tcPr>
          <w:p>
            <w:pPr>
              <w:pStyle w:val="TableParagraph"/>
              <w:spacing w:line="240" w:lineRule="auto" w:before="34"/>
              <w:ind w:left="4" w:right="0"/>
              <w:jc w:val="center"/>
              <w:rPr>
                <w:rFonts w:ascii="Times New Roman" w:hAnsi="Times New Roman" w:cs="Times New Roman" w:eastAsia="Times New Roman" w:hint="default"/>
                <w:sz w:val="21"/>
                <w:szCs w:val="21"/>
              </w:rPr>
            </w:pPr>
            <w:r>
              <w:rPr>
                <w:rFonts w:ascii="Times New Roman"/>
                <w:w w:val="100"/>
                <w:sz w:val="21"/>
              </w:rPr>
              <w:t>7</w:t>
            </w:r>
          </w:p>
        </w:tc>
      </w:tr>
      <w:tr>
        <w:trPr>
          <w:trHeight w:val="638" w:hRule="exact"/>
        </w:trPr>
        <w:tc>
          <w:tcPr>
            <w:tcW w:w="127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b/>
                <w:bCs/>
                <w:sz w:val="21"/>
                <w:szCs w:val="21"/>
              </w:rPr>
              <w:t>董事姓名</w:t>
            </w:r>
            <w:r>
              <w:rPr>
                <w:rFonts w:ascii="宋体" w:hAnsi="宋体" w:cs="宋体" w:eastAsia="宋体" w:hint="default"/>
                <w:sz w:val="21"/>
                <w:szCs w:val="21"/>
              </w:rPr>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具体职务</w:t>
            </w:r>
            <w:r>
              <w:rPr>
                <w:rFonts w:ascii="宋体" w:hAnsi="宋体" w:cs="宋体" w:eastAsia="宋体" w:hint="default"/>
                <w:sz w:val="21"/>
                <w:szCs w:val="21"/>
              </w:rPr>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46" w:right="132" w:hanging="317"/>
              <w:jc w:val="left"/>
              <w:rPr>
                <w:rFonts w:ascii="宋体" w:hAnsi="宋体" w:cs="宋体" w:eastAsia="宋体" w:hint="default"/>
                <w:sz w:val="21"/>
                <w:szCs w:val="21"/>
              </w:rPr>
            </w:pPr>
            <w:r>
              <w:rPr>
                <w:rFonts w:ascii="宋体" w:hAnsi="宋体" w:cs="宋体" w:eastAsia="宋体" w:hint="default"/>
                <w:b/>
                <w:bCs/>
                <w:sz w:val="21"/>
                <w:szCs w:val="21"/>
              </w:rPr>
              <w:t>应出席次</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94" w:right="195"/>
              <w:jc w:val="left"/>
              <w:rPr>
                <w:rFonts w:ascii="宋体" w:hAnsi="宋体" w:cs="宋体" w:eastAsia="宋体" w:hint="default"/>
                <w:sz w:val="21"/>
                <w:szCs w:val="21"/>
              </w:rPr>
            </w:pPr>
            <w:r>
              <w:rPr>
                <w:rFonts w:ascii="宋体" w:hAnsi="宋体" w:cs="宋体" w:eastAsia="宋体" w:hint="default"/>
                <w:b/>
                <w:bCs/>
                <w:sz w:val="21"/>
                <w:szCs w:val="21"/>
              </w:rPr>
              <w:t>亲自出</w:t>
            </w:r>
            <w:r>
              <w:rPr>
                <w:rFonts w:ascii="宋体" w:hAnsi="宋体" w:cs="宋体" w:eastAsia="宋体" w:hint="default"/>
                <w:b/>
                <w:bCs/>
                <w:w w:val="100"/>
                <w:sz w:val="21"/>
                <w:szCs w:val="21"/>
              </w:rPr>
              <w:t> </w:t>
            </w:r>
            <w:r>
              <w:rPr>
                <w:rFonts w:ascii="宋体" w:hAnsi="宋体" w:cs="宋体" w:eastAsia="宋体" w:hint="default"/>
                <w:b/>
                <w:bCs/>
                <w:sz w:val="21"/>
                <w:szCs w:val="21"/>
              </w:rPr>
              <w:t>席次数</w:t>
            </w:r>
            <w:r>
              <w:rPr>
                <w:rFonts w:ascii="宋体" w:hAnsi="宋体" w:cs="宋体" w:eastAsia="宋体" w:hint="default"/>
                <w:sz w:val="21"/>
                <w:szCs w:val="21"/>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74" w:right="161" w:hanging="212"/>
              <w:jc w:val="left"/>
              <w:rPr>
                <w:rFonts w:ascii="宋体" w:hAnsi="宋体" w:cs="宋体" w:eastAsia="宋体" w:hint="default"/>
                <w:sz w:val="21"/>
                <w:szCs w:val="21"/>
              </w:rPr>
            </w:pPr>
            <w:r>
              <w:rPr>
                <w:rFonts w:ascii="宋体" w:hAnsi="宋体" w:cs="宋体" w:eastAsia="宋体" w:hint="default"/>
                <w:b/>
                <w:bCs/>
                <w:sz w:val="21"/>
                <w:szCs w:val="21"/>
              </w:rPr>
              <w:t>委托出席</w:t>
            </w:r>
            <w:r>
              <w:rPr>
                <w:rFonts w:ascii="宋体" w:hAnsi="宋体" w:cs="宋体" w:eastAsia="宋体" w:hint="default"/>
                <w:b/>
                <w:bCs/>
                <w:w w:val="100"/>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48" w:right="151"/>
              <w:jc w:val="left"/>
              <w:rPr>
                <w:rFonts w:ascii="宋体" w:hAnsi="宋体" w:cs="宋体" w:eastAsia="宋体" w:hint="default"/>
                <w:sz w:val="21"/>
                <w:szCs w:val="21"/>
              </w:rPr>
            </w:pPr>
            <w:r>
              <w:rPr>
                <w:rFonts w:ascii="宋体" w:hAnsi="宋体" w:cs="宋体" w:eastAsia="宋体" w:hint="default"/>
                <w:b/>
                <w:bCs/>
                <w:sz w:val="21"/>
                <w:szCs w:val="21"/>
              </w:rPr>
              <w:t>缺席</w:t>
            </w:r>
            <w:r>
              <w:rPr>
                <w:rFonts w:ascii="宋体" w:hAnsi="宋体" w:cs="宋体" w:eastAsia="宋体" w:hint="default"/>
                <w:b/>
                <w:bCs/>
                <w:w w:val="100"/>
                <w:sz w:val="21"/>
                <w:szCs w:val="21"/>
              </w:rPr>
              <w:t> </w:t>
            </w:r>
            <w:r>
              <w:rPr>
                <w:rFonts w:ascii="宋体" w:hAnsi="宋体" w:cs="宋体" w:eastAsia="宋体" w:hint="default"/>
                <w:b/>
                <w:bCs/>
                <w:sz w:val="21"/>
                <w:szCs w:val="21"/>
              </w:rPr>
              <w:t>次数</w:t>
            </w:r>
            <w:r>
              <w:rPr>
                <w:rFonts w:ascii="宋体" w:hAnsi="宋体" w:cs="宋体" w:eastAsia="宋体" w:hint="default"/>
                <w:sz w:val="21"/>
                <w:szCs w:val="21"/>
              </w:rPr>
            </w:r>
          </w:p>
        </w:tc>
        <w:tc>
          <w:tcPr>
            <w:tcW w:w="2276"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ind w:left="708" w:right="171" w:hanging="529"/>
              <w:jc w:val="left"/>
              <w:rPr>
                <w:rFonts w:ascii="宋体" w:hAnsi="宋体" w:cs="宋体" w:eastAsia="宋体" w:hint="default"/>
                <w:sz w:val="21"/>
                <w:szCs w:val="21"/>
              </w:rPr>
            </w:pPr>
            <w:r>
              <w:rPr>
                <w:rFonts w:ascii="宋体" w:hAnsi="宋体" w:cs="宋体" w:eastAsia="宋体" w:hint="default"/>
                <w:b/>
                <w:bCs/>
                <w:sz w:val="21"/>
                <w:szCs w:val="21"/>
              </w:rPr>
              <w:t>是否连续两次未亲自</w:t>
            </w:r>
            <w:r>
              <w:rPr>
                <w:rFonts w:ascii="宋体" w:hAnsi="宋体" w:cs="宋体" w:eastAsia="宋体" w:hint="default"/>
                <w:b/>
                <w:bCs/>
                <w:spacing w:val="-103"/>
                <w:sz w:val="21"/>
                <w:szCs w:val="21"/>
              </w:rPr>
              <w:t> </w:t>
            </w:r>
            <w:r>
              <w:rPr>
                <w:rFonts w:ascii="宋体" w:hAnsi="宋体" w:cs="宋体" w:eastAsia="宋体" w:hint="default"/>
                <w:b/>
                <w:bCs/>
                <w:sz w:val="21"/>
                <w:szCs w:val="21"/>
              </w:rPr>
              <w:t>出席会议</w:t>
            </w:r>
            <w:r>
              <w:rPr>
                <w:rFonts w:ascii="宋体" w:hAnsi="宋体" w:cs="宋体" w:eastAsia="宋体" w:hint="default"/>
                <w:sz w:val="21"/>
                <w:szCs w:val="21"/>
              </w:rPr>
            </w:r>
          </w:p>
        </w:tc>
      </w:tr>
      <w:tr>
        <w:trPr>
          <w:trHeight w:val="329" w:hRule="exact"/>
        </w:trPr>
        <w:tc>
          <w:tcPr>
            <w:tcW w:w="1272" w:type="dxa"/>
            <w:tcBorders>
              <w:top w:val="single" w:sz="6" w:space="0" w:color="000000"/>
              <w:left w:val="single" w:sz="12" w:space="0" w:color="000000"/>
              <w:bottom w:val="single" w:sz="6" w:space="0" w:color="000000"/>
              <w:right w:val="single" w:sz="6" w:space="0" w:color="000000"/>
            </w:tcBorders>
          </w:tcPr>
          <w:p>
            <w:pPr>
              <w:pStyle w:val="TableParagraph"/>
              <w:spacing w:line="265" w:lineRule="exact"/>
              <w:ind w:right="5"/>
              <w:jc w:val="center"/>
              <w:rPr>
                <w:rFonts w:ascii="宋体" w:hAnsi="宋体" w:cs="宋体" w:eastAsia="宋体" w:hint="default"/>
                <w:sz w:val="21"/>
                <w:szCs w:val="21"/>
              </w:rPr>
            </w:pPr>
            <w:r>
              <w:rPr>
                <w:rFonts w:ascii="宋体" w:hAnsi="宋体" w:cs="宋体" w:eastAsia="宋体" w:hint="default"/>
                <w:sz w:val="21"/>
                <w:szCs w:val="21"/>
              </w:rPr>
              <w:t>王浩</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center"/>
              <w:rPr>
                <w:rFonts w:ascii="Times New Roman" w:hAnsi="Times New Roman" w:cs="Times New Roman" w:eastAsia="Times New Roman" w:hint="default"/>
                <w:sz w:val="21"/>
                <w:szCs w:val="21"/>
              </w:rPr>
            </w:pPr>
            <w:r>
              <w:rPr>
                <w:rFonts w:ascii="Times New Roman"/>
                <w:w w:val="100"/>
                <w:sz w:val="21"/>
              </w:rPr>
              <w:t>7</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Times New Roman" w:hAnsi="Times New Roman" w:cs="Times New Roman" w:eastAsia="Times New Roman" w:hint="default"/>
                <w:sz w:val="21"/>
                <w:szCs w:val="21"/>
              </w:rPr>
            </w:pPr>
            <w:r>
              <w:rPr>
                <w:rFonts w:ascii="Times New Roman"/>
                <w:w w:val="100"/>
                <w:sz w:val="21"/>
              </w:rPr>
              <w:t>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0"/>
              <w:jc w:val="center"/>
              <w:rPr>
                <w:rFonts w:ascii="Times New Roman" w:hAnsi="Times New Roman" w:cs="Times New Roman" w:eastAsia="Times New Roman" w:hint="default"/>
                <w:sz w:val="21"/>
                <w:szCs w:val="21"/>
              </w:rPr>
            </w:pPr>
            <w:r>
              <w:rPr>
                <w:rFonts w:ascii="Times New Roman"/>
                <w:w w:val="100"/>
                <w:sz w:val="21"/>
              </w:rPr>
              <w:t>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right="2"/>
              <w:jc w:val="center"/>
              <w:rPr>
                <w:rFonts w:ascii="Times New Roman" w:hAnsi="Times New Roman" w:cs="Times New Roman" w:eastAsia="Times New Roman" w:hint="default"/>
                <w:sz w:val="21"/>
                <w:szCs w:val="21"/>
              </w:rPr>
            </w:pPr>
            <w:r>
              <w:rPr>
                <w:rFonts w:ascii="Times New Roman"/>
                <w:w w:val="100"/>
                <w:sz w:val="21"/>
              </w:rPr>
              <w:t>0</w:t>
            </w:r>
          </w:p>
        </w:tc>
        <w:tc>
          <w:tcPr>
            <w:tcW w:w="2276" w:type="dxa"/>
            <w:tcBorders>
              <w:top w:val="single" w:sz="6" w:space="0" w:color="000000"/>
              <w:left w:val="single" w:sz="6" w:space="0" w:color="000000"/>
              <w:bottom w:val="single" w:sz="6" w:space="0" w:color="000000"/>
              <w:right w:val="single" w:sz="12" w:space="0" w:color="000000"/>
            </w:tcBorders>
          </w:tcPr>
          <w:p>
            <w:pPr>
              <w:pStyle w:val="TableParagraph"/>
              <w:spacing w:line="265" w:lineRule="exact"/>
              <w:ind w:right="101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26" w:hRule="exact"/>
        </w:trPr>
        <w:tc>
          <w:tcPr>
            <w:tcW w:w="1272" w:type="dxa"/>
            <w:tcBorders>
              <w:top w:val="single" w:sz="6" w:space="0" w:color="000000"/>
              <w:left w:val="single" w:sz="12" w:space="0" w:color="000000"/>
              <w:bottom w:val="single" w:sz="6" w:space="0" w:color="000000"/>
              <w:right w:val="single" w:sz="6"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董云庭</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7</w:t>
            </w:r>
          </w:p>
        </w:tc>
        <w:tc>
          <w:tcPr>
            <w:tcW w:w="1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7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0</w:t>
            </w:r>
          </w:p>
        </w:tc>
        <w:tc>
          <w:tcPr>
            <w:tcW w:w="2276" w:type="dxa"/>
            <w:tcBorders>
              <w:top w:val="single" w:sz="6" w:space="0" w:color="000000"/>
              <w:left w:val="single" w:sz="6" w:space="0" w:color="000000"/>
              <w:bottom w:val="single" w:sz="6" w:space="0" w:color="000000"/>
              <w:right w:val="single" w:sz="12" w:space="0" w:color="000000"/>
            </w:tcBorders>
          </w:tcPr>
          <w:p>
            <w:pPr>
              <w:pStyle w:val="TableParagraph"/>
              <w:spacing w:line="262" w:lineRule="exact"/>
              <w:ind w:right="1019"/>
              <w:jc w:val="righ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36" w:hRule="exact"/>
        </w:trPr>
        <w:tc>
          <w:tcPr>
            <w:tcW w:w="1272" w:type="dxa"/>
            <w:tcBorders>
              <w:top w:val="single" w:sz="6" w:space="0" w:color="000000"/>
              <w:left w:val="single" w:sz="12" w:space="0" w:color="000000"/>
              <w:bottom w:val="single" w:sz="12" w:space="0" w:color="000000"/>
              <w:right w:val="single" w:sz="6" w:space="0" w:color="000000"/>
            </w:tcBorders>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谢德仁</w:t>
            </w:r>
          </w:p>
        </w:tc>
        <w:tc>
          <w:tcPr>
            <w:tcW w:w="1273" w:type="dxa"/>
            <w:tcBorders>
              <w:top w:val="single" w:sz="6" w:space="0" w:color="000000"/>
              <w:left w:val="single" w:sz="6" w:space="0" w:color="000000"/>
              <w:bottom w:val="single" w:sz="12"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12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7</w:t>
            </w:r>
          </w:p>
        </w:tc>
        <w:tc>
          <w:tcPr>
            <w:tcW w:w="10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7</w:t>
            </w:r>
          </w:p>
        </w:tc>
        <w:tc>
          <w:tcPr>
            <w:tcW w:w="11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w w:val="100"/>
                <w:sz w:val="21"/>
              </w:rPr>
              <w:t>0</w:t>
            </w:r>
          </w:p>
        </w:tc>
        <w:tc>
          <w:tcPr>
            <w:tcW w:w="7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4"/>
              <w:ind w:right="2"/>
              <w:jc w:val="center"/>
              <w:rPr>
                <w:rFonts w:ascii="Times New Roman" w:hAnsi="Times New Roman" w:cs="Times New Roman" w:eastAsia="Times New Roman" w:hint="default"/>
                <w:sz w:val="21"/>
                <w:szCs w:val="21"/>
              </w:rPr>
            </w:pPr>
            <w:r>
              <w:rPr>
                <w:rFonts w:ascii="Times New Roman"/>
                <w:w w:val="100"/>
                <w:sz w:val="21"/>
              </w:rPr>
              <w:t>0</w:t>
            </w:r>
          </w:p>
        </w:tc>
        <w:tc>
          <w:tcPr>
            <w:tcW w:w="2276" w:type="dxa"/>
            <w:tcBorders>
              <w:top w:val="single" w:sz="6" w:space="0" w:color="000000"/>
              <w:left w:val="single" w:sz="6" w:space="0" w:color="000000"/>
              <w:bottom w:val="single" w:sz="12" w:space="0" w:color="000000"/>
              <w:right w:val="single" w:sz="12" w:space="0" w:color="000000"/>
            </w:tcBorders>
          </w:tcPr>
          <w:p>
            <w:pPr>
              <w:pStyle w:val="TableParagraph"/>
              <w:spacing w:line="262" w:lineRule="exact"/>
              <w:ind w:right="1019"/>
              <w:jc w:val="right"/>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1"/>
        <w:rPr>
          <w:rFonts w:ascii="宋体" w:hAnsi="宋体" w:cs="宋体" w:eastAsia="宋体" w:hint="default"/>
          <w:b/>
          <w:bCs/>
          <w:sz w:val="18"/>
          <w:szCs w:val="18"/>
        </w:rPr>
      </w:pPr>
    </w:p>
    <w:p>
      <w:pPr>
        <w:pStyle w:val="Heading4"/>
        <w:spacing w:line="240" w:lineRule="auto" w:before="26"/>
        <w:ind w:left="558" w:right="0"/>
        <w:jc w:val="left"/>
        <w:rPr>
          <w:b w:val="0"/>
          <w:bCs w:val="0"/>
        </w:rPr>
      </w:pPr>
      <w:bookmarkStart w:name="_bookmark113" w:id="114"/>
      <w:bookmarkEnd w:id="114"/>
      <w:r>
        <w:rPr>
          <w:b w:val="0"/>
          <w:bCs w:val="0"/>
        </w:rPr>
      </w:r>
      <w:r>
        <w:rPr>
          <w:rFonts w:ascii="Times New Roman" w:hAnsi="Times New Roman" w:cs="Times New Roman" w:eastAsia="Times New Roman" w:hint="default"/>
        </w:rPr>
        <w:t>3</w:t>
      </w:r>
      <w:r>
        <w:rPr/>
        <w:t>、报告期内，公司独立董事对公司董事会的议案及公司其他事项均没有提出异议。</w:t>
      </w:r>
      <w:r>
        <w:rPr>
          <w:b w:val="0"/>
          <w:bCs w:val="0"/>
        </w:rPr>
      </w:r>
    </w:p>
    <w:p>
      <w:pPr>
        <w:spacing w:line="240" w:lineRule="auto" w:before="0"/>
        <w:rPr>
          <w:rFonts w:ascii="宋体" w:hAnsi="宋体" w:cs="宋体" w:eastAsia="宋体" w:hint="default"/>
          <w:b/>
          <w:bCs/>
          <w:sz w:val="24"/>
          <w:szCs w:val="24"/>
        </w:rPr>
      </w:pPr>
    </w:p>
    <w:p>
      <w:pPr>
        <w:spacing w:line="690" w:lineRule="atLeast" w:before="201"/>
        <w:ind w:left="558" w:right="3408" w:firstLine="0"/>
        <w:jc w:val="left"/>
        <w:rPr>
          <w:rFonts w:ascii="宋体" w:hAnsi="宋体" w:cs="宋体" w:eastAsia="宋体" w:hint="default"/>
          <w:sz w:val="24"/>
          <w:szCs w:val="24"/>
        </w:rPr>
      </w:pPr>
      <w:bookmarkStart w:name="_bookmark114" w:id="115"/>
      <w:bookmarkEnd w:id="115"/>
      <w:r>
        <w:rPr/>
      </w:r>
      <w:r>
        <w:rPr>
          <w:rFonts w:ascii="宋体" w:hAnsi="宋体" w:cs="宋体" w:eastAsia="宋体" w:hint="default"/>
          <w:b/>
          <w:bCs/>
          <w:sz w:val="24"/>
          <w:szCs w:val="24"/>
        </w:rPr>
        <w:t>七、监事会工作情况</w:t>
      </w:r>
      <w:r>
        <w:rPr>
          <w:rFonts w:ascii="宋体" w:hAnsi="宋体" w:cs="宋体" w:eastAsia="宋体" w:hint="default"/>
          <w:b/>
          <w:bCs/>
          <w:w w:val="99"/>
          <w:sz w:val="24"/>
          <w:szCs w:val="24"/>
        </w:rPr>
        <w:t> </w:t>
      </w:r>
      <w:r>
        <w:rPr>
          <w:rFonts w:ascii="宋体" w:hAnsi="宋体" w:cs="宋体" w:eastAsia="宋体" w:hint="default"/>
          <w:sz w:val="24"/>
          <w:szCs w:val="24"/>
        </w:rPr>
        <w:t>监事会在报告期内的监督活动是否发现公司存在风险</w:t>
      </w:r>
    </w:p>
    <w:p>
      <w:pPr>
        <w:pStyle w:val="BodyText"/>
        <w:spacing w:line="338" w:lineRule="auto" w:before="154"/>
        <w:ind w:right="4368"/>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8"/>
        </w:rPr>
        <w:t> </w:t>
      </w:r>
      <w:r>
        <w:rPr/>
        <w:t>否 公司监事会对报告期内的监督事项无异议。</w:t>
      </w:r>
    </w:p>
    <w:p>
      <w:pPr>
        <w:spacing w:line="240" w:lineRule="auto" w:before="4"/>
        <w:rPr>
          <w:rFonts w:ascii="宋体" w:hAnsi="宋体" w:cs="宋体" w:eastAsia="宋体" w:hint="default"/>
          <w:sz w:val="21"/>
          <w:szCs w:val="21"/>
        </w:rPr>
      </w:pPr>
    </w:p>
    <w:p>
      <w:pPr>
        <w:pStyle w:val="Heading4"/>
        <w:spacing w:line="240" w:lineRule="auto"/>
        <w:ind w:left="558" w:right="0"/>
        <w:jc w:val="left"/>
        <w:rPr>
          <w:b w:val="0"/>
          <w:bCs w:val="0"/>
        </w:rPr>
      </w:pPr>
      <w:bookmarkStart w:name="_bookmark115" w:id="116"/>
      <w:bookmarkEnd w:id="116"/>
      <w:r>
        <w:rPr>
          <w:b w:val="0"/>
          <w:bCs w:val="0"/>
        </w:rPr>
      </w:r>
      <w:r>
        <w:rPr>
          <w:rFonts w:ascii="Times New Roman" w:hAnsi="Times New Roman" w:cs="Times New Roman" w:eastAsia="Times New Roman" w:hint="default"/>
        </w:rPr>
        <w:t>1</w:t>
      </w:r>
      <w:r>
        <w:rPr/>
        <w:t>、报告期内监事会会议情况</w:t>
      </w:r>
      <w:r>
        <w:rPr>
          <w:b w:val="0"/>
          <w:bCs w:val="0"/>
        </w:rPr>
      </w:r>
    </w:p>
    <w:p>
      <w:pPr>
        <w:spacing w:line="240" w:lineRule="auto" w:before="3"/>
        <w:rPr>
          <w:rFonts w:ascii="宋体" w:hAnsi="宋体" w:cs="宋体" w:eastAsia="宋体" w:hint="default"/>
          <w:b/>
          <w:bCs/>
          <w:sz w:val="29"/>
          <w:szCs w:val="29"/>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年度，监事会共召开</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次会议，会议情况如下：</w:t>
      </w:r>
    </w:p>
    <w:p>
      <w:pPr>
        <w:spacing w:line="240" w:lineRule="auto" w:before="8"/>
        <w:rPr>
          <w:rFonts w:ascii="宋体" w:hAnsi="宋体" w:cs="宋体" w:eastAsia="宋体" w:hint="default"/>
          <w:sz w:val="8"/>
          <w:szCs w:val="8"/>
        </w:rPr>
      </w:pPr>
    </w:p>
    <w:tbl>
      <w:tblPr>
        <w:tblW w:w="0" w:type="auto"/>
        <w:jc w:val="left"/>
        <w:tblInd w:w="435" w:type="dxa"/>
        <w:tblLayout w:type="fixed"/>
        <w:tblCellMar>
          <w:top w:w="0" w:type="dxa"/>
          <w:left w:w="0" w:type="dxa"/>
          <w:bottom w:w="0" w:type="dxa"/>
          <w:right w:w="0" w:type="dxa"/>
        </w:tblCellMar>
        <w:tblLook w:val="01E0"/>
      </w:tblPr>
      <w:tblGrid>
        <w:gridCol w:w="1642"/>
        <w:gridCol w:w="6124"/>
        <w:gridCol w:w="1142"/>
      </w:tblGrid>
      <w:tr>
        <w:trPr>
          <w:trHeight w:val="492" w:hRule="exact"/>
        </w:trPr>
        <w:tc>
          <w:tcPr>
            <w:tcW w:w="164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6"/>
              <w:ind w:left="383" w:right="0"/>
              <w:jc w:val="left"/>
              <w:rPr>
                <w:rFonts w:ascii="宋体" w:hAnsi="宋体" w:cs="宋体" w:eastAsia="宋体" w:hint="default"/>
                <w:sz w:val="21"/>
                <w:szCs w:val="21"/>
              </w:rPr>
            </w:pPr>
            <w:r>
              <w:rPr>
                <w:rFonts w:ascii="宋体" w:hAnsi="宋体" w:cs="宋体" w:eastAsia="宋体" w:hint="default"/>
                <w:b/>
                <w:bCs/>
                <w:sz w:val="21"/>
                <w:szCs w:val="21"/>
              </w:rPr>
              <w:t>会议届次</w:t>
            </w:r>
            <w:r>
              <w:rPr>
                <w:rFonts w:ascii="宋体" w:hAnsi="宋体" w:cs="宋体" w:eastAsia="宋体" w:hint="default"/>
                <w:sz w:val="21"/>
                <w:szCs w:val="21"/>
              </w:rPr>
            </w:r>
          </w:p>
        </w:tc>
        <w:tc>
          <w:tcPr>
            <w:tcW w:w="61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6"/>
              <w:ind w:right="0"/>
              <w:jc w:val="center"/>
              <w:rPr>
                <w:rFonts w:ascii="宋体" w:hAnsi="宋体" w:cs="宋体" w:eastAsia="宋体" w:hint="default"/>
                <w:sz w:val="21"/>
                <w:szCs w:val="21"/>
              </w:rPr>
            </w:pPr>
            <w:r>
              <w:rPr>
                <w:rFonts w:ascii="宋体" w:hAnsi="宋体" w:cs="宋体" w:eastAsia="宋体" w:hint="default"/>
                <w:b/>
                <w:bCs/>
                <w:sz w:val="21"/>
                <w:szCs w:val="21"/>
              </w:rPr>
              <w:t>会议内容</w:t>
            </w:r>
            <w:r>
              <w:rPr>
                <w:rFonts w:ascii="宋体" w:hAnsi="宋体" w:cs="宋体" w:eastAsia="宋体" w:hint="default"/>
                <w:sz w:val="21"/>
                <w:szCs w:val="21"/>
              </w:rPr>
            </w:r>
          </w:p>
        </w:tc>
        <w:tc>
          <w:tcPr>
            <w:tcW w:w="114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6"/>
              <w:ind w:left="141" w:right="0"/>
              <w:jc w:val="left"/>
              <w:rPr>
                <w:rFonts w:ascii="宋体" w:hAnsi="宋体" w:cs="宋体" w:eastAsia="宋体" w:hint="default"/>
                <w:sz w:val="21"/>
                <w:szCs w:val="21"/>
              </w:rPr>
            </w:pPr>
            <w:r>
              <w:rPr>
                <w:rFonts w:ascii="宋体" w:hAnsi="宋体" w:cs="宋体" w:eastAsia="宋体" w:hint="default"/>
                <w:b/>
                <w:bCs/>
                <w:sz w:val="21"/>
                <w:szCs w:val="21"/>
              </w:rPr>
              <w:t>召开日期</w:t>
            </w:r>
            <w:r>
              <w:rPr>
                <w:rFonts w:ascii="宋体" w:hAnsi="宋体" w:cs="宋体" w:eastAsia="宋体" w:hint="default"/>
                <w:sz w:val="21"/>
                <w:szCs w:val="21"/>
              </w:rPr>
            </w:r>
          </w:p>
        </w:tc>
      </w:tr>
      <w:tr>
        <w:trPr>
          <w:trHeight w:val="2823" w:hRule="exact"/>
        </w:trPr>
        <w:tc>
          <w:tcPr>
            <w:tcW w:w="1642" w:type="dxa"/>
            <w:tcBorders>
              <w:top w:val="single" w:sz="6" w:space="0" w:color="000000"/>
              <w:left w:val="single" w:sz="12" w:space="0" w:color="000000"/>
              <w:bottom w:val="single" w:sz="6" w:space="0" w:color="000000"/>
              <w:right w:val="single" w:sz="6" w:space="0" w:color="000000"/>
            </w:tcBorders>
          </w:tcPr>
          <w:p>
            <w:pPr>
              <w:pStyle w:val="TableParagraph"/>
              <w:spacing w:line="408" w:lineRule="auto" w:before="65"/>
              <w:ind w:left="93" w:right="261"/>
              <w:jc w:val="left"/>
              <w:rPr>
                <w:rFonts w:ascii="宋体" w:hAnsi="宋体" w:cs="宋体" w:eastAsia="宋体" w:hint="default"/>
                <w:sz w:val="21"/>
                <w:szCs w:val="21"/>
              </w:rPr>
            </w:pPr>
            <w:r>
              <w:rPr>
                <w:rFonts w:ascii="宋体" w:hAnsi="宋体" w:cs="宋体" w:eastAsia="宋体" w:hint="default"/>
                <w:sz w:val="21"/>
                <w:szCs w:val="21"/>
              </w:rPr>
              <w:t>第二届监事会</w:t>
            </w:r>
            <w:r>
              <w:rPr>
                <w:rFonts w:ascii="宋体" w:hAnsi="宋体" w:cs="宋体" w:eastAsia="宋体" w:hint="default"/>
                <w:w w:val="100"/>
                <w:sz w:val="21"/>
                <w:szCs w:val="21"/>
              </w:rPr>
              <w:t> </w:t>
            </w:r>
            <w:r>
              <w:rPr>
                <w:rFonts w:ascii="宋体" w:hAnsi="宋体" w:cs="宋体" w:eastAsia="宋体" w:hint="default"/>
                <w:sz w:val="21"/>
                <w:szCs w:val="21"/>
              </w:rPr>
              <w:t>第五次会议</w:t>
            </w:r>
          </w:p>
        </w:tc>
        <w:tc>
          <w:tcPr>
            <w:tcW w:w="6124" w:type="dxa"/>
            <w:tcBorders>
              <w:top w:val="single" w:sz="6" w:space="0" w:color="000000"/>
              <w:left w:val="single" w:sz="6" w:space="0" w:color="000000"/>
              <w:bottom w:val="single" w:sz="6" w:space="0" w:color="000000"/>
              <w:right w:val="single" w:sz="6" w:space="0" w:color="000000"/>
            </w:tcBorders>
          </w:tcPr>
          <w:p>
            <w:pPr>
              <w:pStyle w:val="TableParagraph"/>
              <w:spacing w:line="386" w:lineRule="auto" w:before="65"/>
              <w:ind w:left="100" w:right="96"/>
              <w:jc w:val="left"/>
              <w:rPr>
                <w:rFonts w:ascii="宋体" w:hAnsi="宋体" w:cs="宋体" w:eastAsia="宋体" w:hint="default"/>
                <w:sz w:val="21"/>
                <w:szCs w:val="21"/>
              </w:rPr>
            </w:pP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34"/>
                <w:w w:val="100"/>
                <w:sz w:val="21"/>
                <w:szCs w:val="21"/>
              </w:rPr>
              <w:t>了</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监</w:t>
            </w:r>
            <w:r>
              <w:rPr>
                <w:rFonts w:ascii="宋体" w:hAnsi="宋体" w:cs="宋体" w:eastAsia="宋体" w:hint="default"/>
                <w:w w:val="100"/>
                <w:sz w:val="21"/>
                <w:szCs w:val="21"/>
              </w:rPr>
              <w:t>事会</w:t>
            </w:r>
            <w:r>
              <w:rPr>
                <w:rFonts w:ascii="宋体" w:hAnsi="宋体" w:cs="宋体" w:eastAsia="宋体" w:hint="default"/>
                <w:spacing w:val="-3"/>
                <w:w w:val="100"/>
                <w:sz w:val="21"/>
                <w:szCs w:val="21"/>
              </w:rPr>
              <w:t>工</w:t>
            </w:r>
            <w:r>
              <w:rPr>
                <w:rFonts w:ascii="宋体" w:hAnsi="宋体" w:cs="宋体" w:eastAsia="宋体" w:hint="default"/>
                <w:w w:val="100"/>
                <w:sz w:val="21"/>
                <w:szCs w:val="21"/>
              </w:rPr>
              <w:t>作</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106"/>
                <w:w w:val="100"/>
                <w:sz w:val="21"/>
                <w:szCs w:val="21"/>
              </w:rPr>
              <w:t>》</w:t>
            </w:r>
            <w:r>
              <w:rPr>
                <w:rFonts w:ascii="宋体" w:hAnsi="宋体" w:cs="宋体" w:eastAsia="宋体" w:hint="default"/>
                <w:spacing w:val="-140"/>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度财</w:t>
            </w:r>
            <w:r>
              <w:rPr>
                <w:rFonts w:ascii="宋体" w:hAnsi="宋体" w:cs="宋体" w:eastAsia="宋体" w:hint="default"/>
                <w:spacing w:val="-3"/>
                <w:w w:val="100"/>
                <w:sz w:val="21"/>
                <w:szCs w:val="21"/>
              </w:rPr>
              <w:t>务</w:t>
            </w:r>
            <w:r>
              <w:rPr>
                <w:rFonts w:ascii="宋体" w:hAnsi="宋体" w:cs="宋体" w:eastAsia="宋体" w:hint="default"/>
                <w:w w:val="100"/>
                <w:sz w:val="21"/>
                <w:szCs w:val="21"/>
              </w:rPr>
              <w:t>决</w:t>
            </w:r>
            <w:r>
              <w:rPr>
                <w:rFonts w:ascii="宋体" w:hAnsi="宋体" w:cs="宋体" w:eastAsia="宋体" w:hint="default"/>
                <w:spacing w:val="-3"/>
                <w:w w:val="100"/>
                <w:sz w:val="21"/>
                <w:szCs w:val="21"/>
              </w:rPr>
              <w:t>算</w:t>
            </w:r>
            <w:r>
              <w:rPr>
                <w:rFonts w:ascii="宋体" w:hAnsi="宋体" w:cs="宋体" w:eastAsia="宋体" w:hint="default"/>
                <w:w w:val="100"/>
                <w:sz w:val="21"/>
                <w:szCs w:val="21"/>
              </w:rPr>
              <w:t>报</w:t>
            </w:r>
            <w:r>
              <w:rPr>
                <w:rFonts w:ascii="宋体" w:hAnsi="宋体" w:cs="宋体" w:eastAsia="宋体" w:hint="default"/>
                <w:w w:val="100"/>
                <w:sz w:val="21"/>
                <w:szCs w:val="21"/>
              </w:rPr>
              <w:t> 告</w:t>
            </w:r>
            <w:r>
              <w:rPr>
                <w:rFonts w:ascii="宋体" w:hAnsi="宋体" w:cs="宋体" w:eastAsia="宋体" w:hint="default"/>
                <w:spacing w:val="-106"/>
                <w:w w:val="100"/>
                <w:sz w:val="21"/>
                <w:szCs w:val="21"/>
              </w:rPr>
              <w:t>》、</w:t>
            </w:r>
            <w:r>
              <w:rPr>
                <w:rFonts w:ascii="宋体" w:hAnsi="宋体" w:cs="宋体" w:eastAsia="宋体" w:hint="default"/>
                <w:spacing w:val="-2"/>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分</w:t>
            </w:r>
            <w:r>
              <w:rPr>
                <w:rFonts w:ascii="宋体" w:hAnsi="宋体" w:cs="宋体" w:eastAsia="宋体" w:hint="default"/>
                <w:spacing w:val="-3"/>
                <w:w w:val="100"/>
                <w:sz w:val="21"/>
                <w:szCs w:val="21"/>
              </w:rPr>
              <w:t>配预</w:t>
            </w:r>
            <w:r>
              <w:rPr>
                <w:rFonts w:ascii="宋体" w:hAnsi="宋体" w:cs="宋体" w:eastAsia="宋体" w:hint="default"/>
                <w:w w:val="100"/>
                <w:sz w:val="21"/>
                <w:szCs w:val="21"/>
              </w:rPr>
              <w:t>案</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10"/>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年</w:t>
            </w:r>
            <w:r>
              <w:rPr>
                <w:rFonts w:ascii="宋体" w:hAnsi="宋体" w:cs="宋体" w:eastAsia="宋体" w:hint="default"/>
                <w:spacing w:val="-3"/>
                <w:w w:val="100"/>
                <w:sz w:val="21"/>
                <w:szCs w:val="21"/>
              </w:rPr>
              <w:t>度</w:t>
            </w:r>
            <w:r>
              <w:rPr>
                <w:rFonts w:ascii="宋体" w:hAnsi="宋体" w:cs="宋体" w:eastAsia="宋体" w:hint="default"/>
                <w:w w:val="100"/>
                <w:sz w:val="21"/>
                <w:szCs w:val="21"/>
              </w:rPr>
              <w:t>报</w:t>
            </w:r>
            <w:r>
              <w:rPr>
                <w:rFonts w:ascii="宋体" w:hAnsi="宋体" w:cs="宋体" w:eastAsia="宋体" w:hint="default"/>
                <w:spacing w:val="-3"/>
                <w:w w:val="100"/>
                <w:sz w:val="21"/>
                <w:szCs w:val="21"/>
              </w:rPr>
              <w:t>告全</w:t>
            </w:r>
            <w:r>
              <w:rPr>
                <w:rFonts w:ascii="宋体" w:hAnsi="宋体" w:cs="宋体" w:eastAsia="宋体" w:hint="default"/>
                <w:w w:val="100"/>
                <w:sz w:val="21"/>
                <w:szCs w:val="21"/>
              </w:rPr>
              <w:t>文及</w:t>
            </w:r>
            <w:r>
              <w:rPr>
                <w:rFonts w:ascii="宋体" w:hAnsi="宋体" w:cs="宋体" w:eastAsia="宋体" w:hint="default"/>
                <w:spacing w:val="-3"/>
                <w:w w:val="100"/>
                <w:sz w:val="21"/>
                <w:szCs w:val="21"/>
              </w:rPr>
              <w:t>摘</w:t>
            </w:r>
            <w:r>
              <w:rPr>
                <w:rFonts w:ascii="宋体" w:hAnsi="宋体" w:cs="宋体" w:eastAsia="宋体" w:hint="default"/>
                <w:w w:val="100"/>
                <w:sz w:val="21"/>
                <w:szCs w:val="21"/>
              </w:rPr>
              <w:t>要</w:t>
            </w:r>
            <w:r>
              <w:rPr>
                <w:rFonts w:ascii="宋体" w:hAnsi="宋体" w:cs="宋体" w:eastAsia="宋体" w:hint="default"/>
                <w:spacing w:val="-106"/>
                <w:w w:val="100"/>
                <w:sz w:val="21"/>
                <w:szCs w:val="21"/>
              </w:rPr>
              <w:t>》</w:t>
            </w:r>
            <w:r>
              <w:rPr>
                <w:rFonts w:ascii="宋体" w:hAnsi="宋体" w:cs="宋体" w:eastAsia="宋体" w:hint="default"/>
                <w:w w:val="100"/>
                <w:sz w:val="21"/>
                <w:szCs w:val="21"/>
              </w:rPr>
              <w:t>、</w:t>
            </w:r>
          </w:p>
          <w:p>
            <w:pPr>
              <w:pStyle w:val="TableParagraph"/>
              <w:spacing w:line="393" w:lineRule="auto" w:before="35"/>
              <w:ind w:left="100" w:right="96"/>
              <w:jc w:val="left"/>
              <w:rPr>
                <w:rFonts w:ascii="宋体" w:hAnsi="宋体" w:cs="宋体" w:eastAsia="宋体" w:hint="default"/>
                <w:sz w:val="21"/>
                <w:szCs w:val="21"/>
              </w:rPr>
            </w:pPr>
            <w:r>
              <w:rPr>
                <w:rFonts w:ascii="宋体" w:hAnsi="宋体" w:cs="宋体" w:eastAsia="宋体" w:hint="default"/>
                <w:spacing w:val="-1"/>
                <w:w w:val="100"/>
                <w:sz w:val="21"/>
                <w:szCs w:val="21"/>
              </w:rPr>
              <w:t>《公司</w:t>
            </w:r>
            <w:r>
              <w:rPr>
                <w:rFonts w:ascii="宋体" w:hAnsi="宋体" w:cs="宋体" w:eastAsia="宋体" w:hint="default"/>
                <w:spacing w:val="-52"/>
                <w:w w:val="100"/>
                <w:sz w:val="21"/>
                <w:szCs w:val="21"/>
              </w:rPr>
              <w:t> </w:t>
            </w: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w w:val="100"/>
                <w:sz w:val="21"/>
                <w:szCs w:val="21"/>
              </w:rPr>
              <w:t> </w:t>
            </w:r>
            <w:r>
              <w:rPr>
                <w:rFonts w:ascii="宋体" w:hAnsi="宋体" w:cs="宋体" w:eastAsia="宋体" w:hint="default"/>
                <w:spacing w:val="-13"/>
                <w:w w:val="100"/>
                <w:sz w:val="21"/>
                <w:szCs w:val="21"/>
              </w:rPr>
              <w:t>年度内部控制自我评价报告》、《</w:t>
            </w:r>
            <w:r>
              <w:rPr>
                <w:rFonts w:ascii="Times New Roman" w:hAnsi="Times New Roman" w:cs="Times New Roman" w:eastAsia="Times New Roman" w:hint="default"/>
                <w:spacing w:val="-13"/>
                <w:w w:val="100"/>
                <w:sz w:val="21"/>
                <w:szCs w:val="21"/>
              </w:rPr>
              <w:t>2011</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1"/>
                <w:w w:val="100"/>
                <w:sz w:val="21"/>
                <w:szCs w:val="21"/>
              </w:rPr>
              <w:t>年度募集资金</w:t>
            </w:r>
            <w:r>
              <w:rPr>
                <w:rFonts w:ascii="宋体" w:hAnsi="宋体" w:cs="宋体" w:eastAsia="宋体" w:hint="default"/>
                <w:w w:val="100"/>
                <w:sz w:val="21"/>
                <w:szCs w:val="21"/>
              </w:rPr>
              <w:t> </w:t>
            </w:r>
            <w:r>
              <w:rPr>
                <w:rFonts w:ascii="宋体" w:hAnsi="宋体" w:cs="宋体" w:eastAsia="宋体" w:hint="default"/>
                <w:spacing w:val="-9"/>
                <w:w w:val="100"/>
                <w:sz w:val="21"/>
                <w:szCs w:val="21"/>
              </w:rPr>
              <w:t>存放与使用情况的专项报告》、《关于续聘京都天华会计师事务所</w:t>
            </w:r>
            <w:r>
              <w:rPr>
                <w:rFonts w:ascii="宋体" w:hAnsi="宋体" w:cs="宋体" w:eastAsia="宋体" w:hint="default"/>
                <w:spacing w:val="-93"/>
                <w:w w:val="100"/>
                <w:sz w:val="21"/>
                <w:szCs w:val="21"/>
              </w:rPr>
              <w:t> </w:t>
            </w:r>
            <w:r>
              <w:rPr>
                <w:rFonts w:ascii="宋体" w:hAnsi="宋体" w:cs="宋体" w:eastAsia="宋体" w:hint="default"/>
                <w:spacing w:val="-93"/>
                <w:w w:val="100"/>
                <w:sz w:val="21"/>
                <w:szCs w:val="21"/>
              </w:rPr>
            </w:r>
            <w:r>
              <w:rPr>
                <w:rFonts w:ascii="宋体" w:hAnsi="宋体" w:cs="宋体" w:eastAsia="宋体" w:hint="default"/>
                <w:spacing w:val="-1"/>
                <w:w w:val="100"/>
                <w:sz w:val="21"/>
                <w:szCs w:val="21"/>
              </w:rPr>
              <w:t>为公司</w:t>
            </w:r>
            <w:r>
              <w:rPr>
                <w:rFonts w:ascii="宋体" w:hAnsi="宋体" w:cs="宋体" w:eastAsia="宋体" w:hint="default"/>
                <w:spacing w:val="-48"/>
                <w:w w:val="100"/>
                <w:sz w:val="21"/>
                <w:szCs w:val="21"/>
              </w:rPr>
              <w:t> </w:t>
            </w:r>
            <w:r>
              <w:rPr>
                <w:rFonts w:ascii="Times New Roman" w:hAnsi="Times New Roman" w:cs="Times New Roman" w:eastAsia="Times New Roman" w:hint="default"/>
                <w:spacing w:val="-1"/>
                <w:w w:val="100"/>
                <w:sz w:val="21"/>
                <w:szCs w:val="21"/>
              </w:rPr>
              <w:t>2012</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14"/>
                <w:w w:val="100"/>
                <w:sz w:val="21"/>
                <w:szCs w:val="21"/>
              </w:rPr>
              <w:t>年度审计机构的议案》、《关于对调整股票期权激励计</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划对象人数及期权数量的议案》</w:t>
            </w:r>
          </w:p>
        </w:tc>
        <w:tc>
          <w:tcPr>
            <w:tcW w:w="11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5"/>
              <w:ind w:left="9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p>
          <w:p>
            <w:pPr>
              <w:pStyle w:val="TableParagraph"/>
              <w:spacing w:line="240" w:lineRule="auto" w:before="177"/>
              <w:ind w:left="9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960" w:hRule="exact"/>
        </w:trPr>
        <w:tc>
          <w:tcPr>
            <w:tcW w:w="1642" w:type="dxa"/>
            <w:tcBorders>
              <w:top w:val="single" w:sz="6" w:space="0" w:color="000000"/>
              <w:left w:val="single" w:sz="12" w:space="0" w:color="000000"/>
              <w:bottom w:val="single" w:sz="12" w:space="0" w:color="000000"/>
              <w:right w:val="single" w:sz="6" w:space="0" w:color="000000"/>
            </w:tcBorders>
          </w:tcPr>
          <w:p>
            <w:pPr>
              <w:pStyle w:val="TableParagraph"/>
              <w:spacing w:line="408" w:lineRule="auto" w:before="64"/>
              <w:ind w:left="93" w:right="261"/>
              <w:jc w:val="left"/>
              <w:rPr>
                <w:rFonts w:ascii="宋体" w:hAnsi="宋体" w:cs="宋体" w:eastAsia="宋体" w:hint="default"/>
                <w:sz w:val="21"/>
                <w:szCs w:val="21"/>
              </w:rPr>
            </w:pPr>
            <w:r>
              <w:rPr>
                <w:rFonts w:ascii="宋体" w:hAnsi="宋体" w:cs="宋体" w:eastAsia="宋体" w:hint="default"/>
                <w:sz w:val="21"/>
                <w:szCs w:val="21"/>
              </w:rPr>
              <w:t>第二届监事会</w:t>
            </w:r>
            <w:r>
              <w:rPr>
                <w:rFonts w:ascii="宋体" w:hAnsi="宋体" w:cs="宋体" w:eastAsia="宋体" w:hint="default"/>
                <w:w w:val="100"/>
                <w:sz w:val="21"/>
                <w:szCs w:val="21"/>
              </w:rPr>
              <w:t> </w:t>
            </w:r>
            <w:r>
              <w:rPr>
                <w:rFonts w:ascii="宋体" w:hAnsi="宋体" w:cs="宋体" w:eastAsia="宋体" w:hint="default"/>
                <w:sz w:val="21"/>
                <w:szCs w:val="21"/>
              </w:rPr>
              <w:t>第六次会议</w:t>
            </w:r>
          </w:p>
        </w:tc>
        <w:tc>
          <w:tcPr>
            <w:tcW w:w="6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4"/>
              <w:ind w:left="100" w:right="0"/>
              <w:jc w:val="left"/>
              <w:rPr>
                <w:rFonts w:ascii="宋体" w:hAnsi="宋体" w:cs="宋体" w:eastAsia="宋体" w:hint="default"/>
                <w:sz w:val="21"/>
                <w:szCs w:val="21"/>
              </w:rPr>
            </w:pPr>
            <w:r>
              <w:rPr>
                <w:rFonts w:ascii="宋体" w:hAnsi="宋体" w:cs="宋体" w:eastAsia="宋体" w:hint="default"/>
                <w:sz w:val="21"/>
                <w:szCs w:val="21"/>
              </w:rPr>
              <w:t>审议通过了《</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年第一季度报告全文及正文》</w:t>
            </w:r>
          </w:p>
        </w:tc>
        <w:tc>
          <w:tcPr>
            <w:tcW w:w="114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4"/>
              <w:ind w:left="9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p>
          <w:p>
            <w:pPr>
              <w:pStyle w:val="TableParagraph"/>
              <w:spacing w:line="240" w:lineRule="auto" w:before="177"/>
              <w:ind w:left="9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84" w:footer="1007" w:top="1160" w:bottom="1200" w:left="1240" w:right="1160"/>
        </w:sectPr>
      </w:pPr>
    </w:p>
    <w:p>
      <w:pPr>
        <w:spacing w:line="240" w:lineRule="auto" w:before="13"/>
        <w:rPr>
          <w:rFonts w:ascii="宋体" w:hAnsi="宋体" w:cs="宋体" w:eastAsia="宋体" w:hint="default"/>
          <w:sz w:val="19"/>
          <w:szCs w:val="19"/>
        </w:rPr>
      </w:pPr>
    </w:p>
    <w:tbl>
      <w:tblPr>
        <w:tblW w:w="0" w:type="auto"/>
        <w:jc w:val="left"/>
        <w:tblInd w:w="435" w:type="dxa"/>
        <w:tblLayout w:type="fixed"/>
        <w:tblCellMar>
          <w:top w:w="0" w:type="dxa"/>
          <w:left w:w="0" w:type="dxa"/>
          <w:bottom w:w="0" w:type="dxa"/>
          <w:right w:w="0" w:type="dxa"/>
        </w:tblCellMar>
        <w:tblLook w:val="01E0"/>
      </w:tblPr>
      <w:tblGrid>
        <w:gridCol w:w="1642"/>
        <w:gridCol w:w="6124"/>
        <w:gridCol w:w="1142"/>
      </w:tblGrid>
      <w:tr>
        <w:trPr>
          <w:trHeight w:val="958" w:hRule="exact"/>
        </w:trPr>
        <w:tc>
          <w:tcPr>
            <w:tcW w:w="1642" w:type="dxa"/>
            <w:tcBorders>
              <w:top w:val="single" w:sz="12" w:space="0" w:color="000000"/>
              <w:left w:val="single" w:sz="12" w:space="0" w:color="000000"/>
              <w:bottom w:val="single" w:sz="6" w:space="0" w:color="000000"/>
              <w:right w:val="single" w:sz="6" w:space="0" w:color="000000"/>
            </w:tcBorders>
          </w:tcPr>
          <w:p>
            <w:pPr>
              <w:pStyle w:val="TableParagraph"/>
              <w:spacing w:line="405" w:lineRule="auto" w:before="67"/>
              <w:ind w:left="93" w:right="261"/>
              <w:jc w:val="left"/>
              <w:rPr>
                <w:rFonts w:ascii="宋体" w:hAnsi="宋体" w:cs="宋体" w:eastAsia="宋体" w:hint="default"/>
                <w:sz w:val="21"/>
                <w:szCs w:val="21"/>
              </w:rPr>
            </w:pPr>
            <w:r>
              <w:rPr>
                <w:rFonts w:ascii="宋体" w:hAnsi="宋体" w:cs="宋体" w:eastAsia="宋体" w:hint="default"/>
                <w:sz w:val="21"/>
                <w:szCs w:val="21"/>
              </w:rPr>
              <w:t>第二届监事会</w:t>
            </w:r>
            <w:r>
              <w:rPr>
                <w:rFonts w:ascii="宋体" w:hAnsi="宋体" w:cs="宋体" w:eastAsia="宋体" w:hint="default"/>
                <w:w w:val="100"/>
                <w:sz w:val="21"/>
                <w:szCs w:val="21"/>
              </w:rPr>
              <w:t> </w:t>
            </w:r>
            <w:r>
              <w:rPr>
                <w:rFonts w:ascii="宋体" w:hAnsi="宋体" w:cs="宋体" w:eastAsia="宋体" w:hint="default"/>
                <w:sz w:val="21"/>
                <w:szCs w:val="21"/>
              </w:rPr>
              <w:t>第七次会议</w:t>
            </w:r>
          </w:p>
        </w:tc>
        <w:tc>
          <w:tcPr>
            <w:tcW w:w="612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7"/>
              <w:ind w:left="100" w:right="0"/>
              <w:jc w:val="left"/>
              <w:rPr>
                <w:rFonts w:ascii="宋体" w:hAnsi="宋体" w:cs="宋体" w:eastAsia="宋体" w:hint="default"/>
                <w:sz w:val="21"/>
                <w:szCs w:val="21"/>
              </w:rPr>
            </w:pPr>
            <w:r>
              <w:rPr>
                <w:rFonts w:ascii="宋体" w:hAnsi="宋体" w:cs="宋体" w:eastAsia="宋体" w:hint="default"/>
                <w:sz w:val="21"/>
                <w:szCs w:val="21"/>
              </w:rPr>
              <w:t>审议通过了《关于使用部分超募资金永久补充流动资金的议案》</w:t>
            </w:r>
          </w:p>
        </w:tc>
        <w:tc>
          <w:tcPr>
            <w:tcW w:w="114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67"/>
              <w:ind w:left="9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p>
          <w:p>
            <w:pPr>
              <w:pStyle w:val="TableParagraph"/>
              <w:spacing w:line="240" w:lineRule="auto" w:before="175"/>
              <w:ind w:left="9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953" w:hRule="exact"/>
        </w:trPr>
        <w:tc>
          <w:tcPr>
            <w:tcW w:w="1642" w:type="dxa"/>
            <w:tcBorders>
              <w:top w:val="single" w:sz="6" w:space="0" w:color="000000"/>
              <w:left w:val="single" w:sz="12" w:space="0" w:color="000000"/>
              <w:bottom w:val="single" w:sz="6" w:space="0" w:color="000000"/>
              <w:right w:val="single" w:sz="6" w:space="0" w:color="000000"/>
            </w:tcBorders>
          </w:tcPr>
          <w:p>
            <w:pPr>
              <w:pStyle w:val="TableParagraph"/>
              <w:spacing w:line="408" w:lineRule="auto" w:before="66"/>
              <w:ind w:left="93" w:right="261"/>
              <w:jc w:val="left"/>
              <w:rPr>
                <w:rFonts w:ascii="宋体" w:hAnsi="宋体" w:cs="宋体" w:eastAsia="宋体" w:hint="default"/>
                <w:sz w:val="21"/>
                <w:szCs w:val="21"/>
              </w:rPr>
            </w:pPr>
            <w:r>
              <w:rPr>
                <w:rFonts w:ascii="宋体" w:hAnsi="宋体" w:cs="宋体" w:eastAsia="宋体" w:hint="default"/>
                <w:sz w:val="21"/>
                <w:szCs w:val="21"/>
              </w:rPr>
              <w:t>第二届监事会</w:t>
            </w:r>
            <w:r>
              <w:rPr>
                <w:rFonts w:ascii="宋体" w:hAnsi="宋体" w:cs="宋体" w:eastAsia="宋体" w:hint="default"/>
                <w:w w:val="100"/>
                <w:sz w:val="21"/>
                <w:szCs w:val="21"/>
              </w:rPr>
              <w:t> </w:t>
            </w:r>
            <w:r>
              <w:rPr>
                <w:rFonts w:ascii="宋体" w:hAnsi="宋体" w:cs="宋体" w:eastAsia="宋体" w:hint="default"/>
                <w:sz w:val="21"/>
                <w:szCs w:val="21"/>
              </w:rPr>
              <w:t>第八次会议</w:t>
            </w:r>
          </w:p>
        </w:tc>
        <w:tc>
          <w:tcPr>
            <w:tcW w:w="6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6"/>
              <w:ind w:left="100" w:right="0"/>
              <w:jc w:val="left"/>
              <w:rPr>
                <w:rFonts w:ascii="宋体" w:hAnsi="宋体" w:cs="宋体" w:eastAsia="宋体" w:hint="default"/>
                <w:sz w:val="21"/>
                <w:szCs w:val="21"/>
              </w:rPr>
            </w:pPr>
            <w:r>
              <w:rPr>
                <w:rFonts w:ascii="宋体" w:hAnsi="宋体" w:cs="宋体" w:eastAsia="宋体" w:hint="default"/>
                <w:sz w:val="21"/>
                <w:szCs w:val="21"/>
              </w:rPr>
              <w:t>审议通过了《关于会计差错更正的议案》</w:t>
            </w:r>
          </w:p>
        </w:tc>
        <w:tc>
          <w:tcPr>
            <w:tcW w:w="11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6"/>
              <w:ind w:left="9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p>
          <w:p>
            <w:pPr>
              <w:pStyle w:val="TableParagraph"/>
              <w:spacing w:line="240" w:lineRule="auto" w:before="177"/>
              <w:ind w:left="9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1418" w:hRule="exact"/>
        </w:trPr>
        <w:tc>
          <w:tcPr>
            <w:tcW w:w="1642" w:type="dxa"/>
            <w:tcBorders>
              <w:top w:val="single" w:sz="6" w:space="0" w:color="000000"/>
              <w:left w:val="single" w:sz="12" w:space="0" w:color="000000"/>
              <w:bottom w:val="single" w:sz="6" w:space="0" w:color="000000"/>
              <w:right w:val="single" w:sz="6" w:space="0" w:color="000000"/>
            </w:tcBorders>
          </w:tcPr>
          <w:p>
            <w:pPr>
              <w:pStyle w:val="TableParagraph"/>
              <w:spacing w:line="408" w:lineRule="auto" w:before="64"/>
              <w:ind w:left="93" w:right="261"/>
              <w:jc w:val="left"/>
              <w:rPr>
                <w:rFonts w:ascii="宋体" w:hAnsi="宋体" w:cs="宋体" w:eastAsia="宋体" w:hint="default"/>
                <w:sz w:val="21"/>
                <w:szCs w:val="21"/>
              </w:rPr>
            </w:pPr>
            <w:r>
              <w:rPr>
                <w:rFonts w:ascii="宋体" w:hAnsi="宋体" w:cs="宋体" w:eastAsia="宋体" w:hint="default"/>
                <w:sz w:val="21"/>
                <w:szCs w:val="21"/>
              </w:rPr>
              <w:t>第二届监事会</w:t>
            </w:r>
            <w:r>
              <w:rPr>
                <w:rFonts w:ascii="宋体" w:hAnsi="宋体" w:cs="宋体" w:eastAsia="宋体" w:hint="default"/>
                <w:w w:val="100"/>
                <w:sz w:val="21"/>
                <w:szCs w:val="21"/>
              </w:rPr>
              <w:t> </w:t>
            </w:r>
            <w:r>
              <w:rPr>
                <w:rFonts w:ascii="宋体" w:hAnsi="宋体" w:cs="宋体" w:eastAsia="宋体" w:hint="default"/>
                <w:sz w:val="21"/>
                <w:szCs w:val="21"/>
              </w:rPr>
              <w:t>第九次会议</w:t>
            </w:r>
          </w:p>
        </w:tc>
        <w:tc>
          <w:tcPr>
            <w:tcW w:w="6124" w:type="dxa"/>
            <w:tcBorders>
              <w:top w:val="single" w:sz="6" w:space="0" w:color="000000"/>
              <w:left w:val="single" w:sz="6" w:space="0" w:color="000000"/>
              <w:bottom w:val="single" w:sz="6" w:space="0" w:color="000000"/>
              <w:right w:val="single" w:sz="6" w:space="0" w:color="000000"/>
            </w:tcBorders>
          </w:tcPr>
          <w:p>
            <w:pPr>
              <w:pStyle w:val="TableParagraph"/>
              <w:spacing w:line="398" w:lineRule="auto" w:before="64"/>
              <w:ind w:left="100" w:right="99"/>
              <w:jc w:val="both"/>
              <w:rPr>
                <w:rFonts w:ascii="宋体" w:hAnsi="宋体" w:cs="宋体" w:eastAsia="宋体" w:hint="default"/>
                <w:sz w:val="21"/>
                <w:szCs w:val="21"/>
              </w:rPr>
            </w:pPr>
            <w:r>
              <w:rPr>
                <w:rFonts w:ascii="宋体" w:hAnsi="宋体" w:cs="宋体" w:eastAsia="宋体" w:hint="default"/>
                <w:spacing w:val="-3"/>
                <w:w w:val="100"/>
                <w:sz w:val="21"/>
                <w:szCs w:val="21"/>
              </w:rPr>
              <w:t>审议通过了《</w:t>
            </w:r>
            <w:r>
              <w:rPr>
                <w:rFonts w:ascii="Times New Roman" w:hAnsi="Times New Roman" w:cs="Times New Roman" w:eastAsia="Times New Roman" w:hint="default"/>
                <w:spacing w:val="-3"/>
                <w:w w:val="100"/>
                <w:sz w:val="21"/>
                <w:szCs w:val="21"/>
              </w:rPr>
              <w:t>2011</w:t>
            </w:r>
            <w:r>
              <w:rPr>
                <w:rFonts w:ascii="Times New Roman" w:hAnsi="Times New Roman" w:cs="Times New Roman" w:eastAsia="Times New Roman" w:hint="default"/>
                <w:spacing w:val="-1"/>
                <w:w w:val="100"/>
                <w:sz w:val="21"/>
                <w:szCs w:val="21"/>
              </w:rPr>
              <w:t> </w:t>
            </w:r>
            <w:r>
              <w:rPr>
                <w:rFonts w:ascii="宋体" w:hAnsi="宋体" w:cs="宋体" w:eastAsia="宋体" w:hint="default"/>
                <w:spacing w:val="-12"/>
                <w:w w:val="100"/>
                <w:sz w:val="21"/>
                <w:szCs w:val="21"/>
              </w:rPr>
              <w:t>年半年度报告全文及摘要》、《关于募投项目节</w:t>
            </w:r>
            <w:r>
              <w:rPr>
                <w:rFonts w:ascii="宋体" w:hAnsi="宋体" w:cs="宋体" w:eastAsia="宋体" w:hint="default"/>
                <w:w w:val="100"/>
                <w:sz w:val="21"/>
                <w:szCs w:val="21"/>
              </w:rPr>
              <w:t> </w:t>
            </w:r>
            <w:r>
              <w:rPr>
                <w:rFonts w:ascii="宋体" w:hAnsi="宋体" w:cs="宋体" w:eastAsia="宋体" w:hint="default"/>
                <w:spacing w:val="-16"/>
                <w:w w:val="100"/>
                <w:sz w:val="21"/>
                <w:szCs w:val="21"/>
              </w:rPr>
              <w:t>余资金转为超募资金的议案》、《超募资金使用计划的议案》、《董</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z w:val="21"/>
                <w:szCs w:val="21"/>
              </w:rPr>
              <w:t>事、监事薪酬管理制度》</w:t>
            </w:r>
          </w:p>
        </w:tc>
        <w:tc>
          <w:tcPr>
            <w:tcW w:w="11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4"/>
              <w:ind w:left="9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p>
          <w:p>
            <w:pPr>
              <w:pStyle w:val="TableParagraph"/>
              <w:spacing w:line="240" w:lineRule="auto" w:before="177"/>
              <w:ind w:left="9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951" w:hRule="exact"/>
        </w:trPr>
        <w:tc>
          <w:tcPr>
            <w:tcW w:w="1642" w:type="dxa"/>
            <w:tcBorders>
              <w:top w:val="single" w:sz="6" w:space="0" w:color="000000"/>
              <w:left w:val="single" w:sz="12" w:space="0" w:color="000000"/>
              <w:bottom w:val="single" w:sz="6" w:space="0" w:color="000000"/>
              <w:right w:val="single" w:sz="6" w:space="0" w:color="000000"/>
            </w:tcBorders>
          </w:tcPr>
          <w:p>
            <w:pPr>
              <w:pStyle w:val="TableParagraph"/>
              <w:spacing w:line="408" w:lineRule="auto" w:before="65"/>
              <w:ind w:left="93" w:right="261"/>
              <w:jc w:val="left"/>
              <w:rPr>
                <w:rFonts w:ascii="宋体" w:hAnsi="宋体" w:cs="宋体" w:eastAsia="宋体" w:hint="default"/>
                <w:sz w:val="21"/>
                <w:szCs w:val="21"/>
              </w:rPr>
            </w:pPr>
            <w:r>
              <w:rPr>
                <w:rFonts w:ascii="宋体" w:hAnsi="宋体" w:cs="宋体" w:eastAsia="宋体" w:hint="default"/>
                <w:sz w:val="21"/>
                <w:szCs w:val="21"/>
              </w:rPr>
              <w:t>第二届监事会</w:t>
            </w:r>
            <w:r>
              <w:rPr>
                <w:rFonts w:ascii="宋体" w:hAnsi="宋体" w:cs="宋体" w:eastAsia="宋体" w:hint="default"/>
                <w:w w:val="100"/>
                <w:sz w:val="21"/>
                <w:szCs w:val="21"/>
              </w:rPr>
              <w:t> </w:t>
            </w:r>
            <w:r>
              <w:rPr>
                <w:rFonts w:ascii="宋体" w:hAnsi="宋体" w:cs="宋体" w:eastAsia="宋体" w:hint="default"/>
                <w:sz w:val="21"/>
                <w:szCs w:val="21"/>
              </w:rPr>
              <w:t>第十次会议</w:t>
            </w:r>
          </w:p>
        </w:tc>
        <w:tc>
          <w:tcPr>
            <w:tcW w:w="61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00" w:right="0"/>
              <w:jc w:val="left"/>
              <w:rPr>
                <w:rFonts w:ascii="宋体" w:hAnsi="宋体" w:cs="宋体" w:eastAsia="宋体" w:hint="default"/>
                <w:sz w:val="21"/>
                <w:szCs w:val="21"/>
              </w:rPr>
            </w:pPr>
            <w:r>
              <w:rPr>
                <w:rFonts w:ascii="宋体" w:hAnsi="宋体" w:cs="宋体" w:eastAsia="宋体" w:hint="default"/>
                <w:sz w:val="21"/>
                <w:szCs w:val="21"/>
              </w:rPr>
              <w:t>审议通过了《</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年第三季度报告全文及正文》</w:t>
            </w:r>
          </w:p>
        </w:tc>
        <w:tc>
          <w:tcPr>
            <w:tcW w:w="114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5"/>
              <w:ind w:left="9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Times New Roman" w:hAnsi="Times New Roman" w:cs="Times New Roman" w:eastAsia="Times New Roman" w:hint="default"/>
                <w:sz w:val="21"/>
                <w:szCs w:val="21"/>
              </w:rPr>
              <w:t>10</w:t>
            </w:r>
          </w:p>
          <w:p>
            <w:pPr>
              <w:pStyle w:val="TableParagraph"/>
              <w:spacing w:line="240" w:lineRule="auto" w:before="177"/>
              <w:ind w:left="9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960" w:hRule="exact"/>
        </w:trPr>
        <w:tc>
          <w:tcPr>
            <w:tcW w:w="1642" w:type="dxa"/>
            <w:tcBorders>
              <w:top w:val="single" w:sz="6" w:space="0" w:color="000000"/>
              <w:left w:val="single" w:sz="12" w:space="0" w:color="000000"/>
              <w:bottom w:val="single" w:sz="12" w:space="0" w:color="000000"/>
              <w:right w:val="single" w:sz="6" w:space="0" w:color="000000"/>
            </w:tcBorders>
          </w:tcPr>
          <w:p>
            <w:pPr>
              <w:pStyle w:val="TableParagraph"/>
              <w:spacing w:line="408" w:lineRule="auto" w:before="64"/>
              <w:ind w:left="93" w:right="261"/>
              <w:jc w:val="left"/>
              <w:rPr>
                <w:rFonts w:ascii="宋体" w:hAnsi="宋体" w:cs="宋体" w:eastAsia="宋体" w:hint="default"/>
                <w:sz w:val="21"/>
                <w:szCs w:val="21"/>
              </w:rPr>
            </w:pPr>
            <w:r>
              <w:rPr>
                <w:rFonts w:ascii="宋体" w:hAnsi="宋体" w:cs="宋体" w:eastAsia="宋体" w:hint="default"/>
                <w:sz w:val="21"/>
                <w:szCs w:val="21"/>
              </w:rPr>
              <w:t>第二届监事会</w:t>
            </w:r>
            <w:r>
              <w:rPr>
                <w:rFonts w:ascii="宋体" w:hAnsi="宋体" w:cs="宋体" w:eastAsia="宋体" w:hint="default"/>
                <w:w w:val="100"/>
                <w:sz w:val="21"/>
                <w:szCs w:val="21"/>
              </w:rPr>
              <w:t> </w:t>
            </w:r>
            <w:r>
              <w:rPr>
                <w:rFonts w:ascii="宋体" w:hAnsi="宋体" w:cs="宋体" w:eastAsia="宋体" w:hint="default"/>
                <w:sz w:val="21"/>
                <w:szCs w:val="21"/>
              </w:rPr>
              <w:t>第十一次会议</w:t>
            </w:r>
          </w:p>
        </w:tc>
        <w:tc>
          <w:tcPr>
            <w:tcW w:w="6124" w:type="dxa"/>
            <w:tcBorders>
              <w:top w:val="single" w:sz="6" w:space="0" w:color="000000"/>
              <w:left w:val="single" w:sz="6" w:space="0" w:color="000000"/>
              <w:bottom w:val="single" w:sz="12" w:space="0" w:color="000000"/>
              <w:right w:val="single" w:sz="6" w:space="0" w:color="000000"/>
            </w:tcBorders>
          </w:tcPr>
          <w:p>
            <w:pPr>
              <w:pStyle w:val="TableParagraph"/>
              <w:spacing w:line="386" w:lineRule="auto" w:before="64"/>
              <w:ind w:left="100" w:right="96"/>
              <w:jc w:val="left"/>
              <w:rPr>
                <w:rFonts w:ascii="宋体" w:hAnsi="宋体" w:cs="宋体" w:eastAsia="宋体" w:hint="default"/>
                <w:sz w:val="21"/>
                <w:szCs w:val="21"/>
              </w:rPr>
            </w:pPr>
            <w:r>
              <w:rPr>
                <w:rFonts w:ascii="宋体" w:hAnsi="宋体" w:cs="宋体" w:eastAsia="宋体" w:hint="default"/>
                <w:w w:val="100"/>
                <w:sz w:val="21"/>
                <w:szCs w:val="21"/>
              </w:rPr>
              <w:t>审议</w:t>
            </w:r>
            <w:r>
              <w:rPr>
                <w:rFonts w:ascii="宋体" w:hAnsi="宋体" w:cs="宋体" w:eastAsia="宋体" w:hint="default"/>
                <w:spacing w:val="-3"/>
                <w:w w:val="100"/>
                <w:sz w:val="21"/>
                <w:szCs w:val="21"/>
              </w:rPr>
              <w:t>通</w:t>
            </w:r>
            <w:r>
              <w:rPr>
                <w:rFonts w:ascii="宋体" w:hAnsi="宋体" w:cs="宋体" w:eastAsia="宋体" w:hint="default"/>
                <w:w w:val="100"/>
                <w:sz w:val="21"/>
                <w:szCs w:val="21"/>
              </w:rPr>
              <w:t>过</w:t>
            </w:r>
            <w:r>
              <w:rPr>
                <w:rFonts w:ascii="宋体" w:hAnsi="宋体" w:cs="宋体" w:eastAsia="宋体" w:hint="default"/>
                <w:spacing w:val="-96"/>
                <w:w w:val="100"/>
                <w:sz w:val="21"/>
                <w:szCs w:val="21"/>
              </w:rPr>
              <w:t>了</w:t>
            </w:r>
            <w:r>
              <w:rPr>
                <w:rFonts w:ascii="宋体" w:hAnsi="宋体" w:cs="宋体" w:eastAsia="宋体" w:hint="default"/>
                <w:w w:val="100"/>
                <w:sz w:val="21"/>
                <w:szCs w:val="21"/>
              </w:rPr>
              <w:t>《</w:t>
            </w:r>
            <w:r>
              <w:rPr>
                <w:rFonts w:ascii="宋体" w:hAnsi="宋体" w:cs="宋体" w:eastAsia="宋体" w:hint="default"/>
                <w:spacing w:val="-3"/>
                <w:w w:val="100"/>
                <w:sz w:val="21"/>
                <w:szCs w:val="21"/>
              </w:rPr>
              <w:t>关</w:t>
            </w:r>
            <w:r>
              <w:rPr>
                <w:rFonts w:ascii="宋体" w:hAnsi="宋体" w:cs="宋体" w:eastAsia="宋体" w:hint="default"/>
                <w:w w:val="100"/>
                <w:sz w:val="21"/>
                <w:szCs w:val="21"/>
              </w:rPr>
              <w:t>于</w:t>
            </w:r>
            <w:r>
              <w:rPr>
                <w:rFonts w:ascii="宋体" w:hAnsi="宋体" w:cs="宋体" w:eastAsia="宋体" w:hint="default"/>
                <w:spacing w:val="-3"/>
                <w:w w:val="100"/>
                <w:sz w:val="21"/>
                <w:szCs w:val="21"/>
              </w:rPr>
              <w:t>终</w:t>
            </w:r>
            <w:r>
              <w:rPr>
                <w:rFonts w:ascii="宋体" w:hAnsi="宋体" w:cs="宋体" w:eastAsia="宋体" w:hint="default"/>
                <w:w w:val="100"/>
                <w:sz w:val="21"/>
                <w:szCs w:val="21"/>
              </w:rPr>
              <w:t>止</w:t>
            </w:r>
            <w:r>
              <w:rPr>
                <w:rFonts w:ascii="宋体" w:hAnsi="宋体" w:cs="宋体" w:eastAsia="宋体" w:hint="default"/>
                <w:spacing w:val="-3"/>
                <w:w w:val="100"/>
                <w:sz w:val="21"/>
                <w:szCs w:val="21"/>
              </w:rPr>
              <w:t>实施</w:t>
            </w:r>
            <w:r>
              <w:rPr>
                <w:rFonts w:ascii="Times New Roman" w:hAnsi="Times New Roman" w:cs="Times New Roman" w:eastAsia="Times New Roman" w:hint="default"/>
                <w:w w:val="100"/>
                <w:sz w:val="21"/>
                <w:szCs w:val="21"/>
              </w:rPr>
              <w:t>&lt;</w:t>
            </w:r>
            <w:r>
              <w:rPr>
                <w:rFonts w:ascii="宋体" w:hAnsi="宋体" w:cs="宋体" w:eastAsia="宋体" w:hint="default"/>
                <w:spacing w:val="-3"/>
                <w:w w:val="100"/>
                <w:sz w:val="21"/>
                <w:szCs w:val="21"/>
              </w:rPr>
              <w:t>北</w:t>
            </w:r>
            <w:r>
              <w:rPr>
                <w:rFonts w:ascii="宋体" w:hAnsi="宋体" w:cs="宋体" w:eastAsia="宋体" w:hint="default"/>
                <w:w w:val="100"/>
                <w:sz w:val="21"/>
                <w:szCs w:val="21"/>
              </w:rPr>
              <w:t>京</w:t>
            </w:r>
            <w:r>
              <w:rPr>
                <w:rFonts w:ascii="宋体" w:hAnsi="宋体" w:cs="宋体" w:eastAsia="宋体" w:hint="default"/>
                <w:spacing w:val="-3"/>
                <w:w w:val="100"/>
                <w:sz w:val="21"/>
                <w:szCs w:val="21"/>
              </w:rPr>
              <w:t>超</w:t>
            </w:r>
            <w:r>
              <w:rPr>
                <w:rFonts w:ascii="宋体" w:hAnsi="宋体" w:cs="宋体" w:eastAsia="宋体" w:hint="default"/>
                <w:w w:val="100"/>
                <w:sz w:val="21"/>
                <w:szCs w:val="21"/>
              </w:rPr>
              <w:t>图</w:t>
            </w:r>
            <w:r>
              <w:rPr>
                <w:rFonts w:ascii="宋体" w:hAnsi="宋体" w:cs="宋体" w:eastAsia="宋体" w:hint="default"/>
                <w:spacing w:val="-3"/>
                <w:w w:val="100"/>
                <w:sz w:val="21"/>
                <w:szCs w:val="21"/>
              </w:rPr>
              <w:t>软</w:t>
            </w:r>
            <w:r>
              <w:rPr>
                <w:rFonts w:ascii="宋体" w:hAnsi="宋体" w:cs="宋体" w:eastAsia="宋体" w:hint="default"/>
                <w:w w:val="100"/>
                <w:sz w:val="21"/>
                <w:szCs w:val="21"/>
              </w:rPr>
              <w:t>件</w:t>
            </w:r>
            <w:r>
              <w:rPr>
                <w:rFonts w:ascii="宋体" w:hAnsi="宋体" w:cs="宋体" w:eastAsia="宋体" w:hint="default"/>
                <w:spacing w:val="-3"/>
                <w:w w:val="100"/>
                <w:sz w:val="21"/>
                <w:szCs w:val="21"/>
              </w:rPr>
              <w:t>股</w:t>
            </w:r>
            <w:r>
              <w:rPr>
                <w:rFonts w:ascii="宋体" w:hAnsi="宋体" w:cs="宋体" w:eastAsia="宋体" w:hint="default"/>
                <w:w w:val="100"/>
                <w:sz w:val="21"/>
                <w:szCs w:val="21"/>
              </w:rPr>
              <w:t>份</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公</w:t>
            </w:r>
            <w:r>
              <w:rPr>
                <w:rFonts w:ascii="宋体" w:hAnsi="宋体" w:cs="宋体" w:eastAsia="宋体" w:hint="default"/>
                <w:spacing w:val="-1"/>
                <w:w w:val="100"/>
                <w:sz w:val="21"/>
                <w:szCs w:val="21"/>
              </w:rPr>
              <w:t>司</w:t>
            </w:r>
            <w:r>
              <w:rPr>
                <w:rFonts w:ascii="宋体" w:hAnsi="宋体" w:cs="宋体" w:eastAsia="宋体" w:hint="default"/>
                <w:w w:val="100"/>
                <w:sz w:val="21"/>
                <w:szCs w:val="21"/>
              </w:rPr>
              <w:t>股</w:t>
            </w:r>
            <w:r>
              <w:rPr>
                <w:rFonts w:ascii="宋体" w:hAnsi="宋体" w:cs="宋体" w:eastAsia="宋体" w:hint="default"/>
                <w:spacing w:val="-3"/>
                <w:w w:val="100"/>
                <w:sz w:val="21"/>
                <w:szCs w:val="21"/>
              </w:rPr>
              <w:t>票</w:t>
            </w:r>
            <w:r>
              <w:rPr>
                <w:rFonts w:ascii="宋体" w:hAnsi="宋体" w:cs="宋体" w:eastAsia="宋体" w:hint="default"/>
                <w:w w:val="100"/>
                <w:sz w:val="21"/>
                <w:szCs w:val="21"/>
              </w:rPr>
              <w:t>期权</w:t>
            </w:r>
            <w:r>
              <w:rPr>
                <w:rFonts w:ascii="宋体" w:hAnsi="宋体" w:cs="宋体" w:eastAsia="宋体" w:hint="default"/>
                <w:w w:val="100"/>
                <w:sz w:val="21"/>
                <w:szCs w:val="21"/>
              </w:rPr>
              <w:t> 激励</w:t>
            </w:r>
            <w:r>
              <w:rPr>
                <w:rFonts w:ascii="宋体" w:hAnsi="宋体" w:cs="宋体" w:eastAsia="宋体" w:hint="default"/>
                <w:spacing w:val="-3"/>
                <w:w w:val="100"/>
                <w:sz w:val="21"/>
                <w:szCs w:val="21"/>
              </w:rPr>
              <w:t>计</w:t>
            </w:r>
            <w:r>
              <w:rPr>
                <w:rFonts w:ascii="宋体" w:hAnsi="宋体" w:cs="宋体" w:eastAsia="宋体" w:hint="default"/>
                <w:spacing w:val="-2"/>
                <w:w w:val="100"/>
                <w:sz w:val="21"/>
                <w:szCs w:val="21"/>
              </w:rPr>
              <w:t>划</w:t>
            </w:r>
            <w:r>
              <w:rPr>
                <w:rFonts w:ascii="Times New Roman" w:hAnsi="Times New Roman" w:cs="Times New Roman" w:eastAsia="Times New Roman" w:hint="default"/>
                <w:w w:val="100"/>
                <w:sz w:val="21"/>
                <w:szCs w:val="21"/>
              </w:rPr>
              <w:t>&gt;</w:t>
            </w:r>
            <w:r>
              <w:rPr>
                <w:rFonts w:ascii="宋体" w:hAnsi="宋体" w:cs="宋体" w:eastAsia="宋体" w:hint="default"/>
                <w:spacing w:val="-3"/>
                <w:w w:val="100"/>
                <w:sz w:val="21"/>
                <w:szCs w:val="21"/>
              </w:rPr>
              <w:t>的</w:t>
            </w:r>
            <w:r>
              <w:rPr>
                <w:rFonts w:ascii="宋体" w:hAnsi="宋体" w:cs="宋体" w:eastAsia="宋体" w:hint="default"/>
                <w:w w:val="100"/>
                <w:sz w:val="21"/>
                <w:szCs w:val="21"/>
              </w:rPr>
              <w:t>议案</w:t>
            </w:r>
            <w:r>
              <w:rPr>
                <w:rFonts w:ascii="宋体" w:hAnsi="宋体" w:cs="宋体" w:eastAsia="宋体" w:hint="default"/>
                <w:spacing w:val="-108"/>
                <w:w w:val="100"/>
                <w:sz w:val="21"/>
                <w:szCs w:val="21"/>
              </w:rPr>
              <w:t>》</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关</w:t>
            </w:r>
            <w:r>
              <w:rPr>
                <w:rFonts w:ascii="宋体" w:hAnsi="宋体" w:cs="宋体" w:eastAsia="宋体" w:hint="default"/>
                <w:spacing w:val="-3"/>
                <w:w w:val="100"/>
                <w:sz w:val="21"/>
                <w:szCs w:val="21"/>
              </w:rPr>
              <w:t>于</w:t>
            </w:r>
            <w:r>
              <w:rPr>
                <w:rFonts w:ascii="宋体" w:hAnsi="宋体" w:cs="宋体" w:eastAsia="宋体" w:hint="default"/>
                <w:w w:val="100"/>
                <w:sz w:val="21"/>
                <w:szCs w:val="21"/>
              </w:rPr>
              <w:t>注销</w:t>
            </w:r>
            <w:r>
              <w:rPr>
                <w:rFonts w:ascii="宋体" w:hAnsi="宋体" w:cs="宋体" w:eastAsia="宋体" w:hint="default"/>
                <w:spacing w:val="-3"/>
                <w:w w:val="100"/>
                <w:sz w:val="21"/>
                <w:szCs w:val="21"/>
              </w:rPr>
              <w:t>已</w:t>
            </w:r>
            <w:r>
              <w:rPr>
                <w:rFonts w:ascii="宋体" w:hAnsi="宋体" w:cs="宋体" w:eastAsia="宋体" w:hint="default"/>
                <w:w w:val="100"/>
                <w:sz w:val="21"/>
                <w:szCs w:val="21"/>
              </w:rPr>
              <w:t>授</w:t>
            </w:r>
            <w:r>
              <w:rPr>
                <w:rFonts w:ascii="宋体" w:hAnsi="宋体" w:cs="宋体" w:eastAsia="宋体" w:hint="default"/>
                <w:spacing w:val="-3"/>
                <w:w w:val="100"/>
                <w:sz w:val="21"/>
                <w:szCs w:val="21"/>
              </w:rPr>
              <w:t>予</w:t>
            </w:r>
            <w:r>
              <w:rPr>
                <w:rFonts w:ascii="宋体" w:hAnsi="宋体" w:cs="宋体" w:eastAsia="宋体" w:hint="default"/>
                <w:w w:val="100"/>
                <w:sz w:val="21"/>
                <w:szCs w:val="21"/>
              </w:rPr>
              <w:t>股</w:t>
            </w:r>
            <w:r>
              <w:rPr>
                <w:rFonts w:ascii="宋体" w:hAnsi="宋体" w:cs="宋体" w:eastAsia="宋体" w:hint="default"/>
                <w:spacing w:val="-3"/>
                <w:w w:val="100"/>
                <w:sz w:val="21"/>
                <w:szCs w:val="21"/>
              </w:rPr>
              <w:t>票</w:t>
            </w:r>
            <w:r>
              <w:rPr>
                <w:rFonts w:ascii="宋体" w:hAnsi="宋体" w:cs="宋体" w:eastAsia="宋体" w:hint="default"/>
                <w:w w:val="100"/>
                <w:sz w:val="21"/>
                <w:szCs w:val="21"/>
              </w:rPr>
              <w:t>期</w:t>
            </w:r>
            <w:r>
              <w:rPr>
                <w:rFonts w:ascii="宋体" w:hAnsi="宋体" w:cs="宋体" w:eastAsia="宋体" w:hint="default"/>
                <w:spacing w:val="-3"/>
                <w:w w:val="100"/>
                <w:sz w:val="21"/>
                <w:szCs w:val="21"/>
              </w:rPr>
              <w:t>权</w:t>
            </w:r>
            <w:r>
              <w:rPr>
                <w:rFonts w:ascii="宋体" w:hAnsi="宋体" w:cs="宋体" w:eastAsia="宋体" w:hint="default"/>
                <w:w w:val="100"/>
                <w:sz w:val="21"/>
                <w:szCs w:val="21"/>
              </w:rPr>
              <w:t>的</w:t>
            </w:r>
            <w:r>
              <w:rPr>
                <w:rFonts w:ascii="宋体" w:hAnsi="宋体" w:cs="宋体" w:eastAsia="宋体" w:hint="default"/>
                <w:spacing w:val="-3"/>
                <w:w w:val="100"/>
                <w:sz w:val="21"/>
                <w:szCs w:val="21"/>
              </w:rPr>
              <w:t>议</w:t>
            </w:r>
            <w:r>
              <w:rPr>
                <w:rFonts w:ascii="宋体" w:hAnsi="宋体" w:cs="宋体" w:eastAsia="宋体" w:hint="default"/>
                <w:w w:val="100"/>
                <w:sz w:val="21"/>
                <w:szCs w:val="21"/>
              </w:rPr>
              <w:t>案》</w:t>
            </w:r>
          </w:p>
        </w:tc>
        <w:tc>
          <w:tcPr>
            <w:tcW w:w="114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4"/>
              <w:ind w:left="9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Times New Roman" w:hAnsi="Times New Roman" w:cs="Times New Roman" w:eastAsia="Times New Roman" w:hint="default"/>
                <w:spacing w:val="-8"/>
                <w:sz w:val="21"/>
                <w:szCs w:val="21"/>
              </w:rPr>
              <w:t>11</w:t>
            </w:r>
            <w:r>
              <w:rPr>
                <w:rFonts w:ascii="Times New Roman" w:hAnsi="Times New Roman" w:cs="Times New Roman" w:eastAsia="Times New Roman" w:hint="default"/>
                <w:sz w:val="21"/>
                <w:szCs w:val="21"/>
              </w:rPr>
            </w:r>
          </w:p>
          <w:p>
            <w:pPr>
              <w:pStyle w:val="TableParagraph"/>
              <w:spacing w:line="240" w:lineRule="auto" w:before="177"/>
              <w:ind w:left="98"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spacing w:line="240" w:lineRule="auto" w:before="1"/>
        <w:rPr>
          <w:rFonts w:ascii="宋体" w:hAnsi="宋体" w:cs="宋体" w:eastAsia="宋体" w:hint="default"/>
          <w:sz w:val="18"/>
          <w:szCs w:val="18"/>
        </w:rPr>
      </w:pPr>
    </w:p>
    <w:p>
      <w:pPr>
        <w:pStyle w:val="Heading4"/>
        <w:spacing w:line="240" w:lineRule="auto" w:before="26"/>
        <w:ind w:left="558" w:right="0"/>
        <w:jc w:val="left"/>
        <w:rPr>
          <w:b w:val="0"/>
          <w:bCs w:val="0"/>
        </w:rPr>
      </w:pPr>
      <w:bookmarkStart w:name="_bookmark116" w:id="117"/>
      <w:bookmarkEnd w:id="117"/>
      <w:r>
        <w:rPr>
          <w:b w:val="0"/>
          <w:bCs w:val="0"/>
        </w:rPr>
      </w:r>
      <w:r>
        <w:rPr>
          <w:rFonts w:ascii="Times New Roman" w:hAnsi="Times New Roman" w:cs="Times New Roman" w:eastAsia="Times New Roman" w:hint="default"/>
        </w:rPr>
        <w:t>2</w:t>
      </w:r>
      <w:r>
        <w:rPr/>
        <w:t>、监事会对公司报告期内有关事项的独立意见</w:t>
      </w:r>
      <w:r>
        <w:rPr>
          <w:b w:val="0"/>
          <w:bCs w:val="0"/>
        </w:rPr>
      </w:r>
    </w:p>
    <w:p>
      <w:pPr>
        <w:spacing w:line="240" w:lineRule="auto" w:before="6"/>
        <w:rPr>
          <w:rFonts w:ascii="宋体" w:hAnsi="宋体" w:cs="宋体" w:eastAsia="宋体" w:hint="default"/>
          <w:b/>
          <w:bCs/>
          <w:sz w:val="27"/>
          <w:szCs w:val="27"/>
        </w:rPr>
      </w:pPr>
    </w:p>
    <w:p>
      <w:pPr>
        <w:pStyle w:val="BodyText"/>
        <w:spacing w:line="357" w:lineRule="auto"/>
        <w:ind w:right="255" w:firstLine="479"/>
        <w:jc w:val="both"/>
      </w:pPr>
      <w:r>
        <w:rPr>
          <w:spacing w:val="-19"/>
        </w:rPr>
        <w:t>报告期内，公司监事会根据《公司法》、《证券法》、《上市规则》、《规范运作指</w:t>
      </w:r>
      <w:r>
        <w:rPr/>
        <w:t> 引》以及《公司章程》等相关规定，对公司依法运作情况、公司财务情况、关联交</w:t>
      </w:r>
      <w:r>
        <w:rPr>
          <w:spacing w:val="-77"/>
        </w:rPr>
        <w:t> </w:t>
      </w:r>
      <w:r>
        <w:rPr>
          <w:spacing w:val="-77"/>
        </w:rPr>
      </w:r>
      <w:r>
        <w:rPr/>
        <w:t>易、重大决策、股权激励等事项进行认真监督检查，发表独立意见如下：</w:t>
      </w:r>
    </w:p>
    <w:p>
      <w:pPr>
        <w:spacing w:line="240" w:lineRule="auto" w:before="11"/>
        <w:rPr>
          <w:rFonts w:ascii="宋体" w:hAnsi="宋体" w:cs="宋体" w:eastAsia="宋体" w:hint="default"/>
          <w:sz w:val="19"/>
          <w:szCs w:val="19"/>
        </w:rPr>
      </w:pPr>
    </w:p>
    <w:p>
      <w:pPr>
        <w:pStyle w:val="Heading4"/>
        <w:spacing w:line="240" w:lineRule="auto"/>
        <w:ind w:left="558" w:right="0"/>
        <w:jc w:val="left"/>
        <w:rPr>
          <w:b w:val="0"/>
          <w:bCs w:val="0"/>
        </w:rPr>
      </w:pPr>
      <w:r>
        <w:rPr/>
        <w:t>（</w:t>
      </w:r>
      <w:r>
        <w:rPr>
          <w:rFonts w:ascii="Times New Roman" w:hAnsi="Times New Roman" w:cs="Times New Roman" w:eastAsia="Times New Roman" w:hint="default"/>
        </w:rPr>
        <w:t>1</w:t>
      </w:r>
      <w:r>
        <w:rPr/>
        <w:t>）公司依法运作情况</w:t>
      </w:r>
      <w:r>
        <w:rPr>
          <w:b w:val="0"/>
          <w:bCs w:val="0"/>
        </w:rPr>
      </w:r>
    </w:p>
    <w:p>
      <w:pPr>
        <w:spacing w:line="240" w:lineRule="auto" w:before="3"/>
        <w:rPr>
          <w:rFonts w:ascii="宋体" w:hAnsi="宋体" w:cs="宋体" w:eastAsia="宋体" w:hint="default"/>
          <w:b/>
          <w:bCs/>
          <w:sz w:val="27"/>
          <w:szCs w:val="27"/>
        </w:rPr>
      </w:pPr>
    </w:p>
    <w:p>
      <w:pPr>
        <w:pStyle w:val="BodyText"/>
        <w:spacing w:line="355" w:lineRule="auto"/>
        <w:ind w:right="253" w:firstLine="599"/>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23"/>
        </w:rPr>
        <w:t> </w:t>
      </w:r>
      <w:r>
        <w:rPr>
          <w:spacing w:val="-5"/>
        </w:rPr>
        <w:t>年度，监事会成员列席了公司召开的所有董事会以及股东大会，根据《公</w:t>
      </w:r>
      <w:r>
        <w:rPr/>
        <w:t> </w:t>
      </w:r>
      <w:r>
        <w:rPr>
          <w:spacing w:val="-6"/>
        </w:rPr>
        <w:t>司法》、《监事会议事规则》等有关规定对相关会议的召开召集程序、决策程序、决</w:t>
      </w:r>
      <w:r>
        <w:rPr>
          <w:spacing w:val="-93"/>
        </w:rPr>
        <w:t> </w:t>
      </w:r>
      <w:r>
        <w:rPr>
          <w:spacing w:val="-93"/>
        </w:rPr>
      </w:r>
      <w:r>
        <w:rPr/>
        <w:t>议事项以及决议的执行进行了严格监督，并对董事、高级管理人员执行公司职务的</w:t>
      </w:r>
      <w:r>
        <w:rPr>
          <w:spacing w:val="-77"/>
        </w:rPr>
        <w:t> </w:t>
      </w:r>
      <w:r>
        <w:rPr>
          <w:spacing w:val="-77"/>
        </w:rPr>
      </w:r>
      <w:r>
        <w:rPr/>
        <w:t>行为进行了监督检查。监事会认为：公司的决策程序严格遵循了《公司法》、《证</w:t>
      </w:r>
      <w:r>
        <w:rPr>
          <w:spacing w:val="-76"/>
        </w:rPr>
        <w:t> </w:t>
      </w:r>
      <w:r>
        <w:rPr>
          <w:spacing w:val="-76"/>
        </w:rPr>
      </w:r>
      <w:r>
        <w:rPr/>
        <w:t>券法》、《上市规则》等法律法规以及《公司章程》的规定，公司进一步健全了内</w:t>
      </w:r>
      <w:r>
        <w:rPr>
          <w:spacing w:val="-73"/>
        </w:rPr>
        <w:t> </w:t>
      </w:r>
      <w:r>
        <w:rPr>
          <w:spacing w:val="-73"/>
        </w:rPr>
      </w:r>
      <w:r>
        <w:rPr/>
        <w:t>部控制制度及相关流程。信息披露及时、准确。公司董事、高级管理人员在执行公</w:t>
      </w:r>
      <w:r>
        <w:rPr>
          <w:spacing w:val="-77"/>
        </w:rPr>
        <w:t> </w:t>
      </w:r>
      <w:r>
        <w:rPr>
          <w:spacing w:val="-77"/>
        </w:rPr>
      </w:r>
      <w:r>
        <w:rPr>
          <w:spacing w:val="-5"/>
        </w:rPr>
        <w:t>司职务时不存在违反法律、法规、《公司章程》或有损于公司和股东利益的行为。</w:t>
      </w:r>
    </w:p>
    <w:p>
      <w:pPr>
        <w:spacing w:line="240" w:lineRule="auto" w:before="0"/>
        <w:rPr>
          <w:rFonts w:ascii="宋体" w:hAnsi="宋体" w:cs="宋体" w:eastAsia="宋体" w:hint="default"/>
          <w:sz w:val="20"/>
          <w:szCs w:val="20"/>
        </w:rPr>
      </w:pPr>
    </w:p>
    <w:p>
      <w:pPr>
        <w:pStyle w:val="Heading4"/>
        <w:spacing w:line="240" w:lineRule="auto"/>
        <w:ind w:left="558" w:right="0"/>
        <w:jc w:val="left"/>
        <w:rPr>
          <w:b w:val="0"/>
          <w:bCs w:val="0"/>
        </w:rPr>
      </w:pPr>
      <w:r>
        <w:rPr/>
        <w:t>（</w:t>
      </w:r>
      <w:r>
        <w:rPr>
          <w:rFonts w:ascii="Times New Roman" w:hAnsi="Times New Roman" w:cs="Times New Roman" w:eastAsia="Times New Roman" w:hint="default"/>
        </w:rPr>
        <w:t>2</w:t>
      </w:r>
      <w:r>
        <w:rPr/>
        <w:t>）公司财务情况</w:t>
      </w:r>
      <w:r>
        <w:rPr>
          <w:b w:val="0"/>
          <w:bCs w:val="0"/>
        </w:rPr>
      </w:r>
    </w:p>
    <w:p>
      <w:pPr>
        <w:spacing w:line="240" w:lineRule="auto" w:before="6"/>
        <w:rPr>
          <w:rFonts w:ascii="宋体" w:hAnsi="宋体" w:cs="宋体" w:eastAsia="宋体" w:hint="default"/>
          <w:b/>
          <w:bCs/>
          <w:sz w:val="27"/>
          <w:szCs w:val="27"/>
        </w:rPr>
      </w:pPr>
    </w:p>
    <w:p>
      <w:pPr>
        <w:pStyle w:val="BodyText"/>
        <w:spacing w:line="338" w:lineRule="auto"/>
        <w:ind w:right="257" w:firstLine="479"/>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年度，监事会对公司的财务状况、财务管理以及公司经营成果进行了认真 检查。主要方式是：查阅公司财务报表、审计机构出具的审计报告、公司内部审计</w:t>
      </w:r>
    </w:p>
    <w:p>
      <w:pPr>
        <w:spacing w:after="0" w:line="338" w:lineRule="auto"/>
        <w:jc w:val="both"/>
        <w:sectPr>
          <w:pgSz w:w="11910" w:h="16840"/>
          <w:pgMar w:header="884" w:footer="1007" w:top="1160" w:bottom="1200" w:left="1240" w:right="1160"/>
        </w:sectPr>
      </w:pPr>
    </w:p>
    <w:p>
      <w:pPr>
        <w:spacing w:line="240" w:lineRule="auto" w:before="0"/>
        <w:rPr>
          <w:rFonts w:ascii="宋体" w:hAnsi="宋体" w:cs="宋体" w:eastAsia="宋体" w:hint="default"/>
          <w:sz w:val="21"/>
          <w:szCs w:val="21"/>
        </w:rPr>
      </w:pPr>
    </w:p>
    <w:p>
      <w:pPr>
        <w:pStyle w:val="BodyText"/>
        <w:spacing w:line="357" w:lineRule="auto" w:before="26"/>
        <w:ind w:right="115"/>
        <w:jc w:val="both"/>
      </w:pPr>
      <w:r>
        <w:rPr/>
        <w:t>部门出具的内审报告，质询财务负责人等。经检查和审核，监事会认为：公司财务</w:t>
      </w:r>
      <w:r>
        <w:rPr>
          <w:spacing w:val="-77"/>
        </w:rPr>
        <w:t> </w:t>
      </w:r>
      <w:r>
        <w:rPr>
          <w:spacing w:val="-77"/>
        </w:rPr>
      </w:r>
      <w:r>
        <w:rPr/>
        <w:t>制度比较健全、财务运作规范、财务状况良好。财务报告真实、公允地反映了公司</w:t>
      </w:r>
      <w:r>
        <w:rPr>
          <w:spacing w:val="-77"/>
        </w:rPr>
        <w:t> </w:t>
      </w:r>
      <w:r>
        <w:rPr>
          <w:spacing w:val="-77"/>
        </w:rPr>
      </w:r>
      <w:r>
        <w:rPr>
          <w:rFonts w:ascii="Times New Roman" w:hAnsi="Times New Roman" w:cs="Times New Roman" w:eastAsia="Times New Roman" w:hint="default"/>
        </w:rPr>
        <w:t>2012</w:t>
      </w:r>
      <w:r>
        <w:rPr>
          <w:rFonts w:ascii="Times New Roman" w:hAnsi="Times New Roman" w:cs="Times New Roman" w:eastAsia="Times New Roman" w:hint="default"/>
          <w:spacing w:val="9"/>
        </w:rPr>
        <w:t> </w:t>
      </w:r>
      <w:r>
        <w:rPr>
          <w:spacing w:val="-4"/>
        </w:rPr>
        <w:t>年度的财务状况和经营成果，不存在任何虚假记载、误导性陈述或者重大遗漏。</w:t>
      </w:r>
    </w:p>
    <w:p>
      <w:pPr>
        <w:spacing w:line="240" w:lineRule="auto" w:before="6"/>
        <w:rPr>
          <w:rFonts w:ascii="宋体" w:hAnsi="宋体" w:cs="宋体" w:eastAsia="宋体" w:hint="default"/>
          <w:sz w:val="17"/>
          <w:szCs w:val="17"/>
        </w:rPr>
      </w:pPr>
    </w:p>
    <w:p>
      <w:pPr>
        <w:pStyle w:val="Heading4"/>
        <w:spacing w:line="240" w:lineRule="auto"/>
        <w:ind w:left="558" w:right="102"/>
        <w:jc w:val="left"/>
        <w:rPr>
          <w:b w:val="0"/>
          <w:bCs w:val="0"/>
        </w:rPr>
      </w:pPr>
      <w:r>
        <w:rPr/>
        <w:t>（</w:t>
      </w:r>
      <w:r>
        <w:rPr>
          <w:rFonts w:ascii="Times New Roman" w:hAnsi="Times New Roman" w:cs="Times New Roman" w:eastAsia="Times New Roman" w:hint="default"/>
        </w:rPr>
        <w:t>3</w:t>
      </w:r>
      <w:r>
        <w:rPr/>
        <w:t>）公司关联交易、对外担保及实际控制人和大股东占用资金情况</w:t>
      </w:r>
      <w:r>
        <w:rPr>
          <w:b w:val="0"/>
          <w:bCs w:val="0"/>
        </w:rPr>
      </w:r>
    </w:p>
    <w:p>
      <w:pPr>
        <w:spacing w:line="240" w:lineRule="auto" w:before="6"/>
        <w:rPr>
          <w:rFonts w:ascii="宋体" w:hAnsi="宋体" w:cs="宋体" w:eastAsia="宋体" w:hint="default"/>
          <w:b/>
          <w:bCs/>
          <w:sz w:val="27"/>
          <w:szCs w:val="27"/>
        </w:rPr>
      </w:pPr>
    </w:p>
    <w:p>
      <w:pPr>
        <w:pStyle w:val="BodyText"/>
        <w:spacing w:line="348" w:lineRule="auto"/>
        <w:ind w:right="232" w:firstLine="479"/>
        <w:jc w:val="both"/>
      </w:pPr>
      <w:r>
        <w:rPr/>
        <w:t>公司 </w:t>
      </w:r>
      <w:r>
        <w:rPr>
          <w:rFonts w:ascii="Times New Roman" w:hAnsi="Times New Roman" w:cs="Times New Roman" w:eastAsia="Times New Roman" w:hint="default"/>
        </w:rPr>
        <w:t>2012</w:t>
      </w:r>
      <w:r>
        <w:rPr>
          <w:rFonts w:ascii="Times New Roman" w:hAnsi="Times New Roman" w:cs="Times New Roman" w:eastAsia="Times New Roman" w:hint="default"/>
          <w:spacing w:val="46"/>
        </w:rPr>
        <w:t> </w:t>
      </w:r>
      <w:r>
        <w:rPr/>
        <w:t>年度未发生重大关联交易行为，日常关联交易按市场竞争的原则公 开、公平、公正地进行，不存在任何内部交易，不存在损害公司和所有股东利益的</w:t>
      </w:r>
      <w:r>
        <w:rPr>
          <w:spacing w:val="-75"/>
        </w:rPr>
        <w:t> </w:t>
      </w:r>
      <w:r>
        <w:rPr>
          <w:spacing w:val="-75"/>
        </w:rPr>
      </w:r>
      <w:r>
        <w:rPr/>
        <w:t>行为。</w:t>
      </w:r>
    </w:p>
    <w:p>
      <w:pPr>
        <w:pStyle w:val="BodyText"/>
        <w:spacing w:line="338" w:lineRule="auto" w:before="46"/>
        <w:ind w:right="237" w:firstLine="479"/>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10"/>
        </w:rPr>
        <w:t> </w:t>
      </w:r>
      <w:r>
        <w:rPr/>
        <w:t>年度公司未发生对外担保，未发生债务重组、非货币性交易事项及资产置 换，也未发生其他损害公司股东利益或造成公司资产流失的情况。</w:t>
      </w:r>
    </w:p>
    <w:p>
      <w:pPr>
        <w:pStyle w:val="BodyText"/>
        <w:spacing w:line="240" w:lineRule="auto" w:before="55"/>
        <w:ind w:left="1038" w:right="102"/>
        <w:jc w:val="left"/>
      </w:pPr>
      <w:r>
        <w:rPr>
          <w:rFonts w:ascii="Times New Roman" w:hAnsi="Times New Roman" w:cs="Times New Roman" w:eastAsia="Times New Roman" w:hint="default"/>
        </w:rPr>
        <w:t>2012 </w:t>
      </w:r>
      <w:r>
        <w:rPr/>
        <w:t>年度公司未发生实际控制人或大股东占用公司资金的情况。</w:t>
      </w:r>
    </w:p>
    <w:p>
      <w:pPr>
        <w:spacing w:line="670" w:lineRule="atLeast" w:before="21"/>
        <w:ind w:left="1038" w:right="102"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）公司募集资金使用和管理情况</w:t>
      </w:r>
      <w:r>
        <w:rPr>
          <w:rFonts w:ascii="宋体" w:hAnsi="宋体" w:cs="宋体" w:eastAsia="宋体" w:hint="default"/>
          <w:b/>
          <w:bCs/>
          <w:w w:val="99"/>
          <w:sz w:val="24"/>
          <w:szCs w:val="24"/>
        </w:rPr>
        <w:t> </w:t>
      </w:r>
      <w:r>
        <w:rPr>
          <w:rFonts w:ascii="宋体" w:hAnsi="宋体" w:cs="宋体" w:eastAsia="宋体" w:hint="default"/>
          <w:sz w:val="24"/>
          <w:szCs w:val="24"/>
        </w:rPr>
        <w:t>报告期内，公司募集资金的使用符合募投项目的综合需要以及中国证监会、深</w:t>
      </w:r>
    </w:p>
    <w:p>
      <w:pPr>
        <w:pStyle w:val="BodyText"/>
        <w:spacing w:line="357" w:lineRule="auto" w:before="154"/>
        <w:ind w:right="102"/>
        <w:jc w:val="left"/>
      </w:pPr>
      <w:r>
        <w:rPr>
          <w:spacing w:val="-2"/>
        </w:rPr>
        <w:t>圳证券交易所关于募集资金使用的相关规定，公司不存在违规使用募集资金的行为，</w:t>
      </w:r>
      <w:r>
        <w:rPr>
          <w:spacing w:val="-116"/>
        </w:rPr>
        <w:t> </w:t>
      </w:r>
      <w:r>
        <w:rPr>
          <w:spacing w:val="-116"/>
        </w:rPr>
      </w:r>
      <w:r>
        <w:rPr/>
        <w:t>不存在改变募集资金使用计划和损害股东利益的情形。募投项目依计划进行，未发</w:t>
      </w:r>
      <w:r>
        <w:rPr>
          <w:spacing w:val="-77"/>
        </w:rPr>
        <w:t> </w:t>
      </w:r>
      <w:r>
        <w:rPr>
          <w:spacing w:val="-77"/>
        </w:rPr>
      </w:r>
      <w:r>
        <w:rPr/>
        <w:t>生变更募投项目的情况。</w:t>
      </w:r>
    </w:p>
    <w:p>
      <w:pPr>
        <w:pStyle w:val="BodyText"/>
        <w:spacing w:line="348" w:lineRule="auto" w:before="36"/>
        <w:ind w:right="232" w:firstLine="479"/>
        <w:jc w:val="both"/>
      </w:pPr>
      <w:r>
        <w:rPr/>
        <w:t>报告期内，公司超募资金的使用符合《创业板信息披露业务备忘录第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号—超 募资金使用（修订）》等相关法律法规的规定，超募资金的使用方向符合公司的战</w:t>
      </w:r>
      <w:r>
        <w:rPr>
          <w:spacing w:val="-77"/>
        </w:rPr>
        <w:t> </w:t>
      </w:r>
      <w:r>
        <w:rPr>
          <w:spacing w:val="-77"/>
        </w:rPr>
      </w:r>
      <w:r>
        <w:rPr/>
        <w:t>略规划及市场发展的需要且不影响公司募投项目的正常进行。</w:t>
      </w:r>
    </w:p>
    <w:p>
      <w:pPr>
        <w:spacing w:line="240" w:lineRule="auto" w:before="7"/>
        <w:rPr>
          <w:rFonts w:ascii="宋体" w:hAnsi="宋体" w:cs="宋体" w:eastAsia="宋体" w:hint="default"/>
          <w:sz w:val="20"/>
          <w:szCs w:val="20"/>
        </w:rPr>
      </w:pPr>
    </w:p>
    <w:p>
      <w:pPr>
        <w:pStyle w:val="Heading4"/>
        <w:spacing w:line="240" w:lineRule="auto"/>
        <w:ind w:left="558" w:right="102"/>
        <w:jc w:val="left"/>
        <w:rPr>
          <w:b w:val="0"/>
          <w:bCs w:val="0"/>
        </w:rPr>
      </w:pPr>
      <w:r>
        <w:rPr/>
        <w:t>（</w:t>
      </w:r>
      <w:r>
        <w:rPr>
          <w:rFonts w:ascii="Times New Roman" w:hAnsi="Times New Roman" w:cs="Times New Roman" w:eastAsia="Times New Roman" w:hint="default"/>
        </w:rPr>
        <w:t>5</w:t>
      </w:r>
      <w:r>
        <w:rPr/>
        <w:t>）公司内控建设情况</w:t>
      </w:r>
      <w:r>
        <w:rPr>
          <w:b w:val="0"/>
          <w:bCs w:val="0"/>
        </w:rPr>
      </w:r>
    </w:p>
    <w:p>
      <w:pPr>
        <w:spacing w:line="240" w:lineRule="auto" w:before="6"/>
        <w:rPr>
          <w:rFonts w:ascii="宋体" w:hAnsi="宋体" w:cs="宋体" w:eastAsia="宋体" w:hint="default"/>
          <w:b/>
          <w:bCs/>
          <w:sz w:val="27"/>
          <w:szCs w:val="27"/>
        </w:rPr>
      </w:pPr>
    </w:p>
    <w:p>
      <w:pPr>
        <w:pStyle w:val="BodyText"/>
        <w:spacing w:line="350" w:lineRule="auto"/>
        <w:ind w:right="232" w:firstLine="479"/>
        <w:jc w:val="both"/>
      </w:pPr>
      <w:r>
        <w:rPr/>
        <w:t>经审阅公司的内部控制自我评价报告，监事会认为：</w:t>
      </w:r>
      <w:r>
        <w:rPr>
          <w:rFonts w:ascii="Times New Roman" w:hAnsi="Times New Roman" w:cs="Times New Roman" w:eastAsia="Times New Roman" w:hint="default"/>
        </w:rPr>
        <w:t>2012</w:t>
      </w:r>
      <w:r>
        <w:rPr>
          <w:rFonts w:ascii="Times New Roman" w:hAnsi="Times New Roman" w:cs="Times New Roman" w:eastAsia="Times New Roman" w:hint="default"/>
          <w:spacing w:val="-7"/>
        </w:rPr>
        <w:t> </w:t>
      </w:r>
      <w:r>
        <w:rPr/>
        <w:t>年度，公司进一步健 全了内部控制制度，进一步细化、优化了相关控制流程，公司的内部控制体系已建</w:t>
      </w:r>
      <w:r>
        <w:rPr>
          <w:spacing w:val="-71"/>
        </w:rPr>
        <w:t> </w:t>
      </w:r>
      <w:r>
        <w:rPr>
          <w:spacing w:val="-71"/>
        </w:rPr>
      </w:r>
      <w:r>
        <w:rPr/>
        <w:t>立，内部控制组织机构完整，内部管理控制体系基本完善，内部控制重点活动执行</w:t>
      </w:r>
      <w:r>
        <w:rPr>
          <w:spacing w:val="-73"/>
        </w:rPr>
        <w:t> </w:t>
      </w:r>
      <w:r>
        <w:rPr>
          <w:spacing w:val="-73"/>
        </w:rPr>
      </w:r>
      <w:r>
        <w:rPr/>
        <w:t>及监督充分有效。</w:t>
      </w:r>
    </w:p>
    <w:p>
      <w:pPr>
        <w:spacing w:line="240" w:lineRule="auto" w:before="5"/>
        <w:rPr>
          <w:rFonts w:ascii="宋体" w:hAnsi="宋体" w:cs="宋体" w:eastAsia="宋体" w:hint="default"/>
          <w:sz w:val="20"/>
          <w:szCs w:val="20"/>
        </w:rPr>
      </w:pPr>
    </w:p>
    <w:p>
      <w:pPr>
        <w:pStyle w:val="Heading4"/>
        <w:spacing w:line="240" w:lineRule="auto"/>
        <w:ind w:left="558" w:right="102"/>
        <w:jc w:val="left"/>
        <w:rPr>
          <w:b w:val="0"/>
          <w:bCs w:val="0"/>
        </w:rPr>
      </w:pPr>
      <w:r>
        <w:rPr/>
        <w:t>（</w:t>
      </w:r>
      <w:r>
        <w:rPr>
          <w:rFonts w:ascii="Times New Roman" w:hAnsi="Times New Roman" w:cs="Times New Roman" w:eastAsia="Times New Roman" w:hint="default"/>
        </w:rPr>
        <w:t>6</w:t>
      </w:r>
      <w:r>
        <w:rPr/>
        <w:t>）公司股权激励情况</w:t>
      </w:r>
      <w:r>
        <w:rPr>
          <w:b w:val="0"/>
          <w:bCs w:val="0"/>
        </w:rPr>
      </w:r>
    </w:p>
    <w:p>
      <w:pPr>
        <w:spacing w:line="240" w:lineRule="auto" w:before="4"/>
        <w:rPr>
          <w:rFonts w:ascii="宋体" w:hAnsi="宋体" w:cs="宋体" w:eastAsia="宋体" w:hint="default"/>
          <w:b/>
          <w:bCs/>
          <w:sz w:val="27"/>
          <w:szCs w:val="27"/>
        </w:rPr>
      </w:pPr>
    </w:p>
    <w:p>
      <w:pPr>
        <w:pStyle w:val="BodyText"/>
        <w:spacing w:line="357" w:lineRule="auto"/>
        <w:ind w:right="231" w:firstLine="479"/>
        <w:jc w:val="both"/>
      </w:pPr>
      <w:r>
        <w:rPr/>
        <w:t>监事会对公司终止股票期权激励计划进行了认真审核，认为国内证券市场环境 发生较大变化，若继续实施本次股票期权激励计划，将很难真正达到预期的激励效</w:t>
      </w:r>
    </w:p>
    <w:p>
      <w:pPr>
        <w:spacing w:after="0" w:line="357" w:lineRule="auto"/>
        <w:jc w:val="both"/>
        <w:sectPr>
          <w:pgSz w:w="11910" w:h="16840"/>
          <w:pgMar w:header="884" w:footer="1007" w:top="1160" w:bottom="1200" w:left="1240" w:right="1180"/>
        </w:sectPr>
      </w:pPr>
    </w:p>
    <w:p>
      <w:pPr>
        <w:spacing w:line="240" w:lineRule="auto" w:before="0"/>
        <w:rPr>
          <w:rFonts w:ascii="宋体" w:hAnsi="宋体" w:cs="宋体" w:eastAsia="宋体" w:hint="default"/>
          <w:sz w:val="21"/>
          <w:szCs w:val="21"/>
        </w:rPr>
      </w:pPr>
    </w:p>
    <w:p>
      <w:pPr>
        <w:pStyle w:val="BodyText"/>
        <w:spacing w:line="357" w:lineRule="auto" w:before="26"/>
        <w:ind w:right="0"/>
        <w:jc w:val="left"/>
      </w:pPr>
      <w:r>
        <w:rPr/>
        <w:t>果，同意公司董事会终止目前正在实施的股票期权激励计划，公司终止实施涉及激</w:t>
      </w:r>
      <w:r>
        <w:rPr>
          <w:spacing w:val="-73"/>
        </w:rPr>
        <w:t> </w:t>
      </w:r>
      <w:r>
        <w:rPr>
          <w:spacing w:val="-73"/>
        </w:rPr>
      </w:r>
      <w:r>
        <w:rPr/>
        <w:t>励对象</w:t>
      </w:r>
      <w:r>
        <w:rPr>
          <w:rFonts w:ascii="Times New Roman" w:hAnsi="Times New Roman" w:cs="Times New Roman" w:eastAsia="Times New Roman" w:hint="default"/>
        </w:rPr>
        <w:t>92</w:t>
      </w:r>
      <w:r>
        <w:rPr/>
        <w:t>人、股票期权份数</w:t>
      </w:r>
      <w:r>
        <w:rPr>
          <w:rFonts w:ascii="Times New Roman" w:hAnsi="Times New Roman" w:cs="Times New Roman" w:eastAsia="Times New Roman" w:hint="default"/>
        </w:rPr>
        <w:t>259.52</w:t>
      </w:r>
      <w:r>
        <w:rPr/>
        <w:t>万份，同意对已授予的股票期权进行注销。</w:t>
      </w:r>
    </w:p>
    <w:p>
      <w:pPr>
        <w:spacing w:after="0" w:line="357" w:lineRule="auto"/>
        <w:jc w:val="left"/>
        <w:sectPr>
          <w:pgSz w:w="11910" w:h="16840"/>
          <w:pgMar w:header="884" w:footer="1007" w:top="1160" w:bottom="1200" w:left="124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1"/>
        <w:tabs>
          <w:tab w:pos="4904" w:val="left" w:leader="none"/>
        </w:tabs>
        <w:spacing w:line="460" w:lineRule="exact"/>
        <w:ind w:left="3457" w:right="102"/>
        <w:jc w:val="left"/>
        <w:rPr>
          <w:b w:val="0"/>
          <w:bCs w:val="0"/>
        </w:rPr>
      </w:pPr>
      <w:bookmarkStart w:name="_bookmark117" w:id="118"/>
      <w:bookmarkEnd w:id="118"/>
      <w:r>
        <w:rPr>
          <w:b w:val="0"/>
          <w:bCs w:val="0"/>
        </w:rPr>
      </w:r>
      <w:r>
        <w:rPr>
          <w:w w:val="95"/>
        </w:rPr>
        <w:t>第九节</w:t>
        <w:tab/>
      </w:r>
      <w:r>
        <w:rPr/>
        <w:t>财务报告</w:t>
      </w:r>
      <w:r>
        <w:rPr>
          <w:b w:val="0"/>
          <w:bCs w:val="0"/>
        </w:rPr>
      </w:r>
    </w:p>
    <w:p>
      <w:pPr>
        <w:spacing w:line="240" w:lineRule="auto" w:before="2"/>
        <w:rPr>
          <w:rFonts w:ascii="宋体" w:hAnsi="宋体" w:cs="宋体" w:eastAsia="宋体" w:hint="default"/>
          <w:b/>
          <w:bCs/>
          <w:sz w:val="28"/>
          <w:szCs w:val="28"/>
        </w:rPr>
      </w:pPr>
    </w:p>
    <w:p>
      <w:pPr>
        <w:pStyle w:val="Heading4"/>
        <w:spacing w:line="240" w:lineRule="auto" w:before="26"/>
        <w:ind w:left="558" w:right="102"/>
        <w:jc w:val="left"/>
        <w:rPr>
          <w:b w:val="0"/>
          <w:bCs w:val="0"/>
        </w:rPr>
      </w:pPr>
      <w:r>
        <w:rPr/>
        <w:t>一、审计报告</w:t>
      </w:r>
      <w:r>
        <w:rPr>
          <w:b w:val="0"/>
          <w:bCs w:val="0"/>
        </w:rPr>
      </w:r>
    </w:p>
    <w:p>
      <w:pPr>
        <w:spacing w:line="240" w:lineRule="auto" w:before="11"/>
        <w:rPr>
          <w:rFonts w:ascii="宋体" w:hAnsi="宋体" w:cs="宋体" w:eastAsia="宋体" w:hint="default"/>
          <w:b/>
          <w:bCs/>
          <w:sz w:val="25"/>
          <w:szCs w:val="25"/>
        </w:rPr>
      </w:pPr>
    </w:p>
    <w:tbl>
      <w:tblPr>
        <w:tblW w:w="0" w:type="auto"/>
        <w:jc w:val="left"/>
        <w:tblInd w:w="524" w:type="dxa"/>
        <w:tblLayout w:type="fixed"/>
        <w:tblCellMar>
          <w:top w:w="0" w:type="dxa"/>
          <w:left w:w="0" w:type="dxa"/>
          <w:bottom w:w="0" w:type="dxa"/>
          <w:right w:w="0" w:type="dxa"/>
        </w:tblCellMar>
        <w:tblLook w:val="01E0"/>
      </w:tblPr>
      <w:tblGrid>
        <w:gridCol w:w="4361"/>
        <w:gridCol w:w="4388"/>
      </w:tblGrid>
      <w:tr>
        <w:trPr>
          <w:trHeight w:val="322" w:hRule="exact"/>
        </w:trPr>
        <w:tc>
          <w:tcPr>
            <w:tcW w:w="4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388" w:type="dxa"/>
            <w:tcBorders>
              <w:top w:val="single" w:sz="4" w:space="0" w:color="000000"/>
              <w:left w:val="single" w:sz="13" w:space="0" w:color="D2D2D2"/>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322" w:hRule="exact"/>
        </w:trPr>
        <w:tc>
          <w:tcPr>
            <w:tcW w:w="4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388" w:type="dxa"/>
            <w:tcBorders>
              <w:top w:val="single" w:sz="4" w:space="0" w:color="000000"/>
              <w:left w:val="single" w:sz="13" w:space="0" w:color="D2D2D2"/>
              <w:bottom w:val="single" w:sz="4" w:space="0" w:color="000000"/>
              <w:right w:val="single" w:sz="4" w:space="0" w:color="000000"/>
            </w:tcBorders>
          </w:tcPr>
          <w:p>
            <w:pPr>
              <w:pStyle w:val="TableParagraph"/>
              <w:spacing w:line="289" w:lineRule="exact"/>
              <w:ind w:left="21" w:right="0"/>
              <w:jc w:val="lef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04</w:t>
            </w:r>
            <w:r>
              <w:rPr>
                <w:rFonts w:ascii="Calibri" w:hAnsi="Calibri" w:cs="Calibri" w:eastAsia="Calibri"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Calibri" w:hAnsi="Calibri" w:cs="Calibri" w:eastAsia="Calibri" w:hint="default"/>
                <w:sz w:val="21"/>
                <w:szCs w:val="21"/>
              </w:rPr>
              <w:t>15</w:t>
            </w:r>
            <w:r>
              <w:rPr>
                <w:rFonts w:ascii="Calibri" w:hAnsi="Calibri" w:cs="Calibri" w:eastAsia="Calibri" w:hint="default"/>
                <w:spacing w:val="3"/>
                <w:sz w:val="21"/>
                <w:szCs w:val="21"/>
              </w:rPr>
              <w:t> </w:t>
            </w:r>
            <w:r>
              <w:rPr>
                <w:rFonts w:ascii="宋体" w:hAnsi="宋体" w:cs="宋体" w:eastAsia="宋体" w:hint="default"/>
                <w:sz w:val="21"/>
                <w:szCs w:val="21"/>
              </w:rPr>
              <w:t>日</w:t>
            </w:r>
          </w:p>
        </w:tc>
      </w:tr>
      <w:tr>
        <w:trPr>
          <w:trHeight w:val="322" w:hRule="exact"/>
        </w:trPr>
        <w:tc>
          <w:tcPr>
            <w:tcW w:w="4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388" w:type="dxa"/>
            <w:tcBorders>
              <w:top w:val="single" w:sz="4" w:space="0" w:color="000000"/>
              <w:left w:val="single" w:sz="13" w:space="0" w:color="D2D2D2"/>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322" w:hRule="exact"/>
        </w:trPr>
        <w:tc>
          <w:tcPr>
            <w:tcW w:w="4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388" w:type="dxa"/>
            <w:tcBorders>
              <w:top w:val="single" w:sz="4" w:space="0" w:color="000000"/>
              <w:left w:val="single" w:sz="13" w:space="0" w:color="D2D2D2"/>
              <w:bottom w:val="single" w:sz="4" w:space="0" w:color="000000"/>
              <w:right w:val="single" w:sz="4" w:space="0" w:color="000000"/>
            </w:tcBorders>
          </w:tcPr>
          <w:p>
            <w:pPr>
              <w:pStyle w:val="TableParagraph"/>
              <w:spacing w:line="289" w:lineRule="exact"/>
              <w:ind w:left="21" w:right="0"/>
              <w:jc w:val="left"/>
              <w:rPr>
                <w:rFonts w:ascii="宋体" w:hAnsi="宋体" w:cs="宋体" w:eastAsia="宋体" w:hint="default"/>
                <w:sz w:val="21"/>
                <w:szCs w:val="21"/>
              </w:rPr>
            </w:pPr>
            <w:r>
              <w:rPr>
                <w:rFonts w:ascii="宋体" w:hAnsi="宋体" w:cs="宋体" w:eastAsia="宋体" w:hint="default"/>
                <w:sz w:val="21"/>
                <w:szCs w:val="21"/>
              </w:rPr>
              <w:t>致同审字</w:t>
            </w:r>
            <w:r>
              <w:rPr>
                <w:rFonts w:ascii="Calibri" w:hAnsi="Calibri" w:cs="Calibri" w:eastAsia="Calibri" w:hint="default"/>
                <w:sz w:val="21"/>
                <w:szCs w:val="21"/>
              </w:rPr>
              <w:t>(2013)</w:t>
            </w:r>
            <w:r>
              <w:rPr>
                <w:rFonts w:ascii="宋体" w:hAnsi="宋体" w:cs="宋体" w:eastAsia="宋体" w:hint="default"/>
                <w:sz w:val="21"/>
                <w:szCs w:val="21"/>
              </w:rPr>
              <w:t>第</w:t>
            </w:r>
            <w:r>
              <w:rPr>
                <w:rFonts w:ascii="宋体" w:hAnsi="宋体" w:cs="宋体" w:eastAsia="宋体" w:hint="default"/>
                <w:spacing w:val="-58"/>
                <w:sz w:val="21"/>
                <w:szCs w:val="21"/>
              </w:rPr>
              <w:t> </w:t>
            </w:r>
            <w:r>
              <w:rPr>
                <w:rFonts w:ascii="Calibri" w:hAnsi="Calibri" w:cs="Calibri" w:eastAsia="Calibri" w:hint="default"/>
                <w:sz w:val="21"/>
                <w:szCs w:val="21"/>
              </w:rPr>
              <w:t>110ZA1216 </w:t>
            </w:r>
            <w:r>
              <w:rPr>
                <w:rFonts w:ascii="宋体" w:hAnsi="宋体" w:cs="宋体" w:eastAsia="宋体" w:hint="default"/>
                <w:sz w:val="21"/>
                <w:szCs w:val="21"/>
              </w:rPr>
              <w:t>号</w:t>
            </w:r>
          </w:p>
        </w:tc>
      </w:tr>
    </w:tbl>
    <w:p>
      <w:pPr>
        <w:spacing w:line="263" w:lineRule="exact" w:before="0"/>
        <w:ind w:left="4273" w:right="102" w:firstLine="0"/>
        <w:jc w:val="left"/>
        <w:rPr>
          <w:rFonts w:ascii="宋体" w:hAnsi="宋体" w:cs="宋体" w:eastAsia="宋体" w:hint="default"/>
          <w:sz w:val="21"/>
          <w:szCs w:val="21"/>
        </w:rPr>
      </w:pPr>
      <w:r>
        <w:rPr>
          <w:rFonts w:ascii="宋体" w:hAnsi="宋体" w:cs="宋体" w:eastAsia="宋体" w:hint="default"/>
          <w:sz w:val="21"/>
          <w:szCs w:val="21"/>
        </w:rPr>
        <w:t>审计报告正文</w:t>
      </w:r>
    </w:p>
    <w:p>
      <w:pPr>
        <w:spacing w:line="240" w:lineRule="auto" w:before="0"/>
        <w:rPr>
          <w:rFonts w:ascii="宋体" w:hAnsi="宋体" w:cs="宋体" w:eastAsia="宋体" w:hint="default"/>
          <w:sz w:val="20"/>
          <w:szCs w:val="20"/>
        </w:rPr>
      </w:pPr>
    </w:p>
    <w:p>
      <w:pPr>
        <w:pStyle w:val="Heading4"/>
        <w:spacing w:line="240" w:lineRule="auto" w:before="179"/>
        <w:ind w:left="558" w:right="0"/>
        <w:jc w:val="both"/>
        <w:rPr>
          <w:b w:val="0"/>
          <w:bCs w:val="0"/>
        </w:rPr>
      </w:pPr>
      <w:r>
        <w:rPr/>
        <w:t>北京超图软件股份有限公司全体股东：</w:t>
      </w:r>
      <w:r>
        <w:rPr>
          <w:b w:val="0"/>
          <w:bCs w:val="0"/>
        </w:rPr>
      </w:r>
    </w:p>
    <w:p>
      <w:pPr>
        <w:spacing w:line="240" w:lineRule="auto" w:before="9"/>
        <w:rPr>
          <w:rFonts w:ascii="宋体" w:hAnsi="宋体" w:cs="宋体" w:eastAsia="宋体" w:hint="default"/>
          <w:b/>
          <w:bCs/>
          <w:sz w:val="18"/>
          <w:szCs w:val="18"/>
        </w:rPr>
      </w:pPr>
    </w:p>
    <w:p>
      <w:pPr>
        <w:pStyle w:val="BodyText"/>
        <w:spacing w:line="312" w:lineRule="exact"/>
        <w:ind w:right="102"/>
        <w:jc w:val="left"/>
      </w:pPr>
      <w:r>
        <w:rPr>
          <w:spacing w:val="-2"/>
        </w:rPr>
        <w:t>我们审计了后附的北京超图软件股份有限公司（以下简称超图软件公司）财务报表，</w:t>
      </w:r>
      <w:r>
        <w:rPr>
          <w:spacing w:val="-115"/>
        </w:rPr>
        <w:t> </w:t>
      </w:r>
      <w:r>
        <w:rPr>
          <w:spacing w:val="-115"/>
        </w:rPr>
      </w:r>
      <w:r>
        <w:rPr/>
        <w:t>包括</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日的合并及公司资产负债表，</w:t>
      </w:r>
      <w:r>
        <w:rPr>
          <w:rFonts w:ascii="宋体" w:hAnsi="宋体" w:cs="宋体" w:eastAsia="宋体" w:hint="default"/>
        </w:rPr>
        <w:t>2012</w:t>
      </w:r>
      <w:r>
        <w:rPr/>
        <w:t>年度的合并及公司利润表、合</w:t>
      </w:r>
      <w:r>
        <w:rPr>
          <w:spacing w:val="-73"/>
        </w:rPr>
        <w:t> </w:t>
      </w:r>
      <w:r>
        <w:rPr>
          <w:spacing w:val="-73"/>
        </w:rPr>
      </w:r>
      <w:r>
        <w:rPr/>
        <w:t>并及公司现金流量表、合并及公司股东权益变动表以及财务报表附注。</w:t>
      </w:r>
    </w:p>
    <w:p>
      <w:pPr>
        <w:pStyle w:val="Heading4"/>
        <w:spacing w:line="240" w:lineRule="auto" w:before="185"/>
        <w:ind w:left="558" w:right="0"/>
        <w:jc w:val="both"/>
        <w:rPr>
          <w:b w:val="0"/>
          <w:bCs w:val="0"/>
        </w:rPr>
      </w:pPr>
      <w:r>
        <w:rPr/>
        <w:t>一、管理层对财务报表的责任</w:t>
      </w:r>
      <w:r>
        <w:rPr>
          <w:b w:val="0"/>
          <w:bCs w:val="0"/>
        </w:rPr>
      </w:r>
    </w:p>
    <w:p>
      <w:pPr>
        <w:spacing w:line="240" w:lineRule="auto" w:before="9"/>
        <w:rPr>
          <w:rFonts w:ascii="宋体" w:hAnsi="宋体" w:cs="宋体" w:eastAsia="宋体" w:hint="default"/>
          <w:b/>
          <w:bCs/>
          <w:sz w:val="18"/>
          <w:szCs w:val="18"/>
        </w:rPr>
      </w:pPr>
    </w:p>
    <w:p>
      <w:pPr>
        <w:pStyle w:val="BodyText"/>
        <w:spacing w:line="312" w:lineRule="exact"/>
        <w:ind w:right="232"/>
        <w:jc w:val="both"/>
      </w:pPr>
      <w:r>
        <w:rPr>
          <w:spacing w:val="-2"/>
        </w:rPr>
        <w:t>编制和公允列报财务报表是超图软件公司管理层的责任，这种责任包括：（</w:t>
      </w:r>
      <w:r>
        <w:rPr>
          <w:rFonts w:ascii="宋体" w:hAnsi="宋体" w:cs="宋体" w:eastAsia="宋体" w:hint="default"/>
          <w:spacing w:val="-2"/>
        </w:rPr>
        <w:t>1</w:t>
      </w:r>
      <w:r>
        <w:rPr>
          <w:spacing w:val="-2"/>
        </w:rPr>
        <w:t>）按照</w:t>
      </w:r>
      <w:r>
        <w:rPr>
          <w:spacing w:val="-113"/>
        </w:rPr>
        <w:t> </w:t>
      </w:r>
      <w:r>
        <w:rPr>
          <w:spacing w:val="-113"/>
        </w:rPr>
      </w:r>
      <w:r>
        <w:rPr>
          <w:spacing w:val="-2"/>
        </w:rPr>
        <w:t>企业会计准则的规定编制财务报表，并使其实现公允反映；（</w:t>
      </w:r>
      <w:r>
        <w:rPr>
          <w:rFonts w:ascii="宋体" w:hAnsi="宋体" w:cs="宋体" w:eastAsia="宋体" w:hint="default"/>
          <w:spacing w:val="-2"/>
        </w:rPr>
        <w:t>2</w:t>
      </w:r>
      <w:r>
        <w:rPr>
          <w:spacing w:val="-2"/>
        </w:rPr>
        <w:t>）设计、执行和维护</w:t>
      </w:r>
      <w:r>
        <w:rPr>
          <w:spacing w:val="-118"/>
        </w:rPr>
        <w:t> </w:t>
      </w:r>
      <w:r>
        <w:rPr>
          <w:spacing w:val="-118"/>
        </w:rPr>
      </w:r>
      <w:r>
        <w:rPr/>
        <w:t>必要的内部控制，以使财务报表不存在由于舞弊或错误导致的重大错报。</w:t>
      </w:r>
    </w:p>
    <w:p>
      <w:pPr>
        <w:pStyle w:val="Heading4"/>
        <w:spacing w:line="240" w:lineRule="auto" w:before="185"/>
        <w:ind w:left="558" w:right="0"/>
        <w:jc w:val="both"/>
        <w:rPr>
          <w:b w:val="0"/>
          <w:bCs w:val="0"/>
        </w:rPr>
      </w:pPr>
      <w:r>
        <w:rPr/>
        <w:t>二、注册会计师的责任</w:t>
      </w:r>
      <w:r>
        <w:rPr>
          <w:b w:val="0"/>
          <w:bCs w:val="0"/>
        </w:rPr>
      </w:r>
    </w:p>
    <w:p>
      <w:pPr>
        <w:spacing w:line="240" w:lineRule="auto" w:before="9"/>
        <w:rPr>
          <w:rFonts w:ascii="宋体" w:hAnsi="宋体" w:cs="宋体" w:eastAsia="宋体" w:hint="default"/>
          <w:b/>
          <w:bCs/>
          <w:sz w:val="18"/>
          <w:szCs w:val="18"/>
        </w:rPr>
      </w:pPr>
    </w:p>
    <w:p>
      <w:pPr>
        <w:pStyle w:val="BodyText"/>
        <w:spacing w:line="312" w:lineRule="exact"/>
        <w:ind w:right="234"/>
        <w:jc w:val="both"/>
      </w:pPr>
      <w:r>
        <w:rPr/>
        <w:t>我们的责任是在执行审计工作的基础上对财务报表发表审计意见。我们按照中国注</w:t>
      </w:r>
      <w:r>
        <w:rPr>
          <w:spacing w:val="-74"/>
        </w:rPr>
        <w:t> </w:t>
      </w:r>
      <w:r>
        <w:rPr>
          <w:spacing w:val="-74"/>
        </w:rPr>
      </w:r>
      <w:r>
        <w:rPr/>
        <w:t>册会计师审计准则的规定执行了审计工作。中国注册会计师审计准则要求我们遵守</w:t>
      </w:r>
      <w:r>
        <w:rPr>
          <w:spacing w:val="-77"/>
        </w:rPr>
        <w:t> </w:t>
      </w:r>
      <w:r>
        <w:rPr>
          <w:spacing w:val="-77"/>
        </w:rPr>
      </w:r>
      <w:r>
        <w:rPr/>
        <w:t>中国注册会计师职业道德守则，计划和执行审计工作以对财务报表是否不存在重大</w:t>
      </w:r>
      <w:r>
        <w:rPr>
          <w:spacing w:val="-76"/>
        </w:rPr>
        <w:t> </w:t>
      </w:r>
      <w:r>
        <w:rPr>
          <w:spacing w:val="-76"/>
        </w:rPr>
      </w:r>
      <w:r>
        <w:rPr/>
        <w:t>错报获取合理保证。</w:t>
      </w:r>
    </w:p>
    <w:p>
      <w:pPr>
        <w:pStyle w:val="BodyText"/>
        <w:spacing w:line="237" w:lineRule="auto" w:before="188"/>
        <w:ind w:right="102"/>
        <w:jc w:val="left"/>
      </w:pPr>
      <w:r>
        <w:rPr/>
        <w:t>审计工作涉及实施审计程序，以获取有关财务报表金额和披露的审计证据。选择的</w:t>
      </w:r>
      <w:r>
        <w:rPr>
          <w:spacing w:val="-77"/>
        </w:rPr>
        <w:t> </w:t>
      </w:r>
      <w:r>
        <w:rPr>
          <w:spacing w:val="-77"/>
        </w:rPr>
      </w:r>
      <w:r>
        <w:rPr/>
        <w:t>审计程序取决于注册会计师的判断，包括对由于舞弊或错误导致的财务报表重大错</w:t>
      </w:r>
      <w:r>
        <w:rPr>
          <w:spacing w:val="-77"/>
        </w:rPr>
        <w:t> </w:t>
      </w:r>
      <w:r>
        <w:rPr>
          <w:spacing w:val="-77"/>
        </w:rPr>
      </w:r>
      <w:r>
        <w:rPr/>
        <w:t>报风险的评估。在进行风险评估时，注册会计师考虑与财务报表编制和公允列报相</w:t>
      </w:r>
      <w:r>
        <w:rPr>
          <w:spacing w:val="-72"/>
        </w:rPr>
        <w:t> </w:t>
      </w:r>
      <w:r>
        <w:rPr>
          <w:spacing w:val="-72"/>
        </w:rPr>
      </w:r>
      <w:r>
        <w:rPr>
          <w:spacing w:val="-2"/>
        </w:rPr>
        <w:t>关的内部控制，以设计恰当的审计程序，但目的并非对内部控制的有效性发表意见。</w:t>
      </w:r>
      <w:r>
        <w:rPr>
          <w:spacing w:val="-114"/>
        </w:rPr>
        <w:t> </w:t>
      </w:r>
      <w:r>
        <w:rPr>
          <w:spacing w:val="-114"/>
        </w:rPr>
      </w:r>
      <w:r>
        <w:rPr/>
        <w:t>审计工作还包括评价管理层选用会计政策的恰当性和作出会计估计的合理性，以及</w:t>
      </w:r>
      <w:r>
        <w:rPr>
          <w:spacing w:val="-75"/>
        </w:rPr>
        <w:t> </w:t>
      </w:r>
      <w:r>
        <w:rPr>
          <w:spacing w:val="-75"/>
        </w:rPr>
      </w:r>
      <w:r>
        <w:rPr/>
        <w:t>评价财务报表的总体列报。</w:t>
      </w:r>
    </w:p>
    <w:p>
      <w:pPr>
        <w:pStyle w:val="BodyText"/>
        <w:spacing w:line="403" w:lineRule="auto" w:before="214"/>
        <w:ind w:right="229"/>
        <w:jc w:val="both"/>
        <w:rPr>
          <w:rFonts w:ascii="宋体" w:hAnsi="宋体" w:cs="宋体" w:eastAsia="宋体" w:hint="default"/>
        </w:rPr>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rPr>
      </w:r>
    </w:p>
    <w:p>
      <w:pPr>
        <w:pStyle w:val="BodyText"/>
        <w:spacing w:line="312" w:lineRule="exact" w:before="81"/>
        <w:ind w:right="229"/>
        <w:jc w:val="both"/>
      </w:pPr>
      <w:r>
        <w:rPr/>
        <w:t>我们认为，超图软件公司财务报表在所有重大方面按照企业会计准则的规定编制，</w:t>
      </w:r>
      <w:r>
        <w:rPr>
          <w:spacing w:val="-75"/>
        </w:rPr>
        <w:t> </w:t>
      </w:r>
      <w:r>
        <w:rPr>
          <w:spacing w:val="-75"/>
        </w:rPr>
      </w:r>
      <w:r>
        <w:rPr/>
        <w:t>公允反映了超图软件公司</w:t>
      </w:r>
      <w:r>
        <w:rPr>
          <w:rFonts w:ascii="宋体" w:hAnsi="宋体" w:cs="宋体" w:eastAsia="宋体" w:hint="default"/>
        </w:rPr>
        <w:t>2012</w:t>
      </w:r>
      <w:r>
        <w:rPr/>
        <w:t>年</w:t>
      </w:r>
      <w:r>
        <w:rPr>
          <w:rFonts w:ascii="宋体" w:hAnsi="宋体" w:cs="宋体" w:eastAsia="宋体" w:hint="default"/>
        </w:rPr>
        <w:t>12</w:t>
      </w:r>
      <w:r>
        <w:rPr/>
        <w:t>月</w:t>
      </w:r>
      <w:r>
        <w:rPr>
          <w:rFonts w:ascii="宋体" w:hAnsi="宋体" w:cs="宋体" w:eastAsia="宋体" w:hint="default"/>
        </w:rPr>
        <w:t>31</w:t>
      </w:r>
      <w:r>
        <w:rPr/>
        <w:t>日的合并及公司财务状况以及</w:t>
      </w:r>
      <w:r>
        <w:rPr>
          <w:rFonts w:ascii="宋体" w:hAnsi="宋体" w:cs="宋体" w:eastAsia="宋体" w:hint="default"/>
        </w:rPr>
        <w:t>2012</w:t>
      </w:r>
      <w:r>
        <w:rPr/>
        <w:t>年度的合</w:t>
      </w:r>
      <w:r>
        <w:rPr>
          <w:spacing w:val="-72"/>
        </w:rPr>
        <w:t> </w:t>
      </w:r>
      <w:r>
        <w:rPr>
          <w:spacing w:val="-72"/>
        </w:rPr>
      </w:r>
      <w:r>
        <w:rPr/>
        <w:t>并及公司经营成果和合并及公司现金流量。</w:t>
      </w:r>
    </w:p>
    <w:p>
      <w:pPr>
        <w:spacing w:after="0" w:line="312" w:lineRule="exact"/>
        <w:jc w:val="both"/>
        <w:sectPr>
          <w:pgSz w:w="11910" w:h="16840"/>
          <w:pgMar w:header="884" w:footer="1007" w:top="1160" w:bottom="1200" w:left="1240" w:right="1180"/>
        </w:sectPr>
      </w:pPr>
    </w:p>
    <w:p>
      <w:pPr>
        <w:spacing w:line="240" w:lineRule="auto" w:before="2"/>
        <w:rPr>
          <w:rFonts w:ascii="宋体" w:hAnsi="宋体" w:cs="宋体" w:eastAsia="宋体" w:hint="default"/>
          <w:sz w:val="15"/>
          <w:szCs w:val="15"/>
        </w:rPr>
      </w:pPr>
    </w:p>
    <w:p>
      <w:pPr>
        <w:pStyle w:val="Heading4"/>
        <w:spacing w:line="240" w:lineRule="auto" w:before="26"/>
        <w:ind w:left="558" w:right="0"/>
        <w:jc w:val="left"/>
        <w:rPr>
          <w:b w:val="0"/>
          <w:bCs w:val="0"/>
        </w:rPr>
      </w:pPr>
      <w:r>
        <w:rPr/>
        <w:t>二、财务报表</w:t>
      </w:r>
      <w:r>
        <w:rPr>
          <w:b w:val="0"/>
          <w:bCs w:val="0"/>
        </w:rPr>
      </w:r>
    </w:p>
    <w:p>
      <w:pPr>
        <w:spacing w:line="240" w:lineRule="auto" w:before="11"/>
        <w:rPr>
          <w:rFonts w:ascii="宋体" w:hAnsi="宋体" w:cs="宋体" w:eastAsia="宋体" w:hint="default"/>
          <w:b/>
          <w:bCs/>
          <w:sz w:val="28"/>
          <w:szCs w:val="28"/>
        </w:rPr>
      </w:pPr>
    </w:p>
    <w:p>
      <w:pPr>
        <w:pStyle w:val="BodyText"/>
        <w:spacing w:line="240" w:lineRule="auto"/>
        <w:ind w:left="1054" w:right="0"/>
        <w:jc w:val="left"/>
      </w:pPr>
      <w:r>
        <w:rPr/>
        <w:t>财务附注中报表的单位为：人民币元</w:t>
      </w:r>
    </w:p>
    <w:p>
      <w:pPr>
        <w:spacing w:line="240" w:lineRule="auto" w:before="10"/>
        <w:rPr>
          <w:rFonts w:ascii="宋体" w:hAnsi="宋体" w:cs="宋体" w:eastAsia="宋体" w:hint="default"/>
          <w:sz w:val="30"/>
          <w:szCs w:val="30"/>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、合并资产负债表</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tabs>
          <w:tab w:pos="8330" w:val="left" w:leader="none"/>
        </w:tabs>
        <w:spacing w:before="0"/>
        <w:ind w:left="558" w:right="0" w:firstLine="0"/>
        <w:jc w:val="left"/>
        <w:rPr>
          <w:rFonts w:ascii="宋体" w:hAnsi="宋体" w:cs="宋体" w:eastAsia="宋体" w:hint="default"/>
          <w:sz w:val="21"/>
          <w:szCs w:val="21"/>
        </w:rPr>
      </w:pPr>
      <w:r>
        <w:rPr>
          <w:rFonts w:ascii="宋体" w:hAnsi="宋体" w:cs="宋体" w:eastAsia="宋体" w:hint="default"/>
          <w:spacing w:val="-2"/>
          <w:sz w:val="21"/>
          <w:szCs w:val="21"/>
        </w:rPr>
        <w:t>编制单位：北京超图软件股份有限公司</w:t>
        <w:tab/>
      </w: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699"/>
        <w:gridCol w:w="2710"/>
        <w:gridCol w:w="2341"/>
      </w:tblGrid>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6"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4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4"/>
              <w:jc w:val="right"/>
              <w:rPr>
                <w:rFonts w:ascii="Calibri" w:hAnsi="Calibri" w:cs="Calibri" w:eastAsia="Calibri" w:hint="default"/>
                <w:sz w:val="21"/>
                <w:szCs w:val="21"/>
              </w:rPr>
            </w:pPr>
            <w:r>
              <w:rPr>
                <w:rFonts w:ascii="Calibri"/>
                <w:spacing w:val="-2"/>
                <w:sz w:val="21"/>
              </w:rPr>
              <w:t>235,371,119.09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378,824,821.80</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137,400.00</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120,991,082.01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131,159,064.30</w:t>
            </w: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4"/>
              <w:jc w:val="right"/>
              <w:rPr>
                <w:rFonts w:ascii="Calibri" w:hAnsi="Calibri" w:cs="Calibri" w:eastAsia="Calibri" w:hint="default"/>
                <w:sz w:val="21"/>
                <w:szCs w:val="21"/>
              </w:rPr>
            </w:pPr>
            <w:r>
              <w:rPr>
                <w:rFonts w:ascii="Calibri"/>
                <w:spacing w:val="-2"/>
                <w:sz w:val="21"/>
              </w:rPr>
              <w:t>33,228,431.74</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55,523,569.92</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5,387,412.10</w:t>
            </w: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4"/>
              <w:jc w:val="right"/>
              <w:rPr>
                <w:rFonts w:ascii="Calibri" w:hAnsi="Calibri" w:cs="Calibri" w:eastAsia="Calibri" w:hint="default"/>
                <w:sz w:val="21"/>
                <w:szCs w:val="21"/>
              </w:rPr>
            </w:pPr>
            <w:r>
              <w:rPr>
                <w:rFonts w:ascii="Calibri"/>
                <w:spacing w:val="-2"/>
                <w:sz w:val="21"/>
              </w:rPr>
              <w:t>13,682,077.14</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12,226,506.55</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3,745,250.75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4,961,897.12</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535,790.36</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407,691,151.09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588,083,271.79</w:t>
            </w: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16,797,305.92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26,081,936.97</w:t>
            </w: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18,202,098.88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13,760,827.00</w:t>
            </w: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3"/>
              <w:jc w:val="right"/>
              <w:rPr>
                <w:rFonts w:ascii="Calibri" w:hAnsi="Calibri" w:cs="Calibri" w:eastAsia="Calibri" w:hint="default"/>
                <w:sz w:val="21"/>
                <w:szCs w:val="21"/>
              </w:rPr>
            </w:pPr>
            <w:r>
              <w:rPr>
                <w:rFonts w:ascii="Calibri"/>
                <w:spacing w:val="-2"/>
                <w:sz w:val="21"/>
              </w:rPr>
              <w:t>6,358,602.01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6,892,162.69</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77,407,470.75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61,936,594.61</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194,250,236.00</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22,701,293.26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21,393,364.51</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636,057.08</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1"/>
                <w:sz w:val="21"/>
              </w:rPr>
              <w:t>1,312,138.80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1,312,138.80</w:t>
            </w:r>
          </w:p>
        </w:tc>
      </w:tr>
    </w:tbl>
    <w:p>
      <w:pPr>
        <w:spacing w:after="0" w:line="240" w:lineRule="auto"/>
        <w:jc w:val="right"/>
        <w:rPr>
          <w:rFonts w:ascii="Calibri" w:hAnsi="Calibri" w:cs="Calibri" w:eastAsia="Calibri" w:hint="default"/>
          <w:sz w:val="21"/>
          <w:szCs w:val="21"/>
        </w:rPr>
        <w:sectPr>
          <w:pgSz w:w="11910" w:h="16840"/>
          <w:pgMar w:header="884" w:footer="1007" w:top="1160" w:bottom="1200" w:left="1240" w:right="1260"/>
        </w:sectPr>
      </w:pPr>
    </w:p>
    <w:p>
      <w:pPr>
        <w:spacing w:line="240" w:lineRule="auto" w:before="9"/>
        <w:rPr>
          <w:rFonts w:ascii="Times New Roman" w:hAnsi="Times New Roman" w:cs="Times New Roman" w:eastAsia="Times New Roman" w:hint="default"/>
          <w:sz w:val="22"/>
          <w:szCs w:val="22"/>
        </w:rPr>
      </w:pPr>
    </w:p>
    <w:tbl>
      <w:tblPr>
        <w:tblW w:w="0" w:type="auto"/>
        <w:jc w:val="left"/>
        <w:tblInd w:w="524" w:type="dxa"/>
        <w:tblLayout w:type="fixed"/>
        <w:tblCellMar>
          <w:top w:w="0" w:type="dxa"/>
          <w:left w:w="0" w:type="dxa"/>
          <w:bottom w:w="0" w:type="dxa"/>
          <w:right w:w="0" w:type="dxa"/>
        </w:tblCellMar>
        <w:tblLook w:val="01E0"/>
      </w:tblPr>
      <w:tblGrid>
        <w:gridCol w:w="3704"/>
        <w:gridCol w:w="2705"/>
        <w:gridCol w:w="2341"/>
      </w:tblGrid>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867,122.06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1,382,991.90</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5,268,178.32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3,957,007.23</w:t>
            </w: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4"/>
              <w:jc w:val="right"/>
              <w:rPr>
                <w:rFonts w:ascii="Calibri" w:hAnsi="Calibri" w:cs="Calibri" w:eastAsia="Calibri" w:hint="default"/>
                <w:sz w:val="21"/>
                <w:szCs w:val="21"/>
              </w:rPr>
            </w:pPr>
            <w:r>
              <w:rPr>
                <w:rFonts w:ascii="Calibri"/>
                <w:spacing w:val="-2"/>
                <w:sz w:val="21"/>
              </w:rPr>
              <w:t>343,800,503.08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Calibri" w:hAnsi="Calibri" w:cs="Calibri" w:eastAsia="Calibri" w:hint="default"/>
                <w:sz w:val="21"/>
                <w:szCs w:val="21"/>
              </w:rPr>
            </w:pPr>
            <w:r>
              <w:rPr>
                <w:rFonts w:ascii="Calibri"/>
                <w:spacing w:val="-1"/>
                <w:sz w:val="21"/>
              </w:rPr>
              <w:t>136,717,023.71</w:t>
            </w:r>
            <w:r>
              <w:rPr>
                <w:rFonts w:ascii="Calibri"/>
                <w:sz w:val="21"/>
              </w:rPr>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b/>
                <w:spacing w:val="-2"/>
                <w:sz w:val="21"/>
              </w:rPr>
              <w:t>751,491,654.17</w:t>
            </w:r>
            <w:r>
              <w:rPr>
                <w:rFonts w:ascii="Calibri"/>
                <w:spacing w:val="-2"/>
                <w:sz w:val="21"/>
              </w:rPr>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b/>
                <w:spacing w:val="-2"/>
                <w:sz w:val="21"/>
              </w:rPr>
              <w:t>724,800,295.50</w:t>
            </w:r>
            <w:r>
              <w:rPr>
                <w:rFonts w:ascii="Calibri"/>
                <w:spacing w:val="-2"/>
                <w:sz w:val="21"/>
              </w:rPr>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34,675,136.00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5,952,960.20</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57,318,714.72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48,182,565.57</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23,160,163.96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43,568,410.34</w:t>
            </w: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12,843,108.94</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14,938,693.57</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7,596,293.26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16,347,361.67</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1"/>
                <w:sz w:val="21"/>
              </w:rPr>
              <w:t>3,736.09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3,806.00</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1"/>
                <w:sz w:val="21"/>
              </w:rPr>
              <w:t>14,314,546.69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12,570,622.94</w:t>
            </w: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3,437,247.65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3,785,806.94</w:t>
            </w: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466,666.66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986,111.11</w:t>
            </w: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3"/>
              <w:jc w:val="right"/>
              <w:rPr>
                <w:rFonts w:ascii="Calibri" w:hAnsi="Calibri" w:cs="Calibri" w:eastAsia="Calibri" w:hint="default"/>
                <w:sz w:val="21"/>
                <w:szCs w:val="21"/>
              </w:rPr>
            </w:pPr>
            <w:r>
              <w:rPr>
                <w:rFonts w:ascii="Calibri"/>
                <w:spacing w:val="-2"/>
                <w:sz w:val="21"/>
              </w:rPr>
              <w:t>153,815,613.97</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Calibri" w:hAnsi="Calibri" w:cs="Calibri" w:eastAsia="Calibri" w:hint="default"/>
                <w:sz w:val="21"/>
                <w:szCs w:val="21"/>
              </w:rPr>
            </w:pPr>
            <w:r>
              <w:rPr>
                <w:rFonts w:ascii="Calibri"/>
                <w:spacing w:val="-2"/>
                <w:sz w:val="21"/>
              </w:rPr>
              <w:t>146,336,338.34</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5"/>
              <w:jc w:val="right"/>
              <w:rPr>
                <w:rFonts w:ascii="Calibri" w:hAnsi="Calibri" w:cs="Calibri" w:eastAsia="Calibri" w:hint="default"/>
                <w:sz w:val="21"/>
                <w:szCs w:val="21"/>
              </w:rPr>
            </w:pPr>
            <w:r>
              <w:rPr>
                <w:rFonts w:ascii="Calibri"/>
                <w:spacing w:val="-2"/>
                <w:sz w:val="21"/>
              </w:rPr>
              <w:t>10,314,765.71</w:t>
            </w:r>
            <w:r>
              <w:rPr>
                <w:rFonts w:ascii="Calibri"/>
                <w:sz w:val="21"/>
              </w:rPr>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11,218,111.24</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5,854,620.00</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16,169,385.71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11,218,111.24</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169,984,999.68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157,554,449.58</w:t>
            </w: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4"/>
              <w:jc w:val="right"/>
              <w:rPr>
                <w:rFonts w:ascii="Calibri" w:hAnsi="Calibri" w:cs="Calibri" w:eastAsia="Calibri" w:hint="default"/>
                <w:sz w:val="21"/>
                <w:szCs w:val="21"/>
              </w:rPr>
            </w:pPr>
            <w:r>
              <w:rPr>
                <w:rFonts w:ascii="Calibri"/>
                <w:spacing w:val="-2"/>
                <w:sz w:val="21"/>
              </w:rPr>
              <w:t>120,000,000.00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120,000,000.00</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324,265,044.23</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312,880,834.12</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5"/>
          <w:pgSz w:w="11910" w:h="16840"/>
          <w:pgMar w:footer="1007" w:header="884" w:top="1160" w:bottom="1200" w:left="1240" w:right="1260"/>
        </w:sectPr>
      </w:pPr>
    </w:p>
    <w:p>
      <w:pPr>
        <w:spacing w:line="240" w:lineRule="auto" w:before="9"/>
        <w:rPr>
          <w:rFonts w:ascii="Times New Roman" w:hAnsi="Times New Roman" w:cs="Times New Roman" w:eastAsia="Times New Roman" w:hint="default"/>
          <w:sz w:val="22"/>
          <w:szCs w:val="22"/>
        </w:rPr>
      </w:pPr>
    </w:p>
    <w:tbl>
      <w:tblPr>
        <w:tblW w:w="0" w:type="auto"/>
        <w:jc w:val="left"/>
        <w:tblInd w:w="524" w:type="dxa"/>
        <w:tblLayout w:type="fixed"/>
        <w:tblCellMar>
          <w:top w:w="0" w:type="dxa"/>
          <w:left w:w="0" w:type="dxa"/>
          <w:bottom w:w="0" w:type="dxa"/>
          <w:right w:w="0" w:type="dxa"/>
        </w:tblCellMar>
        <w:tblLook w:val="01E0"/>
      </w:tblPr>
      <w:tblGrid>
        <w:gridCol w:w="3704"/>
        <w:gridCol w:w="2705"/>
        <w:gridCol w:w="2341"/>
      </w:tblGrid>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1"/>
                <w:sz w:val="21"/>
              </w:rPr>
              <w:t>14,599,489.50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13,695,133.81</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105,060,528.50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100,593,534.60</w:t>
            </w: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3"/>
              <w:jc w:val="right"/>
              <w:rPr>
                <w:rFonts w:ascii="Calibri" w:hAnsi="Calibri" w:cs="Calibri" w:eastAsia="Calibri" w:hint="default"/>
                <w:sz w:val="21"/>
                <w:szCs w:val="21"/>
              </w:rPr>
            </w:pPr>
            <w:r>
              <w:rPr>
                <w:rFonts w:ascii="Calibri"/>
                <w:spacing w:val="-2"/>
                <w:sz w:val="21"/>
              </w:rPr>
              <w:t>-1,754,682.69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-641,799.83</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562,170,379.54</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3"/>
                <w:sz w:val="21"/>
              </w:rPr>
              <w:t>546,527,702.70</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19,336,274.95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20,718,143.22</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581,506,654.49</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567,245,845.92</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负债和所有者权益（或股东权益）总计</w:t>
            </w:r>
            <w:r>
              <w:rPr>
                <w:rFonts w:ascii="宋体" w:hAnsi="宋体" w:cs="宋体" w:eastAsia="宋体" w:hint="default"/>
                <w:sz w:val="21"/>
                <w:szCs w:val="21"/>
              </w:rPr>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b/>
                <w:spacing w:val="-2"/>
                <w:sz w:val="21"/>
              </w:rPr>
              <w:t>751,491,654.17</w:t>
            </w:r>
            <w:r>
              <w:rPr>
                <w:rFonts w:ascii="Calibri"/>
                <w:spacing w:val="-2"/>
                <w:sz w:val="21"/>
              </w:rPr>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b/>
                <w:spacing w:val="-2"/>
                <w:sz w:val="21"/>
              </w:rPr>
              <w:t>724,800,295.50</w:t>
            </w:r>
            <w:r>
              <w:rPr>
                <w:rFonts w:ascii="Calibri"/>
                <w:spacing w:val="-2"/>
                <w:sz w:val="21"/>
              </w:rPr>
            </w:r>
          </w:p>
        </w:tc>
      </w:tr>
    </w:tbl>
    <w:p>
      <w:pPr>
        <w:spacing w:line="240" w:lineRule="auto" w:before="10"/>
        <w:rPr>
          <w:rFonts w:ascii="Times New Roman" w:hAnsi="Times New Roman" w:cs="Times New Roman" w:eastAsia="Times New Roman" w:hint="default"/>
          <w:sz w:val="21"/>
          <w:szCs w:val="21"/>
        </w:rPr>
      </w:pPr>
    </w:p>
    <w:p>
      <w:pPr>
        <w:tabs>
          <w:tab w:pos="3299" w:val="left" w:leader="none"/>
          <w:tab w:pos="7094" w:val="left" w:leader="none"/>
        </w:tabs>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法定代表人：钟耳顺</w:t>
        <w:tab/>
      </w:r>
      <w:r>
        <w:rPr>
          <w:rFonts w:ascii="宋体" w:hAnsi="宋体" w:cs="宋体" w:eastAsia="宋体" w:hint="default"/>
          <w:b/>
          <w:bCs/>
          <w:spacing w:val="-1"/>
          <w:sz w:val="21"/>
          <w:szCs w:val="21"/>
        </w:rPr>
        <w:t>主管会计工作负责人：鹿麒</w:t>
        <w:tab/>
        <w:t>会计机构负责人：鹿麒</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9"/>
          <w:szCs w:val="19"/>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、母公司资产负债表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tabs>
          <w:tab w:pos="8148" w:val="left" w:leader="none"/>
        </w:tabs>
        <w:spacing w:before="0"/>
        <w:ind w:left="55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编制单位：北京超图软件股份有限公司</w:t>
        <w:tab/>
      </w:r>
      <w:r>
        <w:rPr>
          <w:rFonts w:ascii="宋体" w:hAnsi="宋体" w:cs="宋体" w:eastAsia="宋体" w:hint="default"/>
          <w:b/>
          <w:bCs/>
          <w:sz w:val="21"/>
          <w:szCs w:val="21"/>
        </w:rPr>
        <w:t>单位：元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524" w:type="dxa"/>
        <w:tblLayout w:type="fixed"/>
        <w:tblCellMar>
          <w:top w:w="0" w:type="dxa"/>
          <w:left w:w="0" w:type="dxa"/>
          <w:bottom w:w="0" w:type="dxa"/>
          <w:right w:w="0" w:type="dxa"/>
        </w:tblCellMar>
        <w:tblLook w:val="01E0"/>
      </w:tblPr>
      <w:tblGrid>
        <w:gridCol w:w="3699"/>
        <w:gridCol w:w="2710"/>
        <w:gridCol w:w="2341"/>
      </w:tblGrid>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6"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4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4"/>
              <w:jc w:val="right"/>
              <w:rPr>
                <w:rFonts w:ascii="Calibri" w:hAnsi="Calibri" w:cs="Calibri" w:eastAsia="Calibri" w:hint="default"/>
                <w:sz w:val="21"/>
                <w:szCs w:val="21"/>
              </w:rPr>
            </w:pPr>
            <w:r>
              <w:rPr>
                <w:rFonts w:ascii="Calibri"/>
                <w:spacing w:val="-2"/>
                <w:sz w:val="21"/>
              </w:rPr>
              <w:t>222,764,350.61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Calibri" w:hAnsi="Calibri" w:cs="Calibri" w:eastAsia="Calibri" w:hint="default"/>
                <w:sz w:val="21"/>
                <w:szCs w:val="21"/>
              </w:rPr>
            </w:pPr>
            <w:r>
              <w:rPr>
                <w:rFonts w:ascii="Calibri"/>
                <w:spacing w:val="-2"/>
                <w:sz w:val="21"/>
              </w:rPr>
              <w:t>358,837,815.38</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137,400.00</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117,740,988.10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120,838,555.13</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5,098,183.48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28,500,158.72</w:t>
            </w: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5,387,412.10</w:t>
            </w: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17,639,180.10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16,218,402.79</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pacing w:val="-3"/>
                <w:sz w:val="21"/>
                <w:szCs w:val="21"/>
              </w:rPr>
              <w:t>存货</w:t>
            </w:r>
            <w:r>
              <w:rPr>
                <w:rFonts w:ascii="宋体" w:hAnsi="宋体" w:cs="宋体" w:eastAsia="宋体" w:hint="default"/>
                <w:sz w:val="21"/>
                <w:szCs w:val="21"/>
              </w:rPr>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535,790.36</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363,915,892.65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529,782,344.12</w:t>
            </w: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71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15,802,575.92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24,945,516.08</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43,587,029.33</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39,145,757.45</w:t>
            </w: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6,358,602.01</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6,892,162.69</w:t>
            </w: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4"/>
              <w:jc w:val="right"/>
              <w:rPr>
                <w:rFonts w:ascii="Calibri" w:hAnsi="Calibri" w:cs="Calibri" w:eastAsia="Calibri" w:hint="default"/>
                <w:sz w:val="21"/>
                <w:szCs w:val="21"/>
              </w:rPr>
            </w:pPr>
            <w:r>
              <w:rPr>
                <w:rFonts w:ascii="Calibri"/>
                <w:spacing w:val="-1"/>
                <w:sz w:val="21"/>
              </w:rPr>
              <w:t>77,135,918.45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Calibri" w:hAnsi="Calibri" w:cs="Calibri" w:eastAsia="Calibri" w:hint="default"/>
                <w:sz w:val="21"/>
                <w:szCs w:val="21"/>
              </w:rPr>
            </w:pPr>
            <w:r>
              <w:rPr>
                <w:rFonts w:ascii="Calibri"/>
                <w:spacing w:val="-2"/>
                <w:sz w:val="21"/>
              </w:rPr>
              <w:t>61,546,553.44</w:t>
            </w:r>
          </w:p>
        </w:tc>
      </w:tr>
      <w:tr>
        <w:trPr>
          <w:trHeight w:val="323"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271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4"/>
              <w:jc w:val="right"/>
              <w:rPr>
                <w:rFonts w:ascii="Calibri" w:hAnsi="Calibri" w:cs="Calibri" w:eastAsia="Calibri" w:hint="default"/>
                <w:sz w:val="21"/>
                <w:szCs w:val="21"/>
              </w:rPr>
            </w:pPr>
            <w:r>
              <w:rPr>
                <w:rFonts w:ascii="Calibri"/>
                <w:spacing w:val="-2"/>
                <w:sz w:val="21"/>
              </w:rPr>
              <w:t>194,250,236.00</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2710"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36"/>
          <w:pgSz w:w="11910" w:h="16840"/>
          <w:pgMar w:footer="1007" w:header="884" w:top="1160" w:bottom="1200" w:left="1240" w:right="1260"/>
          <w:pgNumType w:start="81"/>
        </w:sectPr>
      </w:pPr>
    </w:p>
    <w:p>
      <w:pPr>
        <w:spacing w:line="240" w:lineRule="auto" w:before="9"/>
        <w:rPr>
          <w:rFonts w:ascii="Times New Roman" w:hAnsi="Times New Roman" w:cs="Times New Roman" w:eastAsia="Times New Roman" w:hint="default"/>
          <w:sz w:val="22"/>
          <w:szCs w:val="22"/>
        </w:rPr>
      </w:pPr>
    </w:p>
    <w:tbl>
      <w:tblPr>
        <w:tblW w:w="0" w:type="auto"/>
        <w:jc w:val="left"/>
        <w:tblInd w:w="524" w:type="dxa"/>
        <w:tblLayout w:type="fixed"/>
        <w:tblCellMar>
          <w:top w:w="0" w:type="dxa"/>
          <w:left w:w="0" w:type="dxa"/>
          <w:bottom w:w="0" w:type="dxa"/>
          <w:right w:w="0" w:type="dxa"/>
        </w:tblCellMar>
        <w:tblLook w:val="01E0"/>
      </w:tblPr>
      <w:tblGrid>
        <w:gridCol w:w="3704"/>
        <w:gridCol w:w="2705"/>
        <w:gridCol w:w="2341"/>
      </w:tblGrid>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2,376,564.62</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546,478.64</w:t>
            </w: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636,057.08</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pacing w:val="-3"/>
                <w:sz w:val="21"/>
                <w:szCs w:val="21"/>
              </w:rPr>
              <w:t>商誉</w:t>
            </w:r>
            <w:r>
              <w:rPr>
                <w:rFonts w:ascii="宋体" w:hAnsi="宋体" w:cs="宋体" w:eastAsia="宋体" w:hint="default"/>
                <w:sz w:val="21"/>
                <w:szCs w:val="21"/>
              </w:rPr>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867,122.06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1,373,768.06</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4,976,658.98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3,428,712.44</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345,990,764.45</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137,878,948.80</w:t>
            </w: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资产总计</w:t>
            </w:r>
            <w:r>
              <w:rPr>
                <w:rFonts w:ascii="宋体" w:hAnsi="宋体" w:cs="宋体" w:eastAsia="宋体" w:hint="default"/>
                <w:sz w:val="21"/>
                <w:szCs w:val="21"/>
              </w:rPr>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b/>
                <w:spacing w:val="-2"/>
                <w:sz w:val="21"/>
              </w:rPr>
              <w:t>709,906,657.10</w:t>
            </w:r>
            <w:r>
              <w:rPr>
                <w:rFonts w:ascii="Calibri"/>
                <w:spacing w:val="-2"/>
                <w:sz w:val="21"/>
              </w:rPr>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b/>
                <w:spacing w:val="-2"/>
                <w:sz w:val="21"/>
              </w:rPr>
              <w:t>667,661,292.92</w:t>
            </w:r>
            <w:r>
              <w:rPr>
                <w:rFonts w:ascii="Calibri"/>
                <w:spacing w:val="-2"/>
                <w:sz w:val="21"/>
              </w:rPr>
            </w: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30,000,000.00</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57,025,240.33</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46,670,882.05</w:t>
            </w: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22,329,365.36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38,492,884.07</w:t>
            </w: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4"/>
              <w:jc w:val="right"/>
              <w:rPr>
                <w:rFonts w:ascii="Calibri" w:hAnsi="Calibri" w:cs="Calibri" w:eastAsia="Calibri" w:hint="default"/>
                <w:sz w:val="21"/>
                <w:szCs w:val="21"/>
              </w:rPr>
            </w:pPr>
            <w:r>
              <w:rPr>
                <w:rFonts w:ascii="Calibri"/>
                <w:spacing w:val="-2"/>
                <w:sz w:val="21"/>
              </w:rPr>
              <w:t>12,672,260.98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14,420,502.36</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7,224,320.13</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14,816,517.48</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14,074,244.38</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12,442,223.61</w:t>
            </w: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4"/>
              <w:jc w:val="right"/>
              <w:rPr>
                <w:rFonts w:ascii="Calibri" w:hAnsi="Calibri" w:cs="Calibri" w:eastAsia="Calibri" w:hint="default"/>
                <w:sz w:val="21"/>
                <w:szCs w:val="21"/>
              </w:rPr>
            </w:pPr>
            <w:r>
              <w:rPr>
                <w:rFonts w:ascii="Calibri"/>
                <w:spacing w:val="-1"/>
                <w:sz w:val="21"/>
              </w:rPr>
              <w:t>466,666.66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1"/>
                <w:sz w:val="21"/>
              </w:rPr>
              <w:t>986,111.11</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143,792,097.84</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127,829,120.68</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5,854,620.00</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5,854,620.00</w:t>
            </w: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149,646,717.84</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127,829,120.68</w:t>
            </w: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所有</w:t>
            </w:r>
            <w:r>
              <w:rPr>
                <w:rFonts w:ascii="宋体" w:hAnsi="宋体" w:cs="宋体" w:eastAsia="宋体" w:hint="default"/>
                <w:spacing w:val="-3"/>
                <w:w w:val="100"/>
                <w:sz w:val="21"/>
                <w:szCs w:val="21"/>
              </w:rPr>
              <w:t>者</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w w:val="100"/>
                <w:sz w:val="21"/>
                <w:szCs w:val="21"/>
              </w:rPr>
              <w:t>（</w:t>
            </w:r>
            <w:r>
              <w:rPr>
                <w:rFonts w:ascii="宋体" w:hAnsi="宋体" w:cs="宋体" w:eastAsia="宋体" w:hint="default"/>
                <w:spacing w:val="-3"/>
                <w:w w:val="100"/>
                <w:sz w:val="21"/>
                <w:szCs w:val="21"/>
              </w:rPr>
              <w:t>或</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权</w:t>
            </w:r>
            <w:r>
              <w:rPr>
                <w:rFonts w:ascii="宋体" w:hAnsi="宋体" w:cs="宋体" w:eastAsia="宋体" w:hint="default"/>
                <w:spacing w:val="-3"/>
                <w:w w:val="100"/>
                <w:sz w:val="21"/>
                <w:szCs w:val="21"/>
              </w:rPr>
              <w:t>益</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p>
        </w:tc>
        <w:tc>
          <w:tcPr>
            <w:tcW w:w="27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120,000,000.00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120,000,000.00</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324,265,044.23</w:t>
            </w:r>
            <w:r>
              <w:rPr>
                <w:rFonts w:ascii="Calibri"/>
                <w:sz w:val="21"/>
              </w:rPr>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312,880,834.12</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14,599,489.50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13,695,133.81</w:t>
            </w:r>
          </w:p>
        </w:tc>
      </w:tr>
      <w:tr>
        <w:trPr>
          <w:trHeight w:val="323"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101,395,405.53</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93,256,204.31</w:t>
            </w: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46"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2705" w:type="dxa"/>
            <w:tcBorders>
              <w:top w:val="single" w:sz="4" w:space="0" w:color="000000"/>
              <w:left w:val="single" w:sz="13" w:space="0" w:color="D2D2D2"/>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560,259,939.26</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539,832,172.24</w:t>
            </w:r>
          </w:p>
        </w:tc>
      </w:tr>
    </w:tbl>
    <w:p>
      <w:pPr>
        <w:spacing w:after="0" w:line="240" w:lineRule="auto"/>
        <w:jc w:val="right"/>
        <w:rPr>
          <w:rFonts w:ascii="Calibri" w:hAnsi="Calibri" w:cs="Calibri" w:eastAsia="Calibri" w:hint="default"/>
          <w:sz w:val="21"/>
          <w:szCs w:val="21"/>
        </w:rPr>
        <w:sectPr>
          <w:pgSz w:w="11910" w:h="16840"/>
          <w:pgMar w:header="884" w:footer="1007" w:top="1160" w:bottom="1200" w:left="1240" w:right="1260"/>
        </w:sectPr>
      </w:pPr>
    </w:p>
    <w:p>
      <w:pPr>
        <w:spacing w:line="240" w:lineRule="auto" w:before="9"/>
        <w:rPr>
          <w:rFonts w:ascii="Times New Roman" w:hAnsi="Times New Roman" w:cs="Times New Roman" w:eastAsia="Times New Roman" w:hint="default"/>
          <w:sz w:val="22"/>
          <w:szCs w:val="22"/>
        </w:rPr>
      </w:pPr>
    </w:p>
    <w:tbl>
      <w:tblPr>
        <w:tblW w:w="0" w:type="auto"/>
        <w:jc w:val="left"/>
        <w:tblInd w:w="524" w:type="dxa"/>
        <w:tblLayout w:type="fixed"/>
        <w:tblCellMar>
          <w:top w:w="0" w:type="dxa"/>
          <w:left w:w="0" w:type="dxa"/>
          <w:bottom w:w="0" w:type="dxa"/>
          <w:right w:w="0" w:type="dxa"/>
        </w:tblCellMar>
        <w:tblLook w:val="01E0"/>
      </w:tblPr>
      <w:tblGrid>
        <w:gridCol w:w="3704"/>
        <w:gridCol w:w="2705"/>
        <w:gridCol w:w="2341"/>
      </w:tblGrid>
      <w:tr>
        <w:trPr>
          <w:trHeight w:val="322" w:hRule="exact"/>
        </w:trPr>
        <w:tc>
          <w:tcPr>
            <w:tcW w:w="3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负债和所有者权益（或股东权益）总计</w:t>
            </w:r>
            <w:r>
              <w:rPr>
                <w:rFonts w:ascii="宋体" w:hAnsi="宋体" w:cs="宋体" w:eastAsia="宋体" w:hint="default"/>
                <w:sz w:val="21"/>
                <w:szCs w:val="21"/>
              </w:rPr>
            </w:r>
          </w:p>
        </w:tc>
        <w:tc>
          <w:tcPr>
            <w:tcW w:w="27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330" w:right="0"/>
              <w:jc w:val="left"/>
              <w:rPr>
                <w:rFonts w:ascii="Calibri" w:hAnsi="Calibri" w:cs="Calibri" w:eastAsia="Calibri" w:hint="default"/>
                <w:sz w:val="21"/>
                <w:szCs w:val="21"/>
              </w:rPr>
            </w:pPr>
            <w:r>
              <w:rPr>
                <w:rFonts w:ascii="Calibri"/>
                <w:b/>
                <w:sz w:val="21"/>
              </w:rPr>
              <w:t>709,906,657.10</w:t>
            </w:r>
            <w:r>
              <w:rPr>
                <w:rFonts w:ascii="Calibri"/>
                <w:sz w:val="21"/>
              </w:rPr>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979" w:right="0"/>
              <w:jc w:val="left"/>
              <w:rPr>
                <w:rFonts w:ascii="Calibri" w:hAnsi="Calibri" w:cs="Calibri" w:eastAsia="Calibri" w:hint="default"/>
                <w:sz w:val="21"/>
                <w:szCs w:val="21"/>
              </w:rPr>
            </w:pPr>
            <w:r>
              <w:rPr>
                <w:rFonts w:ascii="Calibri"/>
                <w:b/>
                <w:sz w:val="21"/>
              </w:rPr>
              <w:t>667,661,292.92</w:t>
            </w:r>
            <w:r>
              <w:rPr>
                <w:rFonts w:ascii="Calibri"/>
                <w:sz w:val="21"/>
              </w:rPr>
            </w:r>
          </w:p>
        </w:tc>
      </w:tr>
    </w:tbl>
    <w:p>
      <w:pPr>
        <w:spacing w:line="240" w:lineRule="auto" w:before="10"/>
        <w:rPr>
          <w:rFonts w:ascii="Times New Roman" w:hAnsi="Times New Roman" w:cs="Times New Roman" w:eastAsia="Times New Roman" w:hint="default"/>
          <w:sz w:val="21"/>
          <w:szCs w:val="21"/>
        </w:rPr>
      </w:pPr>
    </w:p>
    <w:p>
      <w:pPr>
        <w:tabs>
          <w:tab w:pos="3594" w:val="left" w:leader="none"/>
          <w:tab w:pos="7161" w:val="left" w:leader="none"/>
        </w:tabs>
        <w:spacing w:before="36"/>
        <w:ind w:left="558" w:right="0" w:firstLine="0"/>
        <w:jc w:val="left"/>
        <w:rPr>
          <w:rFonts w:ascii="宋体" w:hAnsi="宋体" w:cs="宋体" w:eastAsia="宋体" w:hint="default"/>
          <w:sz w:val="21"/>
          <w:szCs w:val="21"/>
        </w:rPr>
      </w:pPr>
      <w:r>
        <w:rPr>
          <w:rFonts w:ascii="宋体" w:hAnsi="宋体" w:cs="宋体" w:eastAsia="宋体" w:hint="default"/>
          <w:b/>
          <w:bCs/>
          <w:spacing w:val="-3"/>
          <w:sz w:val="21"/>
          <w:szCs w:val="21"/>
        </w:rPr>
        <w:t>法定代表人：钟耳顺</w:t>
        <w:tab/>
      </w:r>
      <w:r>
        <w:rPr>
          <w:rFonts w:ascii="宋体" w:hAnsi="宋体" w:cs="宋体" w:eastAsia="宋体" w:hint="default"/>
          <w:b/>
          <w:bCs/>
          <w:spacing w:val="-2"/>
          <w:sz w:val="21"/>
          <w:szCs w:val="21"/>
        </w:rPr>
        <w:t>主管会计工作负责人：鹿麒</w:t>
        <w:tab/>
      </w:r>
      <w:r>
        <w:rPr>
          <w:rFonts w:ascii="宋体" w:hAnsi="宋体" w:cs="宋体" w:eastAsia="宋体" w:hint="default"/>
          <w:b/>
          <w:bCs/>
          <w:spacing w:val="-3"/>
          <w:sz w:val="21"/>
          <w:szCs w:val="21"/>
        </w:rPr>
        <w:t>会计机构负责人：鹿麒</w:t>
      </w:r>
      <w:r>
        <w:rPr>
          <w:rFonts w:ascii="宋体" w:hAnsi="宋体" w:cs="宋体" w:eastAsia="宋体" w:hint="default"/>
          <w:spacing w:val="-3"/>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64"/>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、合并利润表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tabs>
          <w:tab w:pos="8251" w:val="left" w:leader="none"/>
        </w:tabs>
        <w:spacing w:before="0"/>
        <w:ind w:left="55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编制单位：北京超图软件股份有限公司</w:t>
        <w:tab/>
      </w:r>
      <w:r>
        <w:rPr>
          <w:rFonts w:ascii="宋体" w:hAnsi="宋体" w:cs="宋体" w:eastAsia="宋体" w:hint="default"/>
          <w:b/>
          <w:bCs/>
          <w:sz w:val="21"/>
          <w:szCs w:val="21"/>
        </w:rPr>
        <w:t>单位：元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536" w:type="dxa"/>
        <w:tblLayout w:type="fixed"/>
        <w:tblCellMar>
          <w:top w:w="0" w:type="dxa"/>
          <w:left w:w="0" w:type="dxa"/>
          <w:bottom w:w="0" w:type="dxa"/>
          <w:right w:w="0" w:type="dxa"/>
        </w:tblCellMar>
        <w:tblLook w:val="01E0"/>
      </w:tblPr>
      <w:tblGrid>
        <w:gridCol w:w="4825"/>
        <w:gridCol w:w="2141"/>
        <w:gridCol w:w="1772"/>
      </w:tblGrid>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264,028,848.67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293,109,270.08</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34"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264,028,848.67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293,109,270.08</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063"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3"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3"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281,558,822.20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253,806,532.47</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97,211,711.90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78,394,991.50</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063"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3"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3"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063"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3"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3"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063"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-2,350,318.62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6,755,387.93</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61,530,487.64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56,964,243.07</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128,485,828.58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108,286,196.63</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-1,967,552.94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-7,121,997.43</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63"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-1,351,334.36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10,527,710.77</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434"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063"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4,732,467.17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1"/>
                <w:sz w:val="21"/>
              </w:rPr>
              <w:t>1,382,890.12</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063" w:right="0"/>
              <w:jc w:val="left"/>
              <w:rPr>
                <w:rFonts w:ascii="宋体" w:hAnsi="宋体" w:cs="宋体" w:eastAsia="宋体" w:hint="default"/>
                <w:sz w:val="21"/>
                <w:szCs w:val="21"/>
              </w:rPr>
            </w:pPr>
            <w:r>
              <w:rPr>
                <w:rFonts w:ascii="宋体" w:hAnsi="宋体" w:cs="宋体" w:eastAsia="宋体" w:hint="default"/>
                <w:spacing w:val="-4"/>
                <w:sz w:val="21"/>
                <w:szCs w:val="21"/>
              </w:rPr>
              <w:t>其中：对联营企业和合营企业的投资收益</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4,732,151.88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1,382,565.19</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063"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Calibri" w:hAnsi="Calibri" w:cs="Calibri" w:eastAsia="Calibri" w:hint="default"/>
                <w:sz w:val="21"/>
                <w:szCs w:val="21"/>
              </w:rPr>
              <w:t>“</w:t>
            </w:r>
            <w:r>
              <w:rPr>
                <w:rFonts w:ascii="Calibri" w:hAnsi="Calibri" w:cs="Calibri" w:eastAsia="Calibri"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-12,797,506.36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40,685,627.73</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17,562,799.78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13,642,757.11</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345,674.95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433,088.57</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063"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84,175.36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423,261.20</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4,419,618.47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53,895,296.27</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-608,365.73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6,621,880.83</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5,027,984.20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47,273,415.44</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其中：被合并方在合并前实现的净利润</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5,371,349.59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46,761,088.46</w:t>
            </w:r>
          </w:p>
        </w:tc>
      </w:tr>
      <w:tr>
        <w:trPr>
          <w:trHeight w:val="324"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-343,365.39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512,326.98</w:t>
            </w:r>
          </w:p>
        </w:tc>
      </w:tr>
    </w:tbl>
    <w:p>
      <w:pPr>
        <w:spacing w:after="0" w:line="240" w:lineRule="auto"/>
        <w:jc w:val="right"/>
        <w:rPr>
          <w:rFonts w:ascii="Calibri" w:hAnsi="Calibri" w:cs="Calibri" w:eastAsia="Calibri" w:hint="default"/>
          <w:sz w:val="21"/>
          <w:szCs w:val="21"/>
        </w:rPr>
        <w:sectPr>
          <w:pgSz w:w="11910" w:h="16840"/>
          <w:pgMar w:header="884" w:footer="1007" w:top="1160" w:bottom="1200" w:left="1240" w:right="1260"/>
        </w:sectPr>
      </w:pPr>
    </w:p>
    <w:p>
      <w:pPr>
        <w:spacing w:line="240" w:lineRule="auto" w:before="13"/>
        <w:rPr>
          <w:rFonts w:ascii="宋体" w:hAnsi="宋体" w:cs="宋体" w:eastAsia="宋体" w:hint="default"/>
          <w:b/>
          <w:bCs/>
          <w:sz w:val="19"/>
          <w:szCs w:val="19"/>
        </w:rPr>
      </w:pPr>
    </w:p>
    <w:tbl>
      <w:tblPr>
        <w:tblW w:w="0" w:type="auto"/>
        <w:jc w:val="left"/>
        <w:tblInd w:w="536" w:type="dxa"/>
        <w:tblLayout w:type="fixed"/>
        <w:tblCellMar>
          <w:top w:w="0" w:type="dxa"/>
          <w:left w:w="0" w:type="dxa"/>
          <w:bottom w:w="0" w:type="dxa"/>
          <w:right w:w="0" w:type="dxa"/>
        </w:tblCellMar>
        <w:tblLook w:val="01E0"/>
      </w:tblPr>
      <w:tblGrid>
        <w:gridCol w:w="4825"/>
        <w:gridCol w:w="2141"/>
        <w:gridCol w:w="1772"/>
      </w:tblGrid>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Calibri" w:hAnsi="Calibri" w:cs="Calibri" w:eastAsia="Calibri" w:hint="default"/>
                <w:sz w:val="21"/>
                <w:szCs w:val="21"/>
              </w:rPr>
            </w:pPr>
            <w:r>
              <w:rPr>
                <w:rFonts w:ascii="Calibri"/>
                <w:sz w:val="21"/>
              </w:rPr>
              <w:t>--</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0.045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0.39</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0.045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0.39</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-2,442,265.74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1"/>
                <w:sz w:val="21"/>
              </w:rPr>
              <w:t>-68,434.96</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1"/>
                <w:sz w:val="21"/>
              </w:rPr>
              <w:t>2,585,718.46</w:t>
            </w:r>
            <w:r>
              <w:rPr>
                <w:rFonts w:ascii="Calibri"/>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47,204,980.48</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归属于母公司所有者的综合收益总额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3,967,586.73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46,783,758.90</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-1,381,868.27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421,221.58</w:t>
            </w:r>
          </w:p>
        </w:tc>
      </w:tr>
    </w:tbl>
    <w:p>
      <w:pPr>
        <w:tabs>
          <w:tab w:pos="3596" w:val="left" w:leader="none"/>
          <w:tab w:pos="7161" w:val="left" w:leader="none"/>
        </w:tabs>
        <w:spacing w:line="273" w:lineRule="auto" w:before="0"/>
        <w:ind w:left="558" w:right="152" w:firstLine="0"/>
        <w:jc w:val="left"/>
        <w:rPr>
          <w:rFonts w:ascii="宋体" w:hAnsi="宋体" w:cs="宋体" w:eastAsia="宋体" w:hint="default"/>
          <w:sz w:val="21"/>
          <w:szCs w:val="21"/>
        </w:rPr>
      </w:pPr>
      <w:r>
        <w:rPr>
          <w:rFonts w:ascii="宋体" w:hAnsi="宋体" w:cs="宋体" w:eastAsia="宋体" w:hint="default"/>
          <w:b/>
          <w:bCs/>
          <w:sz w:val="21"/>
          <w:szCs w:val="21"/>
        </w:rPr>
        <w:t>本期发生同一控制下企业合并的，被合并方在合并前实现的净利润为：元。</w:t>
      </w:r>
      <w:r>
        <w:rPr>
          <w:rFonts w:ascii="宋体" w:hAnsi="宋体" w:cs="宋体" w:eastAsia="宋体" w:hint="default"/>
          <w:b/>
          <w:bCs/>
          <w:w w:val="100"/>
          <w:sz w:val="21"/>
          <w:szCs w:val="21"/>
        </w:rPr>
        <w:t> </w:t>
      </w:r>
      <w:r>
        <w:rPr>
          <w:rFonts w:ascii="宋体" w:hAnsi="宋体" w:cs="宋体" w:eastAsia="宋体" w:hint="default"/>
          <w:spacing w:val="-3"/>
          <w:sz w:val="21"/>
          <w:szCs w:val="21"/>
        </w:rPr>
        <w:t>法定代表人：钟耳顺</w:t>
        <w:tab/>
      </w:r>
      <w:r>
        <w:rPr>
          <w:rFonts w:ascii="宋体" w:hAnsi="宋体" w:cs="宋体" w:eastAsia="宋体" w:hint="default"/>
          <w:spacing w:val="-2"/>
          <w:sz w:val="21"/>
          <w:szCs w:val="21"/>
        </w:rPr>
        <w:t>主管会计工作负责人：鹿麒</w:t>
        <w:tab/>
      </w:r>
      <w:r>
        <w:rPr>
          <w:rFonts w:ascii="宋体" w:hAnsi="宋体" w:cs="宋体" w:eastAsia="宋体" w:hint="default"/>
          <w:spacing w:val="-3"/>
          <w:sz w:val="21"/>
          <w:szCs w:val="21"/>
        </w:rPr>
        <w:t>会计机构负责人：鹿麒</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tabs>
          <w:tab w:pos="8148" w:val="left" w:leader="none"/>
        </w:tabs>
        <w:spacing w:before="0"/>
        <w:ind w:left="55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编制单位：北京超图软件股份有限公司</w:t>
        <w:tab/>
      </w:r>
      <w:r>
        <w:rPr>
          <w:rFonts w:ascii="宋体" w:hAnsi="宋体" w:cs="宋体" w:eastAsia="宋体" w:hint="default"/>
          <w:b/>
          <w:bCs/>
          <w:sz w:val="21"/>
          <w:szCs w:val="21"/>
        </w:rPr>
        <w:t>单位：元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536" w:type="dxa"/>
        <w:tblLayout w:type="fixed"/>
        <w:tblCellMar>
          <w:top w:w="0" w:type="dxa"/>
          <w:left w:w="0" w:type="dxa"/>
          <w:bottom w:w="0" w:type="dxa"/>
          <w:right w:w="0" w:type="dxa"/>
        </w:tblCellMar>
        <w:tblLook w:val="01E0"/>
      </w:tblPr>
      <w:tblGrid>
        <w:gridCol w:w="4825"/>
        <w:gridCol w:w="2141"/>
        <w:gridCol w:w="1772"/>
      </w:tblGrid>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3"/>
                <w:sz w:val="21"/>
              </w:rPr>
              <w:t>249,578,857.57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262,299,507.47</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88,025,253.52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64,585,381.78</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54"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-2,205,023.81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1"/>
                <w:sz w:val="21"/>
              </w:rPr>
              <w:t>6,313,359.85</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59,720,330.40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54,681,102.98</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121,414,885.46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100,561,567.04</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-2,361,463.30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-7,448,691.97</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854"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-1,109,397.83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10,166,741.27</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211"/>
              <w:jc w:val="right"/>
              <w:rPr>
                <w:rFonts w:ascii="宋体" w:hAnsi="宋体" w:cs="宋体" w:eastAsia="宋体" w:hint="default"/>
                <w:sz w:val="21"/>
                <w:szCs w:val="21"/>
              </w:rPr>
            </w:pPr>
            <w:r>
              <w:rPr>
                <w:rFonts w:ascii="宋体" w:hAnsi="宋体" w:cs="宋体" w:eastAsia="宋体" w:hint="default"/>
                <w:spacing w:val="-2"/>
                <w:sz w:val="21"/>
                <w:szCs w:val="21"/>
              </w:rPr>
              <w:t>加：公允价值变动收益（损失以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宋体" w:hAnsi="宋体" w:cs="宋体" w:eastAsia="宋体" w:hint="default"/>
                <w:spacing w:val="-2"/>
                <w:sz w:val="21"/>
                <w:szCs w:val="21"/>
              </w:rPr>
              <w:t>号填列）</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854"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4,732,151.88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1,382,565.19</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77"/>
              <w:jc w:val="right"/>
              <w:rPr>
                <w:rFonts w:ascii="宋体" w:hAnsi="宋体" w:cs="宋体" w:eastAsia="宋体" w:hint="default"/>
                <w:sz w:val="21"/>
                <w:szCs w:val="21"/>
              </w:rPr>
            </w:pPr>
            <w:r>
              <w:rPr>
                <w:rFonts w:ascii="宋体" w:hAnsi="宋体" w:cs="宋体" w:eastAsia="宋体" w:hint="default"/>
                <w:spacing w:val="-2"/>
                <w:sz w:val="21"/>
                <w:szCs w:val="21"/>
              </w:rPr>
              <w:t>其中：对联营企业和合营企业的投资收益</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4,732,151.88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1,382,565.19</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-9,173,574.99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34,822,611.71</w:t>
            </w:r>
            <w:r>
              <w:rPr>
                <w:rFonts w:ascii="Calibri"/>
                <w:sz w:val="21"/>
              </w:rPr>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17,362,924.04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13,339,751.63</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340,229.54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421,232.44</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84,175.36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418,216.93</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1"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7,849,119.51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47,741,130.90</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-1,194,437.40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5,961,797.18</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1"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9,043,556.91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41,779,333.72</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9" w:right="0"/>
              <w:jc w:val="center"/>
              <w:rPr>
                <w:rFonts w:ascii="Calibri" w:hAnsi="Calibri" w:cs="Calibri" w:eastAsia="Calibri" w:hint="default"/>
                <w:sz w:val="21"/>
                <w:szCs w:val="21"/>
              </w:rPr>
            </w:pPr>
            <w:r>
              <w:rPr>
                <w:rFonts w:ascii="Calibri"/>
                <w:sz w:val="21"/>
              </w:rPr>
              <w:t>--</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0.045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0.39</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0.045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0.39</w:t>
            </w:r>
            <w:r>
              <w:rPr>
                <w:rFonts w:ascii="Calibri"/>
                <w:sz w:val="21"/>
              </w:rPr>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1"/>
                <w:sz w:val="21"/>
              </w:rPr>
              <w:t>-290,880.00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181,760.00</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8,752,676.91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41,961,093.72</w:t>
            </w:r>
          </w:p>
        </w:tc>
      </w:tr>
    </w:tbl>
    <w:p>
      <w:pPr>
        <w:spacing w:line="240" w:lineRule="auto" w:before="3"/>
        <w:rPr>
          <w:rFonts w:ascii="宋体" w:hAnsi="宋体" w:cs="宋体" w:eastAsia="宋体" w:hint="default"/>
          <w:b/>
          <w:bCs/>
          <w:sz w:val="19"/>
          <w:szCs w:val="19"/>
        </w:rPr>
      </w:pPr>
    </w:p>
    <w:p>
      <w:pPr>
        <w:tabs>
          <w:tab w:pos="3174" w:val="left" w:leader="none"/>
          <w:tab w:pos="7161" w:val="left" w:leader="none"/>
        </w:tabs>
        <w:spacing w:before="36"/>
        <w:ind w:left="558" w:right="0" w:firstLine="0"/>
        <w:jc w:val="left"/>
        <w:rPr>
          <w:rFonts w:ascii="宋体" w:hAnsi="宋体" w:cs="宋体" w:eastAsia="宋体" w:hint="default"/>
          <w:sz w:val="21"/>
          <w:szCs w:val="21"/>
        </w:rPr>
      </w:pPr>
      <w:r>
        <w:rPr>
          <w:rFonts w:ascii="宋体" w:hAnsi="宋体" w:cs="宋体" w:eastAsia="宋体" w:hint="default"/>
          <w:b/>
          <w:bCs/>
          <w:spacing w:val="-3"/>
          <w:sz w:val="21"/>
          <w:szCs w:val="21"/>
        </w:rPr>
        <w:t>法定代表人：钟耳顺</w:t>
        <w:tab/>
        <w:t>主管会计工作负责人：鹿麒</w:t>
        <w:tab/>
        <w:t>会计机构负责人：鹿麒</w:t>
      </w:r>
      <w:r>
        <w:rPr>
          <w:rFonts w:ascii="宋体" w:hAnsi="宋体" w:cs="宋体" w:eastAsia="宋体" w:hint="default"/>
          <w:spacing w:val="-3"/>
          <w:sz w:val="21"/>
          <w:szCs w:val="21"/>
        </w:rPr>
      </w:r>
    </w:p>
    <w:p>
      <w:pPr>
        <w:spacing w:line="240" w:lineRule="auto" w:before="10"/>
        <w:rPr>
          <w:rFonts w:ascii="宋体" w:hAnsi="宋体" w:cs="宋体" w:eastAsia="宋体" w:hint="default"/>
          <w:b/>
          <w:bCs/>
          <w:sz w:val="25"/>
          <w:szCs w:val="25"/>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、合并现金流量表</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tabs>
          <w:tab w:pos="8251" w:val="left" w:leader="none"/>
        </w:tabs>
        <w:spacing w:before="0"/>
        <w:ind w:left="55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编制单位：北京超图软件股份有限公司</w:t>
        <w:tab/>
      </w:r>
      <w:r>
        <w:rPr>
          <w:rFonts w:ascii="宋体" w:hAnsi="宋体" w:cs="宋体" w:eastAsia="宋体" w:hint="default"/>
          <w:b/>
          <w:bCs/>
          <w:sz w:val="21"/>
          <w:szCs w:val="21"/>
        </w:rPr>
        <w:t>单位：元</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84" w:footer="1007" w:top="1160" w:bottom="1200" w:left="1240" w:right="1260"/>
        </w:sectPr>
      </w:pPr>
    </w:p>
    <w:p>
      <w:pPr>
        <w:spacing w:line="240" w:lineRule="auto" w:before="9"/>
        <w:rPr>
          <w:rFonts w:ascii="Times New Roman" w:hAnsi="Times New Roman" w:cs="Times New Roman" w:eastAsia="Times New Roman" w:hint="default"/>
          <w:sz w:val="22"/>
          <w:szCs w:val="22"/>
        </w:rPr>
      </w:pPr>
    </w:p>
    <w:tbl>
      <w:tblPr>
        <w:tblW w:w="0" w:type="auto"/>
        <w:jc w:val="left"/>
        <w:tblInd w:w="536" w:type="dxa"/>
        <w:tblLayout w:type="fixed"/>
        <w:tblCellMar>
          <w:top w:w="0" w:type="dxa"/>
          <w:left w:w="0" w:type="dxa"/>
          <w:bottom w:w="0" w:type="dxa"/>
          <w:right w:w="0" w:type="dxa"/>
        </w:tblCellMar>
        <w:tblLook w:val="01E0"/>
      </w:tblPr>
      <w:tblGrid>
        <w:gridCol w:w="4825"/>
        <w:gridCol w:w="2141"/>
        <w:gridCol w:w="1772"/>
      </w:tblGrid>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283,509,217.17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234,068,702.64</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3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客户存款和同业存放款项净增加额</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向其他金融机构拆入资金净增加额</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34" w:right="0"/>
              <w:jc w:val="left"/>
              <w:rPr>
                <w:rFonts w:ascii="宋体" w:hAnsi="宋体" w:cs="宋体" w:eastAsia="宋体" w:hint="default"/>
                <w:sz w:val="21"/>
                <w:szCs w:val="21"/>
              </w:rPr>
            </w:pPr>
            <w:r>
              <w:rPr>
                <w:rFonts w:ascii="宋体" w:hAnsi="宋体" w:cs="宋体" w:eastAsia="宋体" w:hint="default"/>
                <w:sz w:val="21"/>
                <w:szCs w:val="21"/>
              </w:rPr>
              <w:t>处置交易性金融资产净增加额</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34"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6,986,976.04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8,832,330.18</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22,163,785.43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10,132,488.35</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312,659,978.64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253,033,521.17</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61,568,090.42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61,770,222.92</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存放中央银行和同业款项净增加额</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126,835,849.49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106,885,294.60</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23,828,298.68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21,518,874.82</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59,250,805.64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62,016,375.11</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271,483,044.23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252,190,767.45</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41,176,934.41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842,753.72</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5"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处置固定资产、无形资产和其他长期资产收回的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242,783.05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185,997.00</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87"/>
              <w:jc w:val="righ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处置子公司及其他营业单位收到的现金净额</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7,523,813.00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7,741,819.41</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7,766,596.05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7,927,816.41</w:t>
            </w:r>
          </w:p>
        </w:tc>
      </w:tr>
      <w:tr>
        <w:trPr>
          <w:trHeight w:val="634"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5"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购建固定资产、无形资产和其他长期资产支付的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221,599,380.27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14,080,353.76</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87"/>
              <w:jc w:val="righ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取得子公司及其他营业单位支付的现金净额</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2"/>
              <w:jc w:val="right"/>
              <w:rPr>
                <w:rFonts w:ascii="Calibri" w:hAnsi="Calibri" w:cs="Calibri" w:eastAsia="Calibri" w:hint="default"/>
                <w:sz w:val="21"/>
                <w:szCs w:val="21"/>
              </w:rPr>
            </w:pPr>
            <w:r>
              <w:rPr>
                <w:rFonts w:ascii="Calibri"/>
                <w:spacing w:val="-2"/>
                <w:sz w:val="21"/>
              </w:rPr>
              <w:t>221,599,380.27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14,080,353.76</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-213,832,784.22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-6,152,537.35</w:t>
            </w:r>
          </w:p>
        </w:tc>
      </w:tr>
    </w:tbl>
    <w:p>
      <w:pPr>
        <w:spacing w:after="0" w:line="240" w:lineRule="auto"/>
        <w:jc w:val="right"/>
        <w:rPr>
          <w:rFonts w:ascii="Calibri" w:hAnsi="Calibri" w:cs="Calibri" w:eastAsia="Calibri" w:hint="default"/>
          <w:sz w:val="21"/>
          <w:szCs w:val="21"/>
        </w:rPr>
        <w:sectPr>
          <w:pgSz w:w="11910" w:h="16840"/>
          <w:pgMar w:header="884" w:footer="1007" w:top="1160" w:bottom="1200" w:left="1240" w:right="1260"/>
        </w:sectPr>
      </w:pPr>
    </w:p>
    <w:p>
      <w:pPr>
        <w:spacing w:line="240" w:lineRule="auto" w:before="9"/>
        <w:rPr>
          <w:rFonts w:ascii="Times New Roman" w:hAnsi="Times New Roman" w:cs="Times New Roman" w:eastAsia="Times New Roman" w:hint="default"/>
          <w:sz w:val="22"/>
          <w:szCs w:val="22"/>
        </w:rPr>
      </w:pPr>
    </w:p>
    <w:tbl>
      <w:tblPr>
        <w:tblW w:w="0" w:type="auto"/>
        <w:jc w:val="left"/>
        <w:tblInd w:w="536" w:type="dxa"/>
        <w:tblLayout w:type="fixed"/>
        <w:tblCellMar>
          <w:top w:w="0" w:type="dxa"/>
          <w:left w:w="0" w:type="dxa"/>
          <w:bottom w:w="0" w:type="dxa"/>
          <w:right w:w="0" w:type="dxa"/>
        </w:tblCellMar>
        <w:tblLook w:val="01E0"/>
      </w:tblPr>
      <w:tblGrid>
        <w:gridCol w:w="4825"/>
        <w:gridCol w:w="2141"/>
        <w:gridCol w:w="1772"/>
      </w:tblGrid>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87"/>
              <w:jc w:val="righ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其中：子公司吸收少数股东投资收到的现金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45,370,485.00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Calibri" w:hAnsi="Calibri" w:cs="Calibri" w:eastAsia="Calibri" w:hint="default"/>
                <w:sz w:val="21"/>
                <w:szCs w:val="21"/>
              </w:rPr>
            </w:pPr>
            <w:r>
              <w:rPr>
                <w:rFonts w:ascii="Calibri"/>
                <w:spacing w:val="-2"/>
                <w:sz w:val="21"/>
              </w:rPr>
              <w:t>18,880,000.00</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275,700.00</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47,370,485.00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19,155,700.00</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15,833,412.48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12,335,360.00</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709,643.04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15,354,840.30</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387"/>
              <w:jc w:val="righ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其中：子公司支付给少数股东的股利、利润</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16,543,055.52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27,690,200.30</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30,827,429.48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-8,534,500.30</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-3,996.38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-67,517.64</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-141,832,416.71</w:t>
            </w:r>
            <w:r>
              <w:rPr>
                <w:rFonts w:ascii="Calibri"/>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-13,911,801.57</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3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372,247,146.80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386,158,948.37</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230,414,730.09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372,247,146.80</w:t>
            </w:r>
          </w:p>
        </w:tc>
      </w:tr>
    </w:tbl>
    <w:p>
      <w:pPr>
        <w:spacing w:line="240" w:lineRule="auto" w:before="10"/>
        <w:rPr>
          <w:rFonts w:ascii="Times New Roman" w:hAnsi="Times New Roman" w:cs="Times New Roman" w:eastAsia="Times New Roman" w:hint="default"/>
          <w:sz w:val="21"/>
          <w:szCs w:val="21"/>
        </w:rPr>
      </w:pPr>
    </w:p>
    <w:p>
      <w:pPr>
        <w:tabs>
          <w:tab w:pos="3594" w:val="left" w:leader="none"/>
          <w:tab w:pos="7161" w:val="left" w:leader="none"/>
        </w:tabs>
        <w:spacing w:before="36"/>
        <w:ind w:left="558" w:right="0" w:firstLine="0"/>
        <w:jc w:val="left"/>
        <w:rPr>
          <w:rFonts w:ascii="宋体" w:hAnsi="宋体" w:cs="宋体" w:eastAsia="宋体" w:hint="default"/>
          <w:sz w:val="21"/>
          <w:szCs w:val="21"/>
        </w:rPr>
      </w:pPr>
      <w:r>
        <w:rPr>
          <w:rFonts w:ascii="宋体" w:hAnsi="宋体" w:cs="宋体" w:eastAsia="宋体" w:hint="default"/>
          <w:b/>
          <w:bCs/>
          <w:spacing w:val="-3"/>
          <w:sz w:val="21"/>
          <w:szCs w:val="21"/>
        </w:rPr>
        <w:t>法定代表人：钟耳顺</w:t>
        <w:tab/>
      </w:r>
      <w:r>
        <w:rPr>
          <w:rFonts w:ascii="宋体" w:hAnsi="宋体" w:cs="宋体" w:eastAsia="宋体" w:hint="default"/>
          <w:b/>
          <w:bCs/>
          <w:spacing w:val="-2"/>
          <w:sz w:val="21"/>
          <w:szCs w:val="21"/>
        </w:rPr>
        <w:t>主管会计工作负责人：鹿麒</w:t>
        <w:tab/>
      </w:r>
      <w:r>
        <w:rPr>
          <w:rFonts w:ascii="宋体" w:hAnsi="宋体" w:cs="宋体" w:eastAsia="宋体" w:hint="default"/>
          <w:b/>
          <w:bCs/>
          <w:spacing w:val="-3"/>
          <w:sz w:val="21"/>
          <w:szCs w:val="21"/>
        </w:rPr>
        <w:t>会计机构负责人：鹿麒</w:t>
      </w:r>
      <w:r>
        <w:rPr>
          <w:rFonts w:ascii="宋体" w:hAnsi="宋体" w:cs="宋体" w:eastAsia="宋体" w:hint="default"/>
          <w:spacing w:val="-3"/>
          <w:sz w:val="21"/>
          <w:szCs w:val="21"/>
        </w:rPr>
      </w:r>
    </w:p>
    <w:p>
      <w:pPr>
        <w:spacing w:line="240" w:lineRule="auto" w:before="10"/>
        <w:rPr>
          <w:rFonts w:ascii="宋体" w:hAnsi="宋体" w:cs="宋体" w:eastAsia="宋体" w:hint="default"/>
          <w:b/>
          <w:bCs/>
          <w:sz w:val="25"/>
          <w:szCs w:val="25"/>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、母公司现金流量表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tabs>
          <w:tab w:pos="8251" w:val="left" w:leader="none"/>
        </w:tabs>
        <w:spacing w:before="0"/>
        <w:ind w:left="55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编制单位：北京超图软件股份有限公司</w:t>
        <w:tab/>
      </w:r>
      <w:r>
        <w:rPr>
          <w:rFonts w:ascii="宋体" w:hAnsi="宋体" w:cs="宋体" w:eastAsia="宋体" w:hint="default"/>
          <w:b/>
          <w:bCs/>
          <w:sz w:val="21"/>
          <w:szCs w:val="21"/>
        </w:rPr>
        <w:t>单位：元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536" w:type="dxa"/>
        <w:tblLayout w:type="fixed"/>
        <w:tblCellMar>
          <w:top w:w="0" w:type="dxa"/>
          <w:left w:w="0" w:type="dxa"/>
          <w:bottom w:w="0" w:type="dxa"/>
          <w:right w:w="0" w:type="dxa"/>
        </w:tblCellMar>
        <w:tblLook w:val="01E0"/>
      </w:tblPr>
      <w:tblGrid>
        <w:gridCol w:w="4825"/>
        <w:gridCol w:w="2141"/>
        <w:gridCol w:w="1772"/>
      </w:tblGrid>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0"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266,841,824.87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212,716,741.11</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6,986,976.04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8,832,330.18</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21,638,062.12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9,511,302.60</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2"/>
              <w:jc w:val="right"/>
              <w:rPr>
                <w:rFonts w:ascii="Calibri" w:hAnsi="Calibri" w:cs="Calibri" w:eastAsia="Calibri" w:hint="default"/>
                <w:sz w:val="21"/>
                <w:szCs w:val="21"/>
              </w:rPr>
            </w:pPr>
            <w:r>
              <w:rPr>
                <w:rFonts w:ascii="Calibri"/>
                <w:spacing w:val="-2"/>
                <w:sz w:val="21"/>
              </w:rPr>
              <w:t>295,466,863.03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231,060,373.89</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58,508,193.97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54,451,289.38</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支付给职工以及为职工支付的现金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113,847,905.06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94,974,385.76</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21,948,777.47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20,030,266.75</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57,361,248.38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58,889,289.18</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251,666,124.88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228,345,231.07</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2"/>
              <w:jc w:val="right"/>
              <w:rPr>
                <w:rFonts w:ascii="Calibri" w:hAnsi="Calibri" w:cs="Calibri" w:eastAsia="Calibri" w:hint="default"/>
                <w:sz w:val="21"/>
                <w:szCs w:val="21"/>
              </w:rPr>
            </w:pPr>
            <w:r>
              <w:rPr>
                <w:rFonts w:ascii="Calibri"/>
                <w:spacing w:val="-2"/>
                <w:sz w:val="21"/>
              </w:rPr>
              <w:t>43,800,738.15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Calibri" w:hAnsi="Calibri" w:cs="Calibri" w:eastAsia="Calibri" w:hint="default"/>
                <w:sz w:val="21"/>
                <w:szCs w:val="21"/>
              </w:rPr>
            </w:pPr>
            <w:r>
              <w:rPr>
                <w:rFonts w:ascii="Calibri"/>
                <w:spacing w:val="-1"/>
                <w:sz w:val="21"/>
              </w:rPr>
              <w:t>2,715,142.82</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取得投资收益所收到的现金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5" w:firstLine="422"/>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处置固定资产、无形资产和其他长期资产收回的</w:t>
            </w:r>
            <w:r>
              <w:rPr>
                <w:rFonts w:ascii="宋体" w:hAnsi="宋体" w:cs="宋体" w:eastAsia="宋体" w:hint="default"/>
                <w:w w:val="100"/>
                <w:sz w:val="21"/>
                <w:szCs w:val="21"/>
              </w:rPr>
              <w:t> </w:t>
            </w:r>
            <w:r>
              <w:rPr>
                <w:rFonts w:ascii="宋体" w:hAnsi="宋体" w:cs="宋体" w:eastAsia="宋体" w:hint="default"/>
                <w:sz w:val="21"/>
                <w:szCs w:val="21"/>
              </w:rPr>
              <w:t>现金净额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242,783.05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185,997.00</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处置子公司及其他营业单位收到的现金净额</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7,480,862.31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7,689,341.20</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7,723,645.36</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7,875,338.20</w:t>
            </w:r>
          </w:p>
        </w:tc>
      </w:tr>
    </w:tbl>
    <w:p>
      <w:pPr>
        <w:spacing w:after="0" w:line="240" w:lineRule="auto"/>
        <w:jc w:val="right"/>
        <w:rPr>
          <w:rFonts w:ascii="Calibri" w:hAnsi="Calibri" w:cs="Calibri" w:eastAsia="Calibri" w:hint="default"/>
          <w:sz w:val="21"/>
          <w:szCs w:val="21"/>
        </w:rPr>
        <w:sectPr>
          <w:pgSz w:w="11910" w:h="16840"/>
          <w:pgMar w:header="884" w:footer="1007" w:top="1160" w:bottom="1200" w:left="1240" w:right="1260"/>
        </w:sectPr>
      </w:pPr>
    </w:p>
    <w:p>
      <w:pPr>
        <w:spacing w:line="240" w:lineRule="auto" w:before="13"/>
        <w:rPr>
          <w:rFonts w:ascii="宋体" w:hAnsi="宋体" w:cs="宋体" w:eastAsia="宋体" w:hint="default"/>
          <w:b/>
          <w:bCs/>
          <w:sz w:val="19"/>
          <w:szCs w:val="19"/>
        </w:rPr>
      </w:pPr>
    </w:p>
    <w:tbl>
      <w:tblPr>
        <w:tblW w:w="0" w:type="auto"/>
        <w:jc w:val="left"/>
        <w:tblInd w:w="536" w:type="dxa"/>
        <w:tblLayout w:type="fixed"/>
        <w:tblCellMar>
          <w:top w:w="0" w:type="dxa"/>
          <w:left w:w="0" w:type="dxa"/>
          <w:bottom w:w="0" w:type="dxa"/>
          <w:right w:w="0" w:type="dxa"/>
        </w:tblCellMar>
        <w:tblLook w:val="01E0"/>
      </w:tblPr>
      <w:tblGrid>
        <w:gridCol w:w="4825"/>
        <w:gridCol w:w="2141"/>
        <w:gridCol w:w="1772"/>
      </w:tblGrid>
      <w:tr>
        <w:trPr>
          <w:trHeight w:val="634"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5" w:firstLine="422"/>
              <w:jc w:val="left"/>
              <w:rPr>
                <w:rFonts w:ascii="宋体" w:hAnsi="宋体" w:cs="宋体" w:eastAsia="宋体" w:hint="default"/>
                <w:sz w:val="21"/>
                <w:szCs w:val="21"/>
              </w:rPr>
            </w:pPr>
            <w:r>
              <w:rPr>
                <w:rFonts w:ascii="宋体" w:hAnsi="宋体" w:cs="宋体" w:eastAsia="宋体" w:hint="default"/>
                <w:spacing w:val="-4"/>
                <w:sz w:val="21"/>
                <w:szCs w:val="21"/>
              </w:rPr>
              <w:t>购建固定资产、无形资产和其他长期资产支付的</w:t>
            </w:r>
            <w:r>
              <w:rPr>
                <w:rFonts w:ascii="宋体" w:hAnsi="宋体" w:cs="宋体" w:eastAsia="宋体" w:hint="default"/>
                <w:w w:val="100"/>
                <w:sz w:val="21"/>
                <w:szCs w:val="21"/>
              </w:rPr>
              <w:t> </w:t>
            </w:r>
            <w:r>
              <w:rPr>
                <w:rFonts w:ascii="宋体" w:hAnsi="宋体" w:cs="宋体" w:eastAsia="宋体" w:hint="default"/>
                <w:sz w:val="21"/>
                <w:szCs w:val="21"/>
              </w:rPr>
              <w:t>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217,691,954.08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8,600,546.17</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取得子公司及其他营业单位支付的现金净额</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217,691,954.08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8,600,546.17</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-209,968,308.72</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3"/>
                <w:sz w:val="21"/>
              </w:rPr>
              <w:t>-725,207.97</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21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30,000,000.00</w:t>
            </w: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34"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275,700.00</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32,000,000.00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275,700.00</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分配股利、利润或偿付利息支付的现金</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284,868.89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15,000,000.00</w:t>
            </w: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2141" w:type="dxa"/>
            <w:tcBorders>
              <w:top w:val="single" w:sz="4" w:space="0" w:color="000000"/>
              <w:left w:val="single" w:sz="10"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1"/>
                <w:sz w:val="21"/>
              </w:rPr>
              <w:t>284,868.89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15,000,000.00</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31,715,131.11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-14,724,300.00</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260.69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-4,813.86</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-134,452,178.77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-12,739,179.01</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353,400,140.38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366,139,319.39</w:t>
            </w:r>
          </w:p>
        </w:tc>
      </w:tr>
      <w:tr>
        <w:trPr>
          <w:trHeight w:val="324"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21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218,947,961.61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353,400,140.38</w:t>
            </w:r>
          </w:p>
        </w:tc>
      </w:tr>
    </w:tbl>
    <w:p>
      <w:pPr>
        <w:spacing w:line="240" w:lineRule="auto" w:before="3"/>
        <w:rPr>
          <w:rFonts w:ascii="宋体" w:hAnsi="宋体" w:cs="宋体" w:eastAsia="宋体" w:hint="default"/>
          <w:b/>
          <w:bCs/>
          <w:sz w:val="19"/>
          <w:szCs w:val="19"/>
        </w:rPr>
      </w:pPr>
    </w:p>
    <w:p>
      <w:pPr>
        <w:tabs>
          <w:tab w:pos="3594" w:val="left" w:leader="none"/>
          <w:tab w:pos="7161" w:val="left" w:leader="none"/>
        </w:tabs>
        <w:spacing w:before="36"/>
        <w:ind w:left="558" w:right="0" w:firstLine="0"/>
        <w:jc w:val="left"/>
        <w:rPr>
          <w:rFonts w:ascii="宋体" w:hAnsi="宋体" w:cs="宋体" w:eastAsia="宋体" w:hint="default"/>
          <w:sz w:val="21"/>
          <w:szCs w:val="21"/>
        </w:rPr>
      </w:pPr>
      <w:r>
        <w:rPr>
          <w:rFonts w:ascii="宋体" w:hAnsi="宋体" w:cs="宋体" w:eastAsia="宋体" w:hint="default"/>
          <w:b/>
          <w:bCs/>
          <w:spacing w:val="-3"/>
          <w:sz w:val="21"/>
          <w:szCs w:val="21"/>
        </w:rPr>
        <w:t>法定代表人：钟耳顺</w:t>
        <w:tab/>
      </w:r>
      <w:r>
        <w:rPr>
          <w:rFonts w:ascii="宋体" w:hAnsi="宋体" w:cs="宋体" w:eastAsia="宋体" w:hint="default"/>
          <w:b/>
          <w:bCs/>
          <w:spacing w:val="-2"/>
          <w:sz w:val="21"/>
          <w:szCs w:val="21"/>
        </w:rPr>
        <w:t>主管会计工作负责人：鹿麒</w:t>
        <w:tab/>
      </w:r>
      <w:r>
        <w:rPr>
          <w:rFonts w:ascii="宋体" w:hAnsi="宋体" w:cs="宋体" w:eastAsia="宋体" w:hint="default"/>
          <w:b/>
          <w:bCs/>
          <w:spacing w:val="-3"/>
          <w:sz w:val="21"/>
          <w:szCs w:val="21"/>
        </w:rPr>
        <w:t>会计机构负责人：鹿麒</w:t>
      </w:r>
      <w:r>
        <w:rPr>
          <w:rFonts w:ascii="宋体" w:hAnsi="宋体" w:cs="宋体" w:eastAsia="宋体" w:hint="default"/>
          <w:spacing w:val="-3"/>
          <w:sz w:val="21"/>
          <w:szCs w:val="21"/>
        </w:rPr>
      </w:r>
    </w:p>
    <w:p>
      <w:pPr>
        <w:spacing w:after="0"/>
        <w:jc w:val="left"/>
        <w:rPr>
          <w:rFonts w:ascii="宋体" w:hAnsi="宋体" w:cs="宋体" w:eastAsia="宋体" w:hint="default"/>
          <w:sz w:val="21"/>
          <w:szCs w:val="21"/>
        </w:rPr>
        <w:sectPr>
          <w:pgSz w:w="11910" w:h="16840"/>
          <w:pgMar w:header="884" w:footer="1007" w:top="1160" w:bottom="1200" w:left="1240" w:right="12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、合并所有者权益变动表</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tabs>
          <w:tab w:pos="13714" w:val="left" w:leader="none"/>
        </w:tabs>
        <w:spacing w:before="0"/>
        <w:ind w:left="558" w:right="0" w:firstLine="0"/>
        <w:jc w:val="left"/>
        <w:rPr>
          <w:rFonts w:ascii="宋体" w:hAnsi="宋体" w:cs="宋体" w:eastAsia="宋体" w:hint="default"/>
          <w:sz w:val="21"/>
          <w:szCs w:val="21"/>
        </w:rPr>
      </w:pPr>
      <w:r>
        <w:rPr>
          <w:rFonts w:ascii="宋体" w:hAnsi="宋体" w:cs="宋体" w:eastAsia="宋体" w:hint="default"/>
          <w:b/>
          <w:bCs/>
          <w:spacing w:val="-2"/>
          <w:sz w:val="21"/>
          <w:szCs w:val="21"/>
        </w:rPr>
        <w:t>编制单位：北京超图软件股份有限公司</w:t>
        <w:tab/>
      </w:r>
      <w:r>
        <w:rPr>
          <w:rFonts w:ascii="宋体" w:hAnsi="宋体" w:cs="宋体" w:eastAsia="宋体" w:hint="default"/>
          <w:b/>
          <w:bCs/>
          <w:spacing w:val="-5"/>
          <w:sz w:val="21"/>
          <w:szCs w:val="21"/>
        </w:rPr>
        <w:t>单位：元</w:t>
      </w:r>
      <w:r>
        <w:rPr>
          <w:rFonts w:ascii="宋体" w:hAnsi="宋体" w:cs="宋体" w:eastAsia="宋体" w:hint="default"/>
          <w:spacing w:val="-5"/>
          <w:sz w:val="21"/>
          <w:szCs w:val="21"/>
        </w:rPr>
      </w:r>
    </w:p>
    <w:p>
      <w:pPr>
        <w:spacing w:before="37"/>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536" w:type="dxa"/>
        <w:tblLayout w:type="fixed"/>
        <w:tblCellMar>
          <w:top w:w="0" w:type="dxa"/>
          <w:left w:w="0" w:type="dxa"/>
          <w:bottom w:w="0" w:type="dxa"/>
          <w:right w:w="0" w:type="dxa"/>
        </w:tblCellMar>
        <w:tblLook w:val="01E0"/>
      </w:tblPr>
      <w:tblGrid>
        <w:gridCol w:w="3000"/>
        <w:gridCol w:w="1397"/>
        <w:gridCol w:w="1385"/>
        <w:gridCol w:w="559"/>
        <w:gridCol w:w="560"/>
        <w:gridCol w:w="1279"/>
        <w:gridCol w:w="559"/>
        <w:gridCol w:w="1385"/>
        <w:gridCol w:w="1236"/>
        <w:gridCol w:w="1282"/>
        <w:gridCol w:w="1385"/>
      </w:tblGrid>
      <w:tr>
        <w:trPr>
          <w:trHeight w:val="323" w:hRule="exact"/>
        </w:trPr>
        <w:tc>
          <w:tcPr>
            <w:tcW w:w="3000" w:type="dxa"/>
            <w:vMerge w:val="restart"/>
            <w:tcBorders>
              <w:top w:val="single" w:sz="4" w:space="0" w:color="000000"/>
              <w:left w:val="single" w:sz="4" w:space="0" w:color="000000"/>
              <w:right w:val="single" w:sz="4" w:space="0" w:color="000000"/>
            </w:tcBorders>
            <w:shd w:val="clear" w:color="auto" w:fill="D2D2D2"/>
          </w:tcPr>
          <w:p>
            <w:pPr/>
          </w:p>
        </w:tc>
        <w:tc>
          <w:tcPr>
            <w:tcW w:w="11028"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4"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r>
      <w:tr>
        <w:trPr>
          <w:trHeight w:val="319" w:hRule="exact"/>
        </w:trPr>
        <w:tc>
          <w:tcPr>
            <w:tcW w:w="3000" w:type="dxa"/>
            <w:vMerge/>
            <w:tcBorders>
              <w:left w:val="single" w:sz="4" w:space="0" w:color="000000"/>
              <w:bottom w:val="nil" w:sz="6" w:space="0" w:color="auto"/>
              <w:right w:val="single" w:sz="4" w:space="0" w:color="000000"/>
            </w:tcBorders>
            <w:shd w:val="clear" w:color="auto" w:fill="D2D2D2"/>
          </w:tcPr>
          <w:p>
            <w:pPr/>
          </w:p>
        </w:tc>
        <w:tc>
          <w:tcPr>
            <w:tcW w:w="836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4" w:right="0"/>
              <w:jc w:val="center"/>
              <w:rPr>
                <w:rFonts w:ascii="宋体" w:hAnsi="宋体" w:cs="宋体" w:eastAsia="宋体" w:hint="default"/>
                <w:sz w:val="21"/>
                <w:szCs w:val="21"/>
              </w:rPr>
            </w:pPr>
            <w:r>
              <w:rPr>
                <w:rFonts w:ascii="宋体" w:hAnsi="宋体" w:cs="宋体" w:eastAsia="宋体" w:hint="default"/>
                <w:b/>
                <w:bCs/>
                <w:sz w:val="21"/>
                <w:szCs w:val="21"/>
              </w:rPr>
              <w:t>归属于母公司所有者权益</w:t>
            </w:r>
            <w:r>
              <w:rPr>
                <w:rFonts w:ascii="宋体" w:hAnsi="宋体" w:cs="宋体" w:eastAsia="宋体" w:hint="default"/>
                <w:sz w:val="21"/>
                <w:szCs w:val="21"/>
              </w:rPr>
            </w:r>
          </w:p>
        </w:tc>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3000"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5" w:type="dxa"/>
            <w:vMerge w:val="restart"/>
            <w:tcBorders>
              <w:top w:val="single" w:sz="4" w:space="0" w:color="000000"/>
              <w:left w:val="single" w:sz="4" w:space="0" w:color="000000"/>
              <w:right w:val="single" w:sz="4" w:space="0" w:color="000000"/>
            </w:tcBorders>
            <w:shd w:val="clear" w:color="auto" w:fill="D2D2D2"/>
          </w:tcPr>
          <w:p>
            <w:pPr/>
          </w:p>
        </w:tc>
        <w:tc>
          <w:tcPr>
            <w:tcW w:w="55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64" w:right="60"/>
              <w:jc w:val="both"/>
              <w:rPr>
                <w:rFonts w:ascii="宋体" w:hAnsi="宋体" w:cs="宋体" w:eastAsia="宋体" w:hint="default"/>
                <w:sz w:val="21"/>
                <w:szCs w:val="21"/>
              </w:rPr>
            </w:pPr>
            <w:r>
              <w:rPr>
                <w:rFonts w:ascii="宋体" w:hAnsi="宋体" w:cs="宋体" w:eastAsia="宋体" w:hint="default"/>
                <w:b/>
                <w:bCs/>
                <w:sz w:val="21"/>
                <w:szCs w:val="21"/>
              </w:rPr>
              <w:t>减：</w:t>
            </w:r>
            <w:r>
              <w:rPr>
                <w:rFonts w:ascii="宋体" w:hAnsi="宋体" w:cs="宋体" w:eastAsia="宋体" w:hint="default"/>
                <w:b/>
                <w:bCs/>
                <w:w w:val="100"/>
                <w:sz w:val="21"/>
                <w:szCs w:val="21"/>
              </w:rPr>
              <w:t> </w:t>
            </w:r>
            <w:r>
              <w:rPr>
                <w:rFonts w:ascii="宋体" w:hAnsi="宋体" w:cs="宋体" w:eastAsia="宋体" w:hint="default"/>
                <w:b/>
                <w:bCs/>
                <w:sz w:val="21"/>
                <w:szCs w:val="21"/>
              </w:rPr>
              <w:t>库存</w:t>
            </w:r>
            <w:r>
              <w:rPr>
                <w:rFonts w:ascii="宋体" w:hAnsi="宋体" w:cs="宋体" w:eastAsia="宋体" w:hint="default"/>
                <w:b/>
                <w:bCs/>
                <w:w w:val="100"/>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9" w:type="dxa"/>
            <w:vMerge w:val="restart"/>
            <w:tcBorders>
              <w:top w:val="single" w:sz="4" w:space="0" w:color="000000"/>
              <w:left w:val="single" w:sz="4" w:space="0" w:color="000000"/>
              <w:right w:val="single" w:sz="4" w:space="0" w:color="000000"/>
            </w:tcBorders>
            <w:shd w:val="clear" w:color="auto" w:fill="D2D2D2"/>
          </w:tcPr>
          <w:p>
            <w:pPr/>
          </w:p>
        </w:tc>
        <w:tc>
          <w:tcPr>
            <w:tcW w:w="55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62" w:right="62"/>
              <w:jc w:val="both"/>
              <w:rPr>
                <w:rFonts w:ascii="宋体" w:hAnsi="宋体" w:cs="宋体" w:eastAsia="宋体" w:hint="default"/>
                <w:sz w:val="21"/>
                <w:szCs w:val="21"/>
              </w:rPr>
            </w:pPr>
            <w:r>
              <w:rPr>
                <w:rFonts w:ascii="宋体" w:hAnsi="宋体" w:cs="宋体" w:eastAsia="宋体" w:hint="default"/>
                <w:b/>
                <w:bCs/>
                <w:sz w:val="21"/>
                <w:szCs w:val="21"/>
              </w:rPr>
              <w:t>一般</w:t>
            </w:r>
            <w:r>
              <w:rPr>
                <w:rFonts w:ascii="宋体" w:hAnsi="宋体" w:cs="宋体" w:eastAsia="宋体" w:hint="default"/>
                <w:b/>
                <w:bCs/>
                <w:w w:val="100"/>
                <w:sz w:val="21"/>
                <w:szCs w:val="21"/>
              </w:rPr>
              <w:t> </w:t>
            </w:r>
            <w:r>
              <w:rPr>
                <w:rFonts w:ascii="宋体" w:hAnsi="宋体" w:cs="宋体" w:eastAsia="宋体" w:hint="default"/>
                <w:b/>
                <w:bCs/>
                <w:sz w:val="21"/>
                <w:szCs w:val="21"/>
              </w:rPr>
              <w:t>风险</w:t>
            </w:r>
            <w:r>
              <w:rPr>
                <w:rFonts w:ascii="宋体" w:hAnsi="宋体" w:cs="宋体" w:eastAsia="宋体" w:hint="default"/>
                <w:b/>
                <w:bCs/>
                <w:w w:val="100"/>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tc>
        <w:tc>
          <w:tcPr>
            <w:tcW w:w="1385" w:type="dxa"/>
            <w:vMerge w:val="restart"/>
            <w:tcBorders>
              <w:top w:val="single" w:sz="4" w:space="0" w:color="000000"/>
              <w:left w:val="single" w:sz="4" w:space="0" w:color="000000"/>
              <w:right w:val="single" w:sz="4" w:space="0" w:color="000000"/>
            </w:tcBorders>
            <w:shd w:val="clear" w:color="auto" w:fill="D2D2D2"/>
          </w:tcPr>
          <w:p>
            <w:pPr/>
          </w:p>
        </w:tc>
        <w:tc>
          <w:tcPr>
            <w:tcW w:w="1236" w:type="dxa"/>
            <w:vMerge w:val="restart"/>
            <w:tcBorders>
              <w:top w:val="single" w:sz="4" w:space="0" w:color="000000"/>
              <w:left w:val="single" w:sz="4" w:space="0" w:color="000000"/>
              <w:right w:val="single" w:sz="4" w:space="0" w:color="000000"/>
            </w:tcBorders>
            <w:shd w:val="clear" w:color="auto" w:fill="D2D2D2"/>
          </w:tcPr>
          <w:p>
            <w:pPr/>
          </w:p>
        </w:tc>
        <w:tc>
          <w:tcPr>
            <w:tcW w:w="128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528" w:right="108" w:hanging="423"/>
              <w:jc w:val="left"/>
              <w:rPr>
                <w:rFonts w:ascii="宋体" w:hAnsi="宋体" w:cs="宋体" w:eastAsia="宋体" w:hint="default"/>
                <w:sz w:val="21"/>
                <w:szCs w:val="21"/>
              </w:rPr>
            </w:pPr>
            <w:r>
              <w:rPr>
                <w:rFonts w:ascii="宋体" w:hAnsi="宋体" w:cs="宋体" w:eastAsia="宋体" w:hint="default"/>
                <w:b/>
                <w:bCs/>
                <w:sz w:val="21"/>
                <w:szCs w:val="21"/>
              </w:rPr>
              <w:t>少数股东权</w:t>
            </w:r>
            <w:r>
              <w:rPr>
                <w:rFonts w:ascii="宋体" w:hAnsi="宋体" w:cs="宋体" w:eastAsia="宋体" w:hint="default"/>
                <w:b/>
                <w:bCs/>
                <w:w w:val="100"/>
                <w:sz w:val="21"/>
                <w:szCs w:val="21"/>
              </w:rPr>
              <w:t> </w:t>
            </w:r>
            <w:r>
              <w:rPr>
                <w:rFonts w:ascii="宋体" w:hAnsi="宋体" w:cs="宋体" w:eastAsia="宋体" w:hint="default"/>
                <w:b/>
                <w:bCs/>
                <w:sz w:val="21"/>
                <w:szCs w:val="21"/>
              </w:rPr>
              <w:t>益</w:t>
            </w:r>
            <w:r>
              <w:rPr>
                <w:rFonts w:ascii="宋体" w:hAnsi="宋体" w:cs="宋体" w:eastAsia="宋体" w:hint="default"/>
                <w:sz w:val="21"/>
                <w:szCs w:val="21"/>
              </w:rPr>
            </w:r>
          </w:p>
        </w:tc>
        <w:tc>
          <w:tcPr>
            <w:tcW w:w="1385"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580" w:right="53" w:hanging="528"/>
              <w:jc w:val="left"/>
              <w:rPr>
                <w:rFonts w:ascii="宋体" w:hAnsi="宋体" w:cs="宋体" w:eastAsia="宋体" w:hint="default"/>
                <w:sz w:val="21"/>
                <w:szCs w:val="21"/>
              </w:rPr>
            </w:pPr>
            <w:r>
              <w:rPr>
                <w:rFonts w:ascii="宋体" w:hAnsi="宋体" w:cs="宋体" w:eastAsia="宋体" w:hint="default"/>
                <w:b/>
                <w:bCs/>
                <w:sz w:val="21"/>
                <w:szCs w:val="21"/>
              </w:rPr>
              <w:t>所有者权益合</w:t>
            </w:r>
            <w:r>
              <w:rPr>
                <w:rFonts w:ascii="宋体" w:hAnsi="宋体" w:cs="宋体" w:eastAsia="宋体" w:hint="default"/>
                <w:b/>
                <w:bCs/>
                <w:spacing w:val="-104"/>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r>
      <w:tr>
        <w:trPr>
          <w:trHeight w:val="151" w:hRule="exact"/>
        </w:trPr>
        <w:tc>
          <w:tcPr>
            <w:tcW w:w="3000" w:type="dxa"/>
            <w:vMerge/>
            <w:tcBorders>
              <w:left w:val="single" w:sz="4" w:space="0" w:color="000000"/>
              <w:bottom w:val="nil" w:sz="6" w:space="0" w:color="auto"/>
              <w:right w:val="single" w:sz="4" w:space="0" w:color="000000"/>
            </w:tcBorders>
            <w:shd w:val="clear" w:color="auto" w:fill="D2D2D2"/>
          </w:tcPr>
          <w:p>
            <w:pPr/>
          </w:p>
        </w:tc>
        <w:tc>
          <w:tcPr>
            <w:tcW w:w="139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381" w:right="51" w:hanging="315"/>
              <w:jc w:val="left"/>
              <w:rPr>
                <w:rFonts w:ascii="宋体" w:hAnsi="宋体" w:cs="宋体" w:eastAsia="宋体" w:hint="default"/>
                <w:sz w:val="21"/>
                <w:szCs w:val="21"/>
              </w:rPr>
            </w:pPr>
            <w:r>
              <w:rPr>
                <w:rFonts w:ascii="宋体" w:hAnsi="宋体" w:cs="宋体" w:eastAsia="宋体" w:hint="default"/>
                <w:b/>
                <w:bCs/>
                <w:sz w:val="21"/>
                <w:szCs w:val="21"/>
              </w:rPr>
              <w:t>实收资本（或</w:t>
            </w:r>
            <w:r>
              <w:rPr>
                <w:rFonts w:ascii="宋体" w:hAnsi="宋体" w:cs="宋体" w:eastAsia="宋体" w:hint="default"/>
                <w:b/>
                <w:bCs/>
                <w:spacing w:val="-104"/>
                <w:sz w:val="21"/>
                <w:szCs w:val="21"/>
              </w:rPr>
              <w:t> </w:t>
            </w:r>
            <w:r>
              <w:rPr>
                <w:rFonts w:ascii="宋体" w:hAnsi="宋体" w:cs="宋体" w:eastAsia="宋体" w:hint="default"/>
                <w:b/>
                <w:bCs/>
                <w:sz w:val="21"/>
                <w:szCs w:val="21"/>
              </w:rPr>
              <w:t>股本）</w:t>
            </w:r>
            <w:r>
              <w:rPr>
                <w:rFonts w:ascii="宋体" w:hAnsi="宋体" w:cs="宋体" w:eastAsia="宋体" w:hint="default"/>
                <w:sz w:val="21"/>
                <w:szCs w:val="21"/>
              </w:rPr>
            </w:r>
          </w:p>
        </w:tc>
        <w:tc>
          <w:tcPr>
            <w:tcW w:w="1385" w:type="dxa"/>
            <w:vMerge/>
            <w:tcBorders>
              <w:left w:val="single" w:sz="4" w:space="0" w:color="000000"/>
              <w:bottom w:val="nil" w:sz="6" w:space="0" w:color="auto"/>
              <w:right w:val="single" w:sz="4" w:space="0" w:color="000000"/>
            </w:tcBorders>
            <w:shd w:val="clear" w:color="auto" w:fill="D2D2D2"/>
          </w:tcPr>
          <w:p>
            <w:pPr/>
          </w:p>
        </w:tc>
        <w:tc>
          <w:tcPr>
            <w:tcW w:w="559" w:type="dxa"/>
            <w:vMerge/>
            <w:tcBorders>
              <w:left w:val="single" w:sz="4" w:space="0" w:color="000000"/>
              <w:right w:val="single" w:sz="4" w:space="0" w:color="000000"/>
            </w:tcBorders>
            <w:shd w:val="clear" w:color="auto" w:fill="D2D2D2"/>
          </w:tcPr>
          <w:p>
            <w:pPr/>
          </w:p>
        </w:tc>
        <w:tc>
          <w:tcPr>
            <w:tcW w:w="56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62" w:right="63"/>
              <w:jc w:val="left"/>
              <w:rPr>
                <w:rFonts w:ascii="宋体" w:hAnsi="宋体" w:cs="宋体" w:eastAsia="宋体" w:hint="default"/>
                <w:sz w:val="21"/>
                <w:szCs w:val="21"/>
              </w:rPr>
            </w:pPr>
            <w:r>
              <w:rPr>
                <w:rFonts w:ascii="宋体" w:hAnsi="宋体" w:cs="宋体" w:eastAsia="宋体" w:hint="default"/>
                <w:b/>
                <w:bCs/>
                <w:sz w:val="21"/>
                <w:szCs w:val="21"/>
              </w:rPr>
              <w:t>专项</w:t>
            </w:r>
            <w:r>
              <w:rPr>
                <w:rFonts w:ascii="宋体" w:hAnsi="宋体" w:cs="宋体" w:eastAsia="宋体" w:hint="default"/>
                <w:b/>
                <w:bCs/>
                <w:w w:val="100"/>
                <w:sz w:val="21"/>
                <w:szCs w:val="21"/>
              </w:rPr>
              <w:t> </w:t>
            </w:r>
            <w:r>
              <w:rPr>
                <w:rFonts w:ascii="宋体" w:hAnsi="宋体" w:cs="宋体" w:eastAsia="宋体" w:hint="default"/>
                <w:b/>
                <w:bCs/>
                <w:sz w:val="21"/>
                <w:szCs w:val="21"/>
              </w:rPr>
              <w:t>储备</w:t>
            </w:r>
            <w:r>
              <w:rPr>
                <w:rFonts w:ascii="宋体" w:hAnsi="宋体" w:cs="宋体" w:eastAsia="宋体" w:hint="default"/>
                <w:sz w:val="21"/>
                <w:szCs w:val="21"/>
              </w:rPr>
            </w:r>
          </w:p>
        </w:tc>
        <w:tc>
          <w:tcPr>
            <w:tcW w:w="1279" w:type="dxa"/>
            <w:vMerge/>
            <w:tcBorders>
              <w:left w:val="single" w:sz="4" w:space="0" w:color="000000"/>
              <w:bottom w:val="nil" w:sz="6" w:space="0" w:color="auto"/>
              <w:right w:val="single" w:sz="4" w:space="0" w:color="000000"/>
            </w:tcBorders>
            <w:shd w:val="clear" w:color="auto" w:fill="D2D2D2"/>
          </w:tcPr>
          <w:p>
            <w:pPr/>
          </w:p>
        </w:tc>
        <w:tc>
          <w:tcPr>
            <w:tcW w:w="559" w:type="dxa"/>
            <w:vMerge/>
            <w:tcBorders>
              <w:left w:val="single" w:sz="4" w:space="0" w:color="000000"/>
              <w:right w:val="single" w:sz="4" w:space="0" w:color="000000"/>
            </w:tcBorders>
            <w:shd w:val="clear" w:color="auto" w:fill="D2D2D2"/>
          </w:tcPr>
          <w:p>
            <w:pPr/>
          </w:p>
        </w:tc>
        <w:tc>
          <w:tcPr>
            <w:tcW w:w="1385" w:type="dxa"/>
            <w:vMerge/>
            <w:tcBorders>
              <w:left w:val="single" w:sz="4" w:space="0" w:color="000000"/>
              <w:bottom w:val="nil" w:sz="6" w:space="0" w:color="auto"/>
              <w:right w:val="single" w:sz="4" w:space="0" w:color="000000"/>
            </w:tcBorders>
            <w:shd w:val="clear" w:color="auto" w:fill="D2D2D2"/>
          </w:tcPr>
          <w:p>
            <w:pPr/>
          </w:p>
        </w:tc>
        <w:tc>
          <w:tcPr>
            <w:tcW w:w="1236" w:type="dxa"/>
            <w:vMerge/>
            <w:tcBorders>
              <w:left w:val="single" w:sz="4" w:space="0" w:color="000000"/>
              <w:bottom w:val="nil" w:sz="6" w:space="0" w:color="auto"/>
              <w:right w:val="single" w:sz="4" w:space="0" w:color="000000"/>
            </w:tcBorders>
            <w:shd w:val="clear" w:color="auto" w:fill="D2D2D2"/>
          </w:tcPr>
          <w:p>
            <w:pPr/>
          </w:p>
        </w:tc>
        <w:tc>
          <w:tcPr>
            <w:tcW w:w="1282" w:type="dxa"/>
            <w:vMerge/>
            <w:tcBorders>
              <w:left w:val="single" w:sz="4" w:space="0" w:color="000000"/>
              <w:right w:val="single" w:sz="4" w:space="0" w:color="000000"/>
            </w:tcBorders>
            <w:shd w:val="clear" w:color="auto" w:fill="D2D2D2"/>
          </w:tcPr>
          <w:p>
            <w:pPr/>
          </w:p>
        </w:tc>
        <w:tc>
          <w:tcPr>
            <w:tcW w:w="1385" w:type="dxa"/>
            <w:vMerge/>
            <w:tcBorders>
              <w:left w:val="single" w:sz="4" w:space="0" w:color="000000"/>
              <w:right w:val="single" w:sz="4" w:space="0" w:color="000000"/>
            </w:tcBorders>
            <w:shd w:val="clear" w:color="auto" w:fill="D2D2D2"/>
          </w:tcPr>
          <w:p>
            <w:pPr/>
          </w:p>
        </w:tc>
      </w:tr>
      <w:tr>
        <w:trPr>
          <w:trHeight w:val="313" w:hRule="exact"/>
        </w:trPr>
        <w:tc>
          <w:tcPr>
            <w:tcW w:w="3000" w:type="dxa"/>
            <w:vMerge w:val="restart"/>
            <w:tcBorders>
              <w:top w:val="nil" w:sz="6" w:space="0" w:color="auto"/>
              <w:left w:val="single" w:sz="4" w:space="0" w:color="000000"/>
              <w:right w:val="single" w:sz="4" w:space="0" w:color="000000"/>
            </w:tcBorders>
            <w:shd w:val="clear" w:color="auto" w:fill="D2D2D2"/>
          </w:tcPr>
          <w:p>
            <w:pPr/>
          </w:p>
        </w:tc>
        <w:tc>
          <w:tcPr>
            <w:tcW w:w="1397" w:type="dxa"/>
            <w:vMerge/>
            <w:tcBorders>
              <w:left w:val="single" w:sz="4" w:space="0" w:color="000000"/>
              <w:right w:val="single" w:sz="4" w:space="0" w:color="000000"/>
            </w:tcBorders>
            <w:shd w:val="clear" w:color="auto" w:fill="D2D2D2"/>
          </w:tcPr>
          <w:p>
            <w:pPr/>
          </w:p>
        </w:tc>
        <w:tc>
          <w:tcPr>
            <w:tcW w:w="13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5"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资本公积</w:t>
            </w:r>
            <w:r>
              <w:rPr>
                <w:rFonts w:ascii="宋体" w:hAnsi="宋体" w:cs="宋体" w:eastAsia="宋体" w:hint="default"/>
                <w:sz w:val="21"/>
                <w:szCs w:val="21"/>
              </w:rPr>
            </w:r>
          </w:p>
        </w:tc>
        <w:tc>
          <w:tcPr>
            <w:tcW w:w="559" w:type="dxa"/>
            <w:vMerge/>
            <w:tcBorders>
              <w:left w:val="single" w:sz="4" w:space="0" w:color="000000"/>
              <w:right w:val="single" w:sz="4" w:space="0" w:color="000000"/>
            </w:tcBorders>
            <w:shd w:val="clear" w:color="auto" w:fill="D2D2D2"/>
          </w:tcPr>
          <w:p>
            <w:pPr/>
          </w:p>
        </w:tc>
        <w:tc>
          <w:tcPr>
            <w:tcW w:w="560" w:type="dxa"/>
            <w:vMerge/>
            <w:tcBorders>
              <w:left w:val="single" w:sz="4" w:space="0" w:color="000000"/>
              <w:right w:val="single" w:sz="4" w:space="0" w:color="000000"/>
            </w:tcBorders>
            <w:shd w:val="clear" w:color="auto" w:fill="D2D2D2"/>
          </w:tcPr>
          <w:p>
            <w:pPr/>
          </w:p>
        </w:tc>
        <w:tc>
          <w:tcPr>
            <w:tcW w:w="12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4"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盈余公积</w:t>
            </w:r>
            <w:r>
              <w:rPr>
                <w:rFonts w:ascii="宋体" w:hAnsi="宋体" w:cs="宋体" w:eastAsia="宋体" w:hint="default"/>
                <w:sz w:val="21"/>
                <w:szCs w:val="21"/>
              </w:rPr>
            </w:r>
          </w:p>
        </w:tc>
        <w:tc>
          <w:tcPr>
            <w:tcW w:w="559" w:type="dxa"/>
            <w:vMerge/>
            <w:tcBorders>
              <w:left w:val="single" w:sz="4" w:space="0" w:color="000000"/>
              <w:right w:val="single" w:sz="4" w:space="0" w:color="000000"/>
            </w:tcBorders>
            <w:shd w:val="clear" w:color="auto" w:fill="D2D2D2"/>
          </w:tcPr>
          <w:p>
            <w:pPr/>
          </w:p>
        </w:tc>
        <w:tc>
          <w:tcPr>
            <w:tcW w:w="13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4" w:lineRule="exact"/>
              <w:ind w:left="160" w:right="0"/>
              <w:jc w:val="left"/>
              <w:rPr>
                <w:rFonts w:ascii="宋体" w:hAnsi="宋体" w:cs="宋体" w:eastAsia="宋体" w:hint="default"/>
                <w:sz w:val="21"/>
                <w:szCs w:val="21"/>
              </w:rPr>
            </w:pPr>
            <w:r>
              <w:rPr>
                <w:rFonts w:ascii="宋体" w:hAnsi="宋体" w:cs="宋体" w:eastAsia="宋体" w:hint="default"/>
                <w:b/>
                <w:bCs/>
                <w:sz w:val="21"/>
                <w:szCs w:val="21"/>
              </w:rPr>
              <w:t>未分配利润</w:t>
            </w:r>
            <w:r>
              <w:rPr>
                <w:rFonts w:ascii="宋体" w:hAnsi="宋体" w:cs="宋体" w:eastAsia="宋体" w:hint="default"/>
                <w:sz w:val="21"/>
                <w:szCs w:val="21"/>
              </w:rPr>
            </w:r>
          </w:p>
        </w:tc>
        <w:tc>
          <w:tcPr>
            <w:tcW w:w="12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4" w:lineRule="exact"/>
              <w:ind w:left="400"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282" w:type="dxa"/>
            <w:vMerge/>
            <w:tcBorders>
              <w:left w:val="single" w:sz="4" w:space="0" w:color="000000"/>
              <w:bottom w:val="nil" w:sz="6" w:space="0" w:color="auto"/>
              <w:right w:val="single" w:sz="4" w:space="0" w:color="000000"/>
            </w:tcBorders>
            <w:shd w:val="clear" w:color="auto" w:fill="D2D2D2"/>
          </w:tcPr>
          <w:p>
            <w:pPr/>
          </w:p>
        </w:tc>
        <w:tc>
          <w:tcPr>
            <w:tcW w:w="1385"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3000" w:type="dxa"/>
            <w:vMerge/>
            <w:tcBorders>
              <w:left w:val="single" w:sz="4" w:space="0" w:color="000000"/>
              <w:right w:val="single" w:sz="4" w:space="0" w:color="000000"/>
            </w:tcBorders>
            <w:shd w:val="clear" w:color="auto" w:fill="D2D2D2"/>
          </w:tcPr>
          <w:p>
            <w:pPr/>
          </w:p>
        </w:tc>
        <w:tc>
          <w:tcPr>
            <w:tcW w:w="1397" w:type="dxa"/>
            <w:vMerge/>
            <w:tcBorders>
              <w:left w:val="single" w:sz="4" w:space="0" w:color="000000"/>
              <w:bottom w:val="nil" w:sz="6" w:space="0" w:color="auto"/>
              <w:right w:val="single" w:sz="4" w:space="0" w:color="000000"/>
            </w:tcBorders>
            <w:shd w:val="clear" w:color="auto" w:fill="D2D2D2"/>
          </w:tcPr>
          <w:p>
            <w:pPr/>
          </w:p>
        </w:tc>
        <w:tc>
          <w:tcPr>
            <w:tcW w:w="1385" w:type="dxa"/>
            <w:vMerge w:val="restart"/>
            <w:tcBorders>
              <w:top w:val="nil" w:sz="6" w:space="0" w:color="auto"/>
              <w:left w:val="single" w:sz="4" w:space="0" w:color="000000"/>
              <w:right w:val="single" w:sz="4" w:space="0" w:color="000000"/>
            </w:tcBorders>
            <w:shd w:val="clear" w:color="auto" w:fill="D2D2D2"/>
          </w:tcPr>
          <w:p>
            <w:pPr/>
          </w:p>
        </w:tc>
        <w:tc>
          <w:tcPr>
            <w:tcW w:w="559" w:type="dxa"/>
            <w:vMerge/>
            <w:tcBorders>
              <w:left w:val="single" w:sz="4" w:space="0" w:color="000000"/>
              <w:right w:val="single" w:sz="4" w:space="0" w:color="000000"/>
            </w:tcBorders>
            <w:shd w:val="clear" w:color="auto" w:fill="D2D2D2"/>
          </w:tcPr>
          <w:p>
            <w:pPr/>
          </w:p>
        </w:tc>
        <w:tc>
          <w:tcPr>
            <w:tcW w:w="560" w:type="dxa"/>
            <w:vMerge/>
            <w:tcBorders>
              <w:left w:val="single" w:sz="4" w:space="0" w:color="000000"/>
              <w:bottom w:val="nil" w:sz="6" w:space="0" w:color="auto"/>
              <w:right w:val="single" w:sz="4" w:space="0" w:color="000000"/>
            </w:tcBorders>
            <w:shd w:val="clear" w:color="auto" w:fill="D2D2D2"/>
          </w:tcPr>
          <w:p>
            <w:pPr/>
          </w:p>
        </w:tc>
        <w:tc>
          <w:tcPr>
            <w:tcW w:w="1279" w:type="dxa"/>
            <w:vMerge w:val="restart"/>
            <w:tcBorders>
              <w:top w:val="nil" w:sz="6" w:space="0" w:color="auto"/>
              <w:left w:val="single" w:sz="4" w:space="0" w:color="000000"/>
              <w:right w:val="single" w:sz="4" w:space="0" w:color="000000"/>
            </w:tcBorders>
            <w:shd w:val="clear" w:color="auto" w:fill="D2D2D2"/>
          </w:tcPr>
          <w:p>
            <w:pPr/>
          </w:p>
        </w:tc>
        <w:tc>
          <w:tcPr>
            <w:tcW w:w="559" w:type="dxa"/>
            <w:vMerge/>
            <w:tcBorders>
              <w:left w:val="single" w:sz="4" w:space="0" w:color="000000"/>
              <w:right w:val="single" w:sz="4" w:space="0" w:color="000000"/>
            </w:tcBorders>
            <w:shd w:val="clear" w:color="auto" w:fill="D2D2D2"/>
          </w:tcPr>
          <w:p>
            <w:pPr/>
          </w:p>
        </w:tc>
        <w:tc>
          <w:tcPr>
            <w:tcW w:w="1385" w:type="dxa"/>
            <w:vMerge w:val="restart"/>
            <w:tcBorders>
              <w:top w:val="nil" w:sz="6" w:space="0" w:color="auto"/>
              <w:left w:val="single" w:sz="4" w:space="0" w:color="000000"/>
              <w:right w:val="single" w:sz="4" w:space="0" w:color="000000"/>
            </w:tcBorders>
            <w:shd w:val="clear" w:color="auto" w:fill="D2D2D2"/>
          </w:tcPr>
          <w:p>
            <w:pPr/>
          </w:p>
        </w:tc>
        <w:tc>
          <w:tcPr>
            <w:tcW w:w="1236" w:type="dxa"/>
            <w:vMerge w:val="restart"/>
            <w:tcBorders>
              <w:top w:val="nil" w:sz="6" w:space="0" w:color="auto"/>
              <w:left w:val="single" w:sz="4" w:space="0" w:color="000000"/>
              <w:right w:val="single" w:sz="4" w:space="0" w:color="000000"/>
            </w:tcBorders>
            <w:shd w:val="clear" w:color="auto" w:fill="D2D2D2"/>
          </w:tcPr>
          <w:p>
            <w:pPr/>
          </w:p>
        </w:tc>
        <w:tc>
          <w:tcPr>
            <w:tcW w:w="1282" w:type="dxa"/>
            <w:vMerge w:val="restart"/>
            <w:tcBorders>
              <w:top w:val="nil" w:sz="6" w:space="0" w:color="auto"/>
              <w:left w:val="single" w:sz="4" w:space="0" w:color="000000"/>
              <w:right w:val="single" w:sz="4" w:space="0" w:color="000000"/>
            </w:tcBorders>
            <w:shd w:val="clear" w:color="auto" w:fill="D2D2D2"/>
          </w:tcPr>
          <w:p>
            <w:pPr/>
          </w:p>
        </w:tc>
        <w:tc>
          <w:tcPr>
            <w:tcW w:w="1385"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3000" w:type="dxa"/>
            <w:vMerge/>
            <w:tcBorders>
              <w:left w:val="single" w:sz="4" w:space="0" w:color="000000"/>
              <w:bottom w:val="single" w:sz="4" w:space="0" w:color="000000"/>
              <w:right w:val="single" w:sz="4" w:space="0" w:color="000000"/>
            </w:tcBorders>
            <w:shd w:val="clear" w:color="auto" w:fill="D2D2D2"/>
          </w:tcPr>
          <w:p>
            <w:pPr/>
          </w:p>
        </w:tc>
        <w:tc>
          <w:tcPr>
            <w:tcW w:w="13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559" w:type="dxa"/>
            <w:vMerge/>
            <w:tcBorders>
              <w:left w:val="single" w:sz="4" w:space="0" w:color="000000"/>
              <w:bottom w:val="single" w:sz="4" w:space="0" w:color="000000"/>
              <w:right w:val="single" w:sz="4" w:space="0" w:color="000000"/>
            </w:tcBorders>
            <w:shd w:val="clear" w:color="auto" w:fill="D2D2D2"/>
          </w:tcPr>
          <w:p>
            <w:pPr/>
          </w:p>
        </w:tc>
        <w:tc>
          <w:tcPr>
            <w:tcW w:w="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9" w:type="dxa"/>
            <w:vMerge/>
            <w:tcBorders>
              <w:left w:val="single" w:sz="4" w:space="0" w:color="000000"/>
              <w:bottom w:val="single" w:sz="4" w:space="0" w:color="000000"/>
              <w:right w:val="single" w:sz="4" w:space="0" w:color="000000"/>
            </w:tcBorders>
            <w:shd w:val="clear" w:color="auto" w:fill="D2D2D2"/>
          </w:tcPr>
          <w:p>
            <w:pPr/>
          </w:p>
        </w:tc>
        <w:tc>
          <w:tcPr>
            <w:tcW w:w="559"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236" w:type="dxa"/>
            <w:vMerge/>
            <w:tcBorders>
              <w:left w:val="single" w:sz="4" w:space="0" w:color="000000"/>
              <w:bottom w:val="single" w:sz="4" w:space="0" w:color="000000"/>
              <w:right w:val="single" w:sz="4" w:space="0" w:color="000000"/>
            </w:tcBorders>
            <w:shd w:val="clear" w:color="auto" w:fill="D2D2D2"/>
          </w:tcPr>
          <w:p>
            <w:pPr/>
          </w:p>
        </w:tc>
        <w:tc>
          <w:tcPr>
            <w:tcW w:w="1282"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120,000,000.00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312,880,834.12</w:t>
            </w: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13,695,133.81</w:t>
            </w: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100,593,534.60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-641,799.83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20,718,143.22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567,245,845.92</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1"/>
              <w:ind w:right="22"/>
              <w:jc w:val="right"/>
              <w:rPr>
                <w:rFonts w:ascii="Calibri" w:hAnsi="Calibri" w:cs="Calibri" w:eastAsia="Calibri" w:hint="default"/>
                <w:sz w:val="21"/>
                <w:szCs w:val="21"/>
              </w:rPr>
            </w:pPr>
            <w:r>
              <w:rPr>
                <w:rFonts w:ascii="Calibri"/>
                <w:spacing w:val="-2"/>
                <w:sz w:val="21"/>
              </w:rPr>
              <w:t>120,000,000.00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Calibri" w:hAnsi="Calibri" w:cs="Calibri" w:eastAsia="Calibri" w:hint="default"/>
                <w:sz w:val="21"/>
                <w:szCs w:val="21"/>
              </w:rPr>
            </w:pPr>
            <w:r>
              <w:rPr>
                <w:rFonts w:ascii="Calibri"/>
                <w:spacing w:val="-2"/>
                <w:sz w:val="21"/>
              </w:rPr>
              <w:t>312,880,834.12</w:t>
            </w: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Calibri" w:hAnsi="Calibri" w:cs="Calibri" w:eastAsia="Calibri" w:hint="default"/>
                <w:sz w:val="21"/>
                <w:szCs w:val="21"/>
              </w:rPr>
            </w:pPr>
            <w:r>
              <w:rPr>
                <w:rFonts w:ascii="Calibri"/>
                <w:spacing w:val="-2"/>
                <w:sz w:val="21"/>
              </w:rPr>
              <w:t>13,695,133.81</w:t>
            </w: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2"/>
              <w:jc w:val="right"/>
              <w:rPr>
                <w:rFonts w:ascii="Calibri" w:hAnsi="Calibri" w:cs="Calibri" w:eastAsia="Calibri" w:hint="default"/>
                <w:sz w:val="21"/>
                <w:szCs w:val="21"/>
              </w:rPr>
            </w:pPr>
            <w:r>
              <w:rPr>
                <w:rFonts w:ascii="Calibri"/>
                <w:spacing w:val="-2"/>
                <w:sz w:val="21"/>
              </w:rPr>
              <w:t>100,593,534.60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Calibri" w:hAnsi="Calibri" w:cs="Calibri" w:eastAsia="Calibri" w:hint="default"/>
                <w:sz w:val="21"/>
                <w:szCs w:val="21"/>
              </w:rPr>
            </w:pPr>
            <w:r>
              <w:rPr>
                <w:rFonts w:ascii="Calibri"/>
                <w:spacing w:val="-2"/>
                <w:sz w:val="21"/>
              </w:rPr>
              <w:t>-641,799.83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4"/>
              <w:jc w:val="right"/>
              <w:rPr>
                <w:rFonts w:ascii="Calibri" w:hAnsi="Calibri" w:cs="Calibri" w:eastAsia="Calibri" w:hint="default"/>
                <w:sz w:val="21"/>
                <w:szCs w:val="21"/>
              </w:rPr>
            </w:pPr>
            <w:r>
              <w:rPr>
                <w:rFonts w:ascii="Calibri"/>
                <w:spacing w:val="-1"/>
                <w:sz w:val="21"/>
              </w:rPr>
              <w:t>20,718,143.22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21"/>
              <w:jc w:val="right"/>
              <w:rPr>
                <w:rFonts w:ascii="Calibri" w:hAnsi="Calibri" w:cs="Calibri" w:eastAsia="Calibri" w:hint="default"/>
                <w:sz w:val="21"/>
                <w:szCs w:val="21"/>
              </w:rPr>
            </w:pPr>
            <w:r>
              <w:rPr>
                <w:rFonts w:ascii="Calibri"/>
                <w:spacing w:val="-2"/>
                <w:sz w:val="21"/>
              </w:rPr>
              <w:t>567,245,845.92</w:t>
            </w:r>
          </w:p>
        </w:tc>
      </w:tr>
      <w:tr>
        <w:trPr>
          <w:trHeight w:val="634"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三、本期增减变动金额（减少以</w:t>
            </w:r>
          </w:p>
          <w:p>
            <w:pPr>
              <w:pStyle w:val="TableParagraph"/>
              <w:spacing w:line="240" w:lineRule="auto" w:before="37"/>
              <w:ind w:left="12"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11,384,210.11</w:t>
            </w: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904,355.69</w:t>
            </w: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4,466,993.90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-1,112,882.86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3"/>
              <w:jc w:val="right"/>
              <w:rPr>
                <w:rFonts w:ascii="Calibri" w:hAnsi="Calibri" w:cs="Calibri" w:eastAsia="Calibri" w:hint="default"/>
                <w:sz w:val="21"/>
                <w:szCs w:val="21"/>
              </w:rPr>
            </w:pPr>
            <w:r>
              <w:rPr>
                <w:rFonts w:ascii="Calibri"/>
                <w:spacing w:val="-2"/>
                <w:sz w:val="21"/>
              </w:rPr>
              <w:t>-1,381,868.27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14,260,808.57</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5,371,349.59</w:t>
            </w: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-343,365.39</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5,027,984.20</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-290,880.00</w:t>
            </w: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-1,112,882.86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-1,038,502.88</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-2,442,265.74</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-290,880.00</w:t>
            </w: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5,371,349.59</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-1,112,882.86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-1,381,868.27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2,585,718.46</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11,675,090.11</w:t>
            </w: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11,675,090.11</w:t>
            </w:r>
          </w:p>
        </w:tc>
      </w:tr>
      <w:tr>
        <w:trPr>
          <w:trHeight w:val="324"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．所有者投入资本</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12" w:right="5"/>
              <w:jc w:val="left"/>
              <w:rPr>
                <w:rFonts w:ascii="宋体" w:hAnsi="宋体" w:cs="宋体" w:eastAsia="宋体" w:hint="default"/>
                <w:sz w:val="21"/>
                <w:szCs w:val="21"/>
              </w:rPr>
            </w:pPr>
            <w:r>
              <w:rPr>
                <w:rFonts w:ascii="Calibri" w:hAnsi="Calibri" w:cs="Calibri" w:eastAsia="Calibri" w:hint="default"/>
                <w:spacing w:val="-7"/>
                <w:sz w:val="21"/>
                <w:szCs w:val="21"/>
              </w:rPr>
              <w:t>2</w:t>
            </w:r>
            <w:r>
              <w:rPr>
                <w:rFonts w:ascii="宋体" w:hAnsi="宋体" w:cs="宋体" w:eastAsia="宋体" w:hint="default"/>
                <w:spacing w:val="-7"/>
                <w:sz w:val="21"/>
                <w:szCs w:val="21"/>
              </w:rPr>
              <w:t>．股份支付计入所有者权益的金</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额</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9,675,090.11</w:t>
            </w: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9,675,090.11</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．其他</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2,000,000.00</w:t>
            </w: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2,000,000.00</w:t>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904,355.69</w:t>
            </w: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-904,355.69</w:t>
            </w: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．提取盈余公积</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904,355.69</w:t>
            </w: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-904,355.69</w:t>
            </w: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7"/>
          <w:footerReference w:type="default" r:id="rId38"/>
          <w:pgSz w:w="16840" w:h="11910" w:orient="landscape"/>
          <w:pgMar w:header="884" w:footer="1008" w:top="1160" w:bottom="1200" w:left="860" w:right="1280"/>
          <w:pgNumType w:start="88"/>
        </w:sectPr>
      </w:pPr>
    </w:p>
    <w:p>
      <w:pPr>
        <w:spacing w:line="240" w:lineRule="auto" w:before="0"/>
        <w:rPr>
          <w:rFonts w:ascii="宋体" w:hAnsi="宋体" w:cs="宋体" w:eastAsia="宋体" w:hint="default"/>
          <w:b/>
          <w:bCs/>
          <w:sz w:val="20"/>
          <w:szCs w:val="20"/>
        </w:rPr>
      </w:pPr>
      <w:r>
        <w:rPr/>
        <w:pict>
          <v:shape style="position:absolute;margin-left:191.783051pt;margin-top:154.820007pt;width:96.75pt;height:15.6pt;mso-position-horizontal-relative:page;mso-position-vertical-relative:page;z-index:-917920"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股本）</w:t>
                  </w:r>
                </w:p>
              </w:txbxContent>
            </v:textbox>
            <w10:wrap type="none"/>
          </v:shape>
        </w:pict>
      </w:r>
      <w:r>
        <w:rPr/>
        <w:pict>
          <v:shape style="position:absolute;margin-left:191.783051pt;margin-top:170.900009pt;width:96.75pt;height:15.6pt;mso-position-horizontal-relative:page;mso-position-vertical-relative:page;z-index:-917896"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股本）</w:t>
                  </w:r>
                </w:p>
              </w:txbxContent>
            </v:textbox>
            <w10:wrap type="none"/>
          </v:shape>
        </w:pict>
      </w:r>
      <w:r>
        <w:rPr/>
        <w:pict>
          <v:group style="position:absolute;margin-left:220.940002pt;margin-top:154.220001pt;width:67.6pt;height:32.9pt;mso-position-horizontal-relative:page;mso-position-vertical-relative:page;z-index:-917872" coordorigin="4419,3084" coordsize="1352,658">
            <v:group style="position:absolute;left:4431;top:3096;width:2;height:312" coordorigin="4431,3096" coordsize="2,312">
              <v:shape style="position:absolute;left:4431;top:3096;width:2;height:312" coordorigin="4431,3096" coordsize="0,312" path="m4431,3096l4431,3408e" filled="false" stroked="true" strokeweight="1.2pt" strokecolor="#ffffff">
                <v:path arrowok="t"/>
              </v:shape>
            </v:group>
            <v:group style="position:absolute;left:4443;top:3096;width:1328;height:312" coordorigin="4443,3096" coordsize="1328,312">
              <v:shape style="position:absolute;left:4443;top:3096;width:1328;height:312" coordorigin="4443,3096" coordsize="1328,312" path="m4443,3408l5770,3408,5770,3096,4443,3096,4443,3408xe" filled="true" fillcolor="#ffffff" stroked="false">
                <v:path arrowok="t"/>
                <v:fill type="solid"/>
              </v:shape>
            </v:group>
            <v:group style="position:absolute;left:4431;top:3418;width:2;height:312" coordorigin="4431,3418" coordsize="2,312">
              <v:shape style="position:absolute;left:4431;top:3418;width:2;height:312" coordorigin="4431,3418" coordsize="0,312" path="m4431,3418l4431,3730e" filled="false" stroked="true" strokeweight="1.2pt" strokecolor="#ffffff">
                <v:path arrowok="t"/>
              </v:shape>
            </v:group>
            <v:group style="position:absolute;left:4443;top:3418;width:1328;height:312" coordorigin="4443,3418" coordsize="1328,312">
              <v:shape style="position:absolute;left:4443;top:3418;width:1328;height:312" coordorigin="4443,3418" coordsize="1328,312" path="m4443,3730l5770,3730,5770,3418,4443,3418,4443,3730xe" filled="true" fillcolor="#ffffff" stroked="false">
                <v:path arrowok="t"/>
                <v:fill type="solid"/>
              </v:shape>
            </v:group>
            <w10:wrap type="none"/>
          </v:group>
        </w:pict>
      </w:r>
    </w:p>
    <w:p>
      <w:pPr>
        <w:spacing w:line="240" w:lineRule="auto" w:before="5"/>
        <w:rPr>
          <w:rFonts w:ascii="宋体" w:hAnsi="宋体" w:cs="宋体" w:eastAsia="宋体" w:hint="default"/>
          <w:b/>
          <w:bCs/>
          <w:sz w:val="27"/>
          <w:szCs w:val="27"/>
        </w:rPr>
      </w:pPr>
    </w:p>
    <w:tbl>
      <w:tblPr>
        <w:tblW w:w="0" w:type="auto"/>
        <w:jc w:val="left"/>
        <w:tblInd w:w="536" w:type="dxa"/>
        <w:tblLayout w:type="fixed"/>
        <w:tblCellMar>
          <w:top w:w="0" w:type="dxa"/>
          <w:left w:w="0" w:type="dxa"/>
          <w:bottom w:w="0" w:type="dxa"/>
          <w:right w:w="0" w:type="dxa"/>
        </w:tblCellMar>
        <w:tblLook w:val="01E0"/>
      </w:tblPr>
      <w:tblGrid>
        <w:gridCol w:w="3012"/>
        <w:gridCol w:w="1385"/>
        <w:gridCol w:w="1385"/>
        <w:gridCol w:w="559"/>
        <w:gridCol w:w="560"/>
        <w:gridCol w:w="1279"/>
        <w:gridCol w:w="559"/>
        <w:gridCol w:w="1385"/>
        <w:gridCol w:w="1236"/>
        <w:gridCol w:w="1282"/>
        <w:gridCol w:w="1385"/>
      </w:tblGrid>
      <w:tr>
        <w:trPr>
          <w:trHeight w:val="322" w:hRule="exact"/>
        </w:trPr>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．提取一般风险准备</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．对所有者（或股东）的分配</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．其他</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．资本公积转增资本（或</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．盈余公积转增资本（或</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．盈余公积弥补亏损</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．其他</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．本期提取</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1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．本期使用</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Calibri" w:hAnsi="Calibri" w:cs="Calibri" w:eastAsia="Calibri" w:hint="default"/>
                <w:sz w:val="21"/>
                <w:szCs w:val="21"/>
              </w:rPr>
            </w:pPr>
            <w:r>
              <w:rPr>
                <w:rFonts w:ascii="Calibri"/>
                <w:sz w:val="21"/>
              </w:rPr>
              <w:t>120,000,000.00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Calibri" w:hAnsi="Calibri" w:cs="Calibri" w:eastAsia="Calibri" w:hint="default"/>
                <w:sz w:val="21"/>
                <w:szCs w:val="21"/>
              </w:rPr>
            </w:pPr>
            <w:r>
              <w:rPr>
                <w:rFonts w:ascii="Calibri"/>
                <w:sz w:val="21"/>
              </w:rPr>
              <w:t>324,265,044.23</w:t>
            </w:r>
          </w:p>
        </w:tc>
        <w:tc>
          <w:tcPr>
            <w:tcW w:w="559"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14,599,489.50</w:t>
            </w:r>
          </w:p>
        </w:tc>
        <w:tc>
          <w:tcPr>
            <w:tcW w:w="559"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Calibri" w:hAnsi="Calibri" w:cs="Calibri" w:eastAsia="Calibri" w:hint="default"/>
                <w:sz w:val="21"/>
                <w:szCs w:val="21"/>
              </w:rPr>
            </w:pPr>
            <w:r>
              <w:rPr>
                <w:rFonts w:ascii="Calibri"/>
                <w:sz w:val="21"/>
              </w:rPr>
              <w:t>105,060,528.50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-1,754,682.69</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3" w:right="0"/>
              <w:jc w:val="left"/>
              <w:rPr>
                <w:rFonts w:ascii="Calibri" w:hAnsi="Calibri" w:cs="Calibri" w:eastAsia="Calibri" w:hint="default"/>
                <w:sz w:val="21"/>
                <w:szCs w:val="21"/>
              </w:rPr>
            </w:pPr>
            <w:r>
              <w:rPr>
                <w:rFonts w:ascii="Calibri"/>
                <w:sz w:val="21"/>
              </w:rPr>
              <w:t>19,336,274.95</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581,506,654.49</w:t>
            </w:r>
          </w:p>
        </w:tc>
      </w:tr>
    </w:tbl>
    <w:p>
      <w:pPr>
        <w:spacing w:line="240" w:lineRule="auto" w:before="2"/>
        <w:rPr>
          <w:rFonts w:ascii="宋体" w:hAnsi="宋体" w:cs="宋体" w:eastAsia="宋体" w:hint="default"/>
          <w:b/>
          <w:bCs/>
          <w:sz w:val="20"/>
          <w:szCs w:val="20"/>
        </w:rPr>
      </w:pPr>
    </w:p>
    <w:p>
      <w:pPr>
        <w:tabs>
          <w:tab w:pos="13522" w:val="left" w:leader="none"/>
        </w:tabs>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上年金额</w:t>
        <w:tab/>
        <w:t>单位：元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524" w:type="dxa"/>
        <w:tblLayout w:type="fixed"/>
        <w:tblCellMar>
          <w:top w:w="0" w:type="dxa"/>
          <w:left w:w="0" w:type="dxa"/>
          <w:bottom w:w="0" w:type="dxa"/>
          <w:right w:w="0" w:type="dxa"/>
        </w:tblCellMar>
        <w:tblLook w:val="01E0"/>
      </w:tblPr>
      <w:tblGrid>
        <w:gridCol w:w="3054"/>
        <w:gridCol w:w="1396"/>
        <w:gridCol w:w="1385"/>
        <w:gridCol w:w="602"/>
        <w:gridCol w:w="600"/>
        <w:gridCol w:w="1279"/>
        <w:gridCol w:w="600"/>
        <w:gridCol w:w="1385"/>
        <w:gridCol w:w="1075"/>
        <w:gridCol w:w="1282"/>
        <w:gridCol w:w="1380"/>
      </w:tblGrid>
      <w:tr>
        <w:trPr>
          <w:trHeight w:val="322" w:hRule="exact"/>
        </w:trPr>
        <w:tc>
          <w:tcPr>
            <w:tcW w:w="3054" w:type="dxa"/>
            <w:vMerge w:val="restart"/>
            <w:tcBorders>
              <w:top w:val="single" w:sz="4" w:space="0" w:color="000000"/>
              <w:left w:val="single" w:sz="4" w:space="0" w:color="000000"/>
              <w:right w:val="single" w:sz="4" w:space="0" w:color="000000"/>
            </w:tcBorders>
            <w:shd w:val="clear" w:color="auto" w:fill="D2D2D2"/>
          </w:tcPr>
          <w:p>
            <w:pPr/>
          </w:p>
        </w:tc>
        <w:tc>
          <w:tcPr>
            <w:tcW w:w="1098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 w:right="0"/>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317" w:hRule="exact"/>
        </w:trPr>
        <w:tc>
          <w:tcPr>
            <w:tcW w:w="3054" w:type="dxa"/>
            <w:vMerge/>
            <w:tcBorders>
              <w:left w:val="single" w:sz="4" w:space="0" w:color="000000"/>
              <w:bottom w:val="nil" w:sz="6" w:space="0" w:color="auto"/>
              <w:right w:val="single" w:sz="4" w:space="0" w:color="000000"/>
            </w:tcBorders>
            <w:shd w:val="clear" w:color="auto" w:fill="D2D2D2"/>
          </w:tcPr>
          <w:p>
            <w:pPr/>
          </w:p>
        </w:tc>
        <w:tc>
          <w:tcPr>
            <w:tcW w:w="832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5" w:right="0"/>
              <w:jc w:val="center"/>
              <w:rPr>
                <w:rFonts w:ascii="宋体" w:hAnsi="宋体" w:cs="宋体" w:eastAsia="宋体" w:hint="default"/>
                <w:sz w:val="21"/>
                <w:szCs w:val="21"/>
              </w:rPr>
            </w:pPr>
            <w:r>
              <w:rPr>
                <w:rFonts w:ascii="宋体" w:hAnsi="宋体" w:cs="宋体" w:eastAsia="宋体" w:hint="default"/>
                <w:b/>
                <w:bCs/>
                <w:sz w:val="21"/>
                <w:szCs w:val="21"/>
              </w:rPr>
              <w:t>归属于母公司所有者权益</w:t>
            </w:r>
            <w:r>
              <w:rPr>
                <w:rFonts w:ascii="宋体" w:hAnsi="宋体" w:cs="宋体" w:eastAsia="宋体" w:hint="default"/>
                <w:sz w:val="21"/>
                <w:szCs w:val="21"/>
              </w:rPr>
            </w:r>
          </w:p>
        </w:tc>
        <w:tc>
          <w:tcPr>
            <w:tcW w:w="12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8" w:hRule="exact"/>
        </w:trPr>
        <w:tc>
          <w:tcPr>
            <w:tcW w:w="3054"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1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5" w:type="dxa"/>
            <w:vMerge w:val="restart"/>
            <w:tcBorders>
              <w:top w:val="single" w:sz="4" w:space="0" w:color="000000"/>
              <w:left w:val="single" w:sz="4" w:space="0" w:color="000000"/>
              <w:right w:val="single" w:sz="4" w:space="0" w:color="FFFFFF"/>
            </w:tcBorders>
            <w:shd w:val="clear" w:color="auto" w:fill="D2D2D2"/>
          </w:tcPr>
          <w:p>
            <w:pPr/>
          </w:p>
        </w:tc>
        <w:tc>
          <w:tcPr>
            <w:tcW w:w="602" w:type="dxa"/>
            <w:tcBorders>
              <w:top w:val="single" w:sz="4" w:space="0" w:color="000000"/>
              <w:left w:val="single" w:sz="4" w:space="0" w:color="FFFFFF"/>
              <w:bottom w:val="nil" w:sz="6" w:space="0" w:color="auto"/>
              <w:right w:val="single" w:sz="4" w:space="0" w:color="000000"/>
            </w:tcBorders>
            <w:shd w:val="clear" w:color="auto" w:fill="D2D2D2"/>
          </w:tcPr>
          <w:p>
            <w:pPr/>
          </w:p>
        </w:tc>
        <w:tc>
          <w:tcPr>
            <w:tcW w:w="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9" w:type="dxa"/>
            <w:vMerge w:val="restart"/>
            <w:tcBorders>
              <w:top w:val="single" w:sz="4" w:space="0" w:color="000000"/>
              <w:left w:val="single" w:sz="4" w:space="0" w:color="000000"/>
              <w:right w:val="single" w:sz="4" w:space="0" w:color="000000"/>
            </w:tcBorders>
            <w:shd w:val="clear" w:color="auto" w:fill="D2D2D2"/>
          </w:tcPr>
          <w:p>
            <w:pPr/>
          </w:p>
        </w:tc>
        <w:tc>
          <w:tcPr>
            <w:tcW w:w="60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81" w:right="84"/>
              <w:jc w:val="both"/>
              <w:rPr>
                <w:rFonts w:ascii="宋体" w:hAnsi="宋体" w:cs="宋体" w:eastAsia="宋体" w:hint="default"/>
                <w:sz w:val="21"/>
                <w:szCs w:val="21"/>
              </w:rPr>
            </w:pPr>
            <w:r>
              <w:rPr>
                <w:rFonts w:ascii="宋体" w:hAnsi="宋体" w:cs="宋体" w:eastAsia="宋体" w:hint="default"/>
                <w:b/>
                <w:bCs/>
                <w:sz w:val="21"/>
                <w:szCs w:val="21"/>
              </w:rPr>
              <w:t>一般</w:t>
            </w:r>
            <w:r>
              <w:rPr>
                <w:rFonts w:ascii="宋体" w:hAnsi="宋体" w:cs="宋体" w:eastAsia="宋体" w:hint="default"/>
                <w:b/>
                <w:bCs/>
                <w:w w:val="100"/>
                <w:sz w:val="21"/>
                <w:szCs w:val="21"/>
              </w:rPr>
              <w:t> </w:t>
            </w:r>
            <w:r>
              <w:rPr>
                <w:rFonts w:ascii="宋体" w:hAnsi="宋体" w:cs="宋体" w:eastAsia="宋体" w:hint="default"/>
                <w:b/>
                <w:bCs/>
                <w:sz w:val="21"/>
                <w:szCs w:val="21"/>
              </w:rPr>
              <w:t>风险</w:t>
            </w:r>
            <w:r>
              <w:rPr>
                <w:rFonts w:ascii="宋体" w:hAnsi="宋体" w:cs="宋体" w:eastAsia="宋体" w:hint="default"/>
                <w:b/>
                <w:bCs/>
                <w:w w:val="100"/>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tc>
        <w:tc>
          <w:tcPr>
            <w:tcW w:w="1385" w:type="dxa"/>
            <w:vMerge w:val="restart"/>
            <w:tcBorders>
              <w:top w:val="single" w:sz="4" w:space="0" w:color="000000"/>
              <w:left w:val="single" w:sz="4" w:space="0" w:color="000000"/>
              <w:right w:val="single" w:sz="4" w:space="0" w:color="000000"/>
            </w:tcBorders>
            <w:shd w:val="clear" w:color="auto" w:fill="D2D2D2"/>
          </w:tcPr>
          <w:p>
            <w:pPr/>
          </w:p>
        </w:tc>
        <w:tc>
          <w:tcPr>
            <w:tcW w:w="1075" w:type="dxa"/>
            <w:vMerge w:val="restart"/>
            <w:tcBorders>
              <w:top w:val="single" w:sz="4" w:space="0" w:color="000000"/>
              <w:left w:val="single" w:sz="4" w:space="0" w:color="000000"/>
              <w:right w:val="single" w:sz="4" w:space="0" w:color="000000"/>
            </w:tcBorders>
            <w:shd w:val="clear" w:color="auto" w:fill="D2D2D2"/>
          </w:tcPr>
          <w:p>
            <w:pPr/>
          </w:p>
        </w:tc>
        <w:tc>
          <w:tcPr>
            <w:tcW w:w="128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530" w:right="107" w:hanging="423"/>
              <w:jc w:val="left"/>
              <w:rPr>
                <w:rFonts w:ascii="宋体" w:hAnsi="宋体" w:cs="宋体" w:eastAsia="宋体" w:hint="default"/>
                <w:sz w:val="21"/>
                <w:szCs w:val="21"/>
              </w:rPr>
            </w:pPr>
            <w:r>
              <w:rPr>
                <w:rFonts w:ascii="宋体" w:hAnsi="宋体" w:cs="宋体" w:eastAsia="宋体" w:hint="default"/>
                <w:b/>
                <w:bCs/>
                <w:sz w:val="21"/>
                <w:szCs w:val="21"/>
              </w:rPr>
              <w:t>少数股东权</w:t>
            </w:r>
            <w:r>
              <w:rPr>
                <w:rFonts w:ascii="宋体" w:hAnsi="宋体" w:cs="宋体" w:eastAsia="宋体" w:hint="default"/>
                <w:b/>
                <w:bCs/>
                <w:w w:val="100"/>
                <w:sz w:val="21"/>
                <w:szCs w:val="21"/>
              </w:rPr>
              <w:t> </w:t>
            </w:r>
            <w:r>
              <w:rPr>
                <w:rFonts w:ascii="宋体" w:hAnsi="宋体" w:cs="宋体" w:eastAsia="宋体" w:hint="default"/>
                <w:b/>
                <w:bCs/>
                <w:sz w:val="21"/>
                <w:szCs w:val="21"/>
              </w:rPr>
              <w:t>益</w:t>
            </w:r>
            <w:r>
              <w:rPr>
                <w:rFonts w:ascii="宋体" w:hAnsi="宋体" w:cs="宋体" w:eastAsia="宋体" w:hint="default"/>
                <w:sz w:val="21"/>
                <w:szCs w:val="21"/>
              </w:rPr>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578" w:right="48" w:hanging="526"/>
              <w:jc w:val="left"/>
              <w:rPr>
                <w:rFonts w:ascii="宋体" w:hAnsi="宋体" w:cs="宋体" w:eastAsia="宋体" w:hint="default"/>
                <w:sz w:val="21"/>
                <w:szCs w:val="21"/>
              </w:rPr>
            </w:pPr>
            <w:r>
              <w:rPr>
                <w:rFonts w:ascii="宋体" w:hAnsi="宋体" w:cs="宋体" w:eastAsia="宋体" w:hint="default"/>
                <w:b/>
                <w:bCs/>
                <w:sz w:val="21"/>
                <w:szCs w:val="21"/>
              </w:rPr>
              <w:t>所有者权益合</w:t>
            </w:r>
            <w:r>
              <w:rPr>
                <w:rFonts w:ascii="宋体" w:hAnsi="宋体" w:cs="宋体" w:eastAsia="宋体" w:hint="default"/>
                <w:b/>
                <w:bCs/>
                <w:spacing w:val="-104"/>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r>
      <w:tr>
        <w:trPr>
          <w:trHeight w:val="150" w:hRule="exact"/>
        </w:trPr>
        <w:tc>
          <w:tcPr>
            <w:tcW w:w="3054" w:type="dxa"/>
            <w:vMerge/>
            <w:tcBorders>
              <w:left w:val="single" w:sz="4" w:space="0" w:color="000000"/>
              <w:bottom w:val="nil" w:sz="6" w:space="0" w:color="auto"/>
              <w:right w:val="single" w:sz="4" w:space="0" w:color="000000"/>
            </w:tcBorders>
            <w:shd w:val="clear" w:color="auto" w:fill="D2D2D2"/>
          </w:tcPr>
          <w:p>
            <w:pPr/>
          </w:p>
        </w:tc>
        <w:tc>
          <w:tcPr>
            <w:tcW w:w="139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380" w:right="51" w:hanging="315"/>
              <w:jc w:val="left"/>
              <w:rPr>
                <w:rFonts w:ascii="宋体" w:hAnsi="宋体" w:cs="宋体" w:eastAsia="宋体" w:hint="default"/>
                <w:sz w:val="21"/>
                <w:szCs w:val="21"/>
              </w:rPr>
            </w:pPr>
            <w:r>
              <w:rPr>
                <w:rFonts w:ascii="宋体" w:hAnsi="宋体" w:cs="宋体" w:eastAsia="宋体" w:hint="default"/>
                <w:b/>
                <w:bCs/>
                <w:sz w:val="21"/>
                <w:szCs w:val="21"/>
              </w:rPr>
              <w:t>实收资本（或</w:t>
            </w:r>
            <w:r>
              <w:rPr>
                <w:rFonts w:ascii="宋体" w:hAnsi="宋体" w:cs="宋体" w:eastAsia="宋体" w:hint="default"/>
                <w:b/>
                <w:bCs/>
                <w:spacing w:val="-104"/>
                <w:sz w:val="21"/>
                <w:szCs w:val="21"/>
              </w:rPr>
              <w:t> </w:t>
            </w:r>
            <w:r>
              <w:rPr>
                <w:rFonts w:ascii="宋体" w:hAnsi="宋体" w:cs="宋体" w:eastAsia="宋体" w:hint="default"/>
                <w:b/>
                <w:bCs/>
                <w:sz w:val="21"/>
                <w:szCs w:val="21"/>
              </w:rPr>
              <w:t>股本）</w:t>
            </w:r>
            <w:r>
              <w:rPr>
                <w:rFonts w:ascii="宋体" w:hAnsi="宋体" w:cs="宋体" w:eastAsia="宋体" w:hint="default"/>
                <w:sz w:val="21"/>
                <w:szCs w:val="21"/>
              </w:rPr>
            </w:r>
          </w:p>
        </w:tc>
        <w:tc>
          <w:tcPr>
            <w:tcW w:w="1385" w:type="dxa"/>
            <w:vMerge/>
            <w:tcBorders>
              <w:left w:val="single" w:sz="4" w:space="0" w:color="000000"/>
              <w:bottom w:val="nil" w:sz="6" w:space="0" w:color="auto"/>
              <w:right w:val="single" w:sz="4" w:space="0" w:color="FFFFFF"/>
            </w:tcBorders>
            <w:shd w:val="clear" w:color="auto" w:fill="D2D2D2"/>
          </w:tcPr>
          <w:p>
            <w:pPr/>
          </w:p>
        </w:tc>
        <w:tc>
          <w:tcPr>
            <w:tcW w:w="602" w:type="dxa"/>
            <w:vMerge w:val="restart"/>
            <w:tcBorders>
              <w:top w:val="nil" w:sz="6" w:space="0" w:color="auto"/>
              <w:left w:val="single" w:sz="4" w:space="0" w:color="FFFFFF"/>
              <w:right w:val="single" w:sz="4" w:space="0" w:color="000000"/>
            </w:tcBorders>
            <w:shd w:val="clear" w:color="auto" w:fill="D2D2D2"/>
          </w:tcPr>
          <w:p>
            <w:pPr>
              <w:pStyle w:val="TableParagraph"/>
              <w:spacing w:line="273" w:lineRule="auto"/>
              <w:ind w:left="83" w:right="84" w:hanging="60"/>
              <w:jc w:val="left"/>
              <w:rPr>
                <w:rFonts w:ascii="宋体" w:hAnsi="宋体" w:cs="宋体" w:eastAsia="宋体" w:hint="default"/>
                <w:sz w:val="21"/>
                <w:szCs w:val="21"/>
              </w:rPr>
            </w:pPr>
            <w:r>
              <w:rPr>
                <w:rFonts w:ascii="宋体" w:hAnsi="宋体" w:cs="宋体" w:eastAsia="宋体" w:hint="default"/>
                <w:b/>
                <w:bCs/>
                <w:spacing w:val="-58"/>
                <w:w w:val="100"/>
                <w:sz w:val="21"/>
                <w:szCs w:val="21"/>
              </w:rPr>
              <w:t>减：库</w:t>
            </w:r>
            <w:r>
              <w:rPr>
                <w:rFonts w:ascii="宋体" w:hAnsi="宋体" w:cs="宋体" w:eastAsia="宋体" w:hint="default"/>
                <w:b/>
                <w:bCs/>
                <w:spacing w:val="-87"/>
                <w:w w:val="100"/>
                <w:sz w:val="21"/>
                <w:szCs w:val="21"/>
              </w:rPr>
              <w:t> </w:t>
            </w:r>
            <w:r>
              <w:rPr>
                <w:rFonts w:ascii="宋体" w:hAnsi="宋体" w:cs="宋体" w:eastAsia="宋体" w:hint="default"/>
                <w:b/>
                <w:bCs/>
                <w:sz w:val="21"/>
                <w:szCs w:val="21"/>
              </w:rPr>
              <w:t>存股</w:t>
            </w:r>
            <w:r>
              <w:rPr>
                <w:rFonts w:ascii="宋体" w:hAnsi="宋体" w:cs="宋体" w:eastAsia="宋体" w:hint="default"/>
                <w:sz w:val="21"/>
                <w:szCs w:val="21"/>
              </w:rPr>
            </w:r>
          </w:p>
        </w:tc>
        <w:tc>
          <w:tcPr>
            <w:tcW w:w="600"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81" w:right="84"/>
              <w:jc w:val="left"/>
              <w:rPr>
                <w:rFonts w:ascii="宋体" w:hAnsi="宋体" w:cs="宋体" w:eastAsia="宋体" w:hint="default"/>
                <w:sz w:val="21"/>
                <w:szCs w:val="21"/>
              </w:rPr>
            </w:pPr>
            <w:r>
              <w:rPr>
                <w:rFonts w:ascii="宋体" w:hAnsi="宋体" w:cs="宋体" w:eastAsia="宋体" w:hint="default"/>
                <w:b/>
                <w:bCs/>
                <w:sz w:val="21"/>
                <w:szCs w:val="21"/>
              </w:rPr>
              <w:t>专项</w:t>
            </w:r>
            <w:r>
              <w:rPr>
                <w:rFonts w:ascii="宋体" w:hAnsi="宋体" w:cs="宋体" w:eastAsia="宋体" w:hint="default"/>
                <w:b/>
                <w:bCs/>
                <w:w w:val="100"/>
                <w:sz w:val="21"/>
                <w:szCs w:val="21"/>
              </w:rPr>
              <w:t> </w:t>
            </w:r>
            <w:r>
              <w:rPr>
                <w:rFonts w:ascii="宋体" w:hAnsi="宋体" w:cs="宋体" w:eastAsia="宋体" w:hint="default"/>
                <w:b/>
                <w:bCs/>
                <w:sz w:val="21"/>
                <w:szCs w:val="21"/>
              </w:rPr>
              <w:t>储备</w:t>
            </w:r>
            <w:r>
              <w:rPr>
                <w:rFonts w:ascii="宋体" w:hAnsi="宋体" w:cs="宋体" w:eastAsia="宋体" w:hint="default"/>
                <w:sz w:val="21"/>
                <w:szCs w:val="21"/>
              </w:rPr>
            </w:r>
          </w:p>
        </w:tc>
        <w:tc>
          <w:tcPr>
            <w:tcW w:w="1279" w:type="dxa"/>
            <w:vMerge/>
            <w:tcBorders>
              <w:left w:val="single" w:sz="4" w:space="0" w:color="000000"/>
              <w:bottom w:val="nil" w:sz="6" w:space="0" w:color="auto"/>
              <w:right w:val="single" w:sz="4" w:space="0" w:color="000000"/>
            </w:tcBorders>
            <w:shd w:val="clear" w:color="auto" w:fill="D2D2D2"/>
          </w:tcPr>
          <w:p>
            <w:pPr/>
          </w:p>
        </w:tc>
        <w:tc>
          <w:tcPr>
            <w:tcW w:w="600" w:type="dxa"/>
            <w:vMerge/>
            <w:tcBorders>
              <w:left w:val="single" w:sz="4" w:space="0" w:color="000000"/>
              <w:right w:val="single" w:sz="4" w:space="0" w:color="000000"/>
            </w:tcBorders>
            <w:shd w:val="clear" w:color="auto" w:fill="D2D2D2"/>
          </w:tcPr>
          <w:p>
            <w:pPr/>
          </w:p>
        </w:tc>
        <w:tc>
          <w:tcPr>
            <w:tcW w:w="1385" w:type="dxa"/>
            <w:vMerge/>
            <w:tcBorders>
              <w:left w:val="single" w:sz="4" w:space="0" w:color="000000"/>
              <w:bottom w:val="nil" w:sz="6" w:space="0" w:color="auto"/>
              <w:right w:val="single" w:sz="4" w:space="0" w:color="000000"/>
            </w:tcBorders>
            <w:shd w:val="clear" w:color="auto" w:fill="D2D2D2"/>
          </w:tcPr>
          <w:p>
            <w:pPr/>
          </w:p>
        </w:tc>
        <w:tc>
          <w:tcPr>
            <w:tcW w:w="1075" w:type="dxa"/>
            <w:vMerge/>
            <w:tcBorders>
              <w:left w:val="single" w:sz="4" w:space="0" w:color="000000"/>
              <w:bottom w:val="nil" w:sz="6" w:space="0" w:color="auto"/>
              <w:right w:val="single" w:sz="4" w:space="0" w:color="000000"/>
            </w:tcBorders>
            <w:shd w:val="clear" w:color="auto" w:fill="D2D2D2"/>
          </w:tcPr>
          <w:p>
            <w:pPr/>
          </w:p>
        </w:tc>
        <w:tc>
          <w:tcPr>
            <w:tcW w:w="1282"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right w:val="single" w:sz="4" w:space="0" w:color="000000"/>
            </w:tcBorders>
            <w:shd w:val="clear" w:color="auto" w:fill="D2D2D2"/>
          </w:tcPr>
          <w:p>
            <w:pPr/>
          </w:p>
        </w:tc>
      </w:tr>
      <w:tr>
        <w:trPr>
          <w:trHeight w:val="314" w:hRule="exact"/>
        </w:trPr>
        <w:tc>
          <w:tcPr>
            <w:tcW w:w="3054" w:type="dxa"/>
            <w:vMerge w:val="restart"/>
            <w:tcBorders>
              <w:top w:val="nil" w:sz="6" w:space="0" w:color="auto"/>
              <w:left w:val="single" w:sz="4" w:space="0" w:color="000000"/>
              <w:right w:val="single" w:sz="4" w:space="0" w:color="000000"/>
            </w:tcBorders>
            <w:shd w:val="clear" w:color="auto" w:fill="D2D2D2"/>
          </w:tcPr>
          <w:p>
            <w:pPr/>
          </w:p>
        </w:tc>
        <w:tc>
          <w:tcPr>
            <w:tcW w:w="1396" w:type="dxa"/>
            <w:vMerge/>
            <w:tcBorders>
              <w:left w:val="single" w:sz="4" w:space="0" w:color="000000"/>
              <w:right w:val="single" w:sz="4" w:space="0" w:color="000000"/>
            </w:tcBorders>
            <w:shd w:val="clear" w:color="auto" w:fill="D2D2D2"/>
          </w:tcPr>
          <w:p>
            <w:pPr/>
          </w:p>
        </w:tc>
        <w:tc>
          <w:tcPr>
            <w:tcW w:w="1385"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资本公积</w:t>
            </w:r>
            <w:r>
              <w:rPr>
                <w:rFonts w:ascii="宋体" w:hAnsi="宋体" w:cs="宋体" w:eastAsia="宋体" w:hint="default"/>
                <w:sz w:val="21"/>
                <w:szCs w:val="21"/>
              </w:rPr>
            </w:r>
          </w:p>
        </w:tc>
        <w:tc>
          <w:tcPr>
            <w:tcW w:w="602" w:type="dxa"/>
            <w:vMerge/>
            <w:tcBorders>
              <w:left w:val="single" w:sz="4" w:space="0" w:color="FFFFFF"/>
              <w:right w:val="single" w:sz="4" w:space="0" w:color="000000"/>
            </w:tcBorders>
            <w:shd w:val="clear" w:color="auto" w:fill="D2D2D2"/>
          </w:tcPr>
          <w:p>
            <w:pPr/>
          </w:p>
        </w:tc>
        <w:tc>
          <w:tcPr>
            <w:tcW w:w="600" w:type="dxa"/>
            <w:vMerge/>
            <w:tcBorders>
              <w:left w:val="single" w:sz="4" w:space="0" w:color="000000"/>
              <w:right w:val="single" w:sz="4" w:space="0" w:color="000000"/>
            </w:tcBorders>
            <w:shd w:val="clear" w:color="auto" w:fill="D2D2D2"/>
          </w:tcPr>
          <w:p>
            <w:pPr/>
          </w:p>
        </w:tc>
        <w:tc>
          <w:tcPr>
            <w:tcW w:w="12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盈余公积</w:t>
            </w:r>
            <w:r>
              <w:rPr>
                <w:rFonts w:ascii="宋体" w:hAnsi="宋体" w:cs="宋体" w:eastAsia="宋体" w:hint="default"/>
                <w:sz w:val="21"/>
                <w:szCs w:val="21"/>
              </w:rPr>
            </w:r>
          </w:p>
        </w:tc>
        <w:tc>
          <w:tcPr>
            <w:tcW w:w="600" w:type="dxa"/>
            <w:vMerge/>
            <w:tcBorders>
              <w:left w:val="single" w:sz="4" w:space="0" w:color="000000"/>
              <w:right w:val="single" w:sz="4" w:space="0" w:color="000000"/>
            </w:tcBorders>
            <w:shd w:val="clear" w:color="auto" w:fill="D2D2D2"/>
          </w:tcPr>
          <w:p>
            <w:pPr/>
          </w:p>
        </w:tc>
        <w:tc>
          <w:tcPr>
            <w:tcW w:w="13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4" w:lineRule="exact"/>
              <w:ind w:left="158" w:right="0"/>
              <w:jc w:val="left"/>
              <w:rPr>
                <w:rFonts w:ascii="宋体" w:hAnsi="宋体" w:cs="宋体" w:eastAsia="宋体" w:hint="default"/>
                <w:sz w:val="21"/>
                <w:szCs w:val="21"/>
              </w:rPr>
            </w:pPr>
            <w:r>
              <w:rPr>
                <w:rFonts w:ascii="宋体" w:hAnsi="宋体" w:cs="宋体" w:eastAsia="宋体" w:hint="default"/>
                <w:b/>
                <w:bCs/>
                <w:sz w:val="21"/>
                <w:szCs w:val="21"/>
              </w:rPr>
              <w:t>未分配利润</w:t>
            </w:r>
            <w:r>
              <w:rPr>
                <w:rFonts w:ascii="宋体" w:hAnsi="宋体" w:cs="宋体" w:eastAsia="宋体" w:hint="default"/>
                <w:sz w:val="21"/>
                <w:szCs w:val="21"/>
              </w:rPr>
            </w:r>
          </w:p>
        </w:tc>
        <w:tc>
          <w:tcPr>
            <w:tcW w:w="10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4" w:lineRule="exact"/>
              <w:ind w:right="2"/>
              <w:jc w:val="center"/>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1282"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3054" w:type="dxa"/>
            <w:vMerge/>
            <w:tcBorders>
              <w:left w:val="single" w:sz="4" w:space="0" w:color="000000"/>
              <w:right w:val="single" w:sz="4" w:space="0" w:color="000000"/>
            </w:tcBorders>
            <w:shd w:val="clear" w:color="auto" w:fill="D2D2D2"/>
          </w:tcPr>
          <w:p>
            <w:pPr/>
          </w:p>
        </w:tc>
        <w:tc>
          <w:tcPr>
            <w:tcW w:w="1396" w:type="dxa"/>
            <w:vMerge/>
            <w:tcBorders>
              <w:left w:val="single" w:sz="4" w:space="0" w:color="000000"/>
              <w:bottom w:val="nil" w:sz="6" w:space="0" w:color="auto"/>
              <w:right w:val="single" w:sz="4" w:space="0" w:color="000000"/>
            </w:tcBorders>
            <w:shd w:val="clear" w:color="auto" w:fill="D2D2D2"/>
          </w:tcPr>
          <w:p>
            <w:pPr/>
          </w:p>
        </w:tc>
        <w:tc>
          <w:tcPr>
            <w:tcW w:w="1385" w:type="dxa"/>
            <w:vMerge w:val="restart"/>
            <w:tcBorders>
              <w:top w:val="nil" w:sz="6" w:space="0" w:color="auto"/>
              <w:left w:val="single" w:sz="4" w:space="0" w:color="000000"/>
              <w:right w:val="single" w:sz="4" w:space="0" w:color="FFFFFF"/>
            </w:tcBorders>
            <w:shd w:val="clear" w:color="auto" w:fill="D2D2D2"/>
          </w:tcPr>
          <w:p>
            <w:pPr/>
          </w:p>
        </w:tc>
        <w:tc>
          <w:tcPr>
            <w:tcW w:w="602" w:type="dxa"/>
            <w:vMerge/>
            <w:tcBorders>
              <w:left w:val="single" w:sz="4" w:space="0" w:color="FFFFFF"/>
              <w:bottom w:val="nil" w:sz="6" w:space="0" w:color="auto"/>
              <w:right w:val="single" w:sz="4" w:space="0" w:color="000000"/>
            </w:tcBorders>
            <w:shd w:val="clear" w:color="auto" w:fill="D2D2D2"/>
          </w:tcPr>
          <w:p>
            <w:pPr/>
          </w:p>
        </w:tc>
        <w:tc>
          <w:tcPr>
            <w:tcW w:w="600" w:type="dxa"/>
            <w:vMerge/>
            <w:tcBorders>
              <w:left w:val="single" w:sz="4" w:space="0" w:color="000000"/>
              <w:bottom w:val="nil" w:sz="6" w:space="0" w:color="auto"/>
              <w:right w:val="single" w:sz="4" w:space="0" w:color="000000"/>
            </w:tcBorders>
            <w:shd w:val="clear" w:color="auto" w:fill="D2D2D2"/>
          </w:tcPr>
          <w:p>
            <w:pPr/>
          </w:p>
        </w:tc>
        <w:tc>
          <w:tcPr>
            <w:tcW w:w="1279" w:type="dxa"/>
            <w:vMerge w:val="restart"/>
            <w:tcBorders>
              <w:top w:val="nil" w:sz="6" w:space="0" w:color="auto"/>
              <w:left w:val="single" w:sz="4" w:space="0" w:color="000000"/>
              <w:right w:val="single" w:sz="4" w:space="0" w:color="000000"/>
            </w:tcBorders>
            <w:shd w:val="clear" w:color="auto" w:fill="D2D2D2"/>
          </w:tcPr>
          <w:p>
            <w:pPr/>
          </w:p>
        </w:tc>
        <w:tc>
          <w:tcPr>
            <w:tcW w:w="600" w:type="dxa"/>
            <w:vMerge/>
            <w:tcBorders>
              <w:left w:val="single" w:sz="4" w:space="0" w:color="000000"/>
              <w:right w:val="single" w:sz="4" w:space="0" w:color="000000"/>
            </w:tcBorders>
            <w:shd w:val="clear" w:color="auto" w:fill="D2D2D2"/>
          </w:tcPr>
          <w:p>
            <w:pPr/>
          </w:p>
        </w:tc>
        <w:tc>
          <w:tcPr>
            <w:tcW w:w="1385" w:type="dxa"/>
            <w:vMerge w:val="restart"/>
            <w:tcBorders>
              <w:top w:val="nil" w:sz="6" w:space="0" w:color="auto"/>
              <w:left w:val="single" w:sz="4" w:space="0" w:color="000000"/>
              <w:right w:val="single" w:sz="4" w:space="0" w:color="000000"/>
            </w:tcBorders>
            <w:shd w:val="clear" w:color="auto" w:fill="D2D2D2"/>
          </w:tcPr>
          <w:p>
            <w:pPr/>
          </w:p>
        </w:tc>
        <w:tc>
          <w:tcPr>
            <w:tcW w:w="1075" w:type="dxa"/>
            <w:vMerge w:val="restart"/>
            <w:tcBorders>
              <w:top w:val="nil" w:sz="6" w:space="0" w:color="auto"/>
              <w:left w:val="single" w:sz="4" w:space="0" w:color="000000"/>
              <w:right w:val="single" w:sz="4" w:space="0" w:color="000000"/>
            </w:tcBorders>
            <w:shd w:val="clear" w:color="auto" w:fill="D2D2D2"/>
          </w:tcPr>
          <w:p>
            <w:pPr/>
          </w:p>
        </w:tc>
        <w:tc>
          <w:tcPr>
            <w:tcW w:w="1282" w:type="dxa"/>
            <w:vMerge w:val="restart"/>
            <w:tcBorders>
              <w:top w:val="nil" w:sz="6" w:space="0" w:color="auto"/>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3054" w:type="dxa"/>
            <w:vMerge/>
            <w:tcBorders>
              <w:left w:val="single" w:sz="4" w:space="0" w:color="000000"/>
              <w:bottom w:val="single" w:sz="4" w:space="0" w:color="000000"/>
              <w:right w:val="single" w:sz="4" w:space="0" w:color="000000"/>
            </w:tcBorders>
            <w:shd w:val="clear" w:color="auto" w:fill="D2D2D2"/>
          </w:tcPr>
          <w:p>
            <w:pPr/>
          </w:p>
        </w:tc>
        <w:tc>
          <w:tcPr>
            <w:tcW w:w="1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FFFFFF"/>
            </w:tcBorders>
            <w:shd w:val="clear" w:color="auto" w:fill="D2D2D2"/>
          </w:tcPr>
          <w:p>
            <w:pPr/>
          </w:p>
        </w:tc>
        <w:tc>
          <w:tcPr>
            <w:tcW w:w="602" w:type="dxa"/>
            <w:tcBorders>
              <w:top w:val="nil" w:sz="6" w:space="0" w:color="auto"/>
              <w:left w:val="single" w:sz="4" w:space="0" w:color="FFFFFF"/>
              <w:bottom w:val="single" w:sz="4" w:space="0" w:color="000000"/>
              <w:right w:val="single" w:sz="4" w:space="0" w:color="000000"/>
            </w:tcBorders>
            <w:shd w:val="clear" w:color="auto" w:fill="D2D2D2"/>
          </w:tcPr>
          <w:p>
            <w:pPr/>
          </w:p>
        </w:tc>
        <w:tc>
          <w:tcPr>
            <w:tcW w:w="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9" w:type="dxa"/>
            <w:vMerge/>
            <w:tcBorders>
              <w:left w:val="single" w:sz="4" w:space="0" w:color="000000"/>
              <w:bottom w:val="single" w:sz="4" w:space="0" w:color="000000"/>
              <w:right w:val="single" w:sz="4" w:space="0" w:color="000000"/>
            </w:tcBorders>
            <w:shd w:val="clear" w:color="auto" w:fill="D2D2D2"/>
          </w:tcPr>
          <w:p>
            <w:pPr/>
          </w:p>
        </w:tc>
        <w:tc>
          <w:tcPr>
            <w:tcW w:w="600"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075" w:type="dxa"/>
            <w:vMerge/>
            <w:tcBorders>
              <w:left w:val="single" w:sz="4" w:space="0" w:color="000000"/>
              <w:bottom w:val="single" w:sz="4" w:space="0" w:color="000000"/>
              <w:right w:val="single" w:sz="4" w:space="0" w:color="000000"/>
            </w:tcBorders>
            <w:shd w:val="clear" w:color="auto" w:fill="D2D2D2"/>
          </w:tcPr>
          <w:p>
            <w:pPr/>
          </w:p>
        </w:tc>
        <w:tc>
          <w:tcPr>
            <w:tcW w:w="1282" w:type="dxa"/>
            <w:vMerge/>
            <w:tcBorders>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3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75,000,000.00</w:t>
            </w:r>
          </w:p>
        </w:tc>
        <w:tc>
          <w:tcPr>
            <w:tcW w:w="138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354,438,695.83</w:t>
            </w:r>
          </w:p>
        </w:tc>
        <w:tc>
          <w:tcPr>
            <w:tcW w:w="602" w:type="dxa"/>
            <w:tcBorders>
              <w:top w:val="single" w:sz="4" w:space="0" w:color="000000"/>
              <w:left w:val="single" w:sz="4" w:space="0" w:color="FFFFFF"/>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03" w:right="0"/>
              <w:jc w:val="center"/>
              <w:rPr>
                <w:rFonts w:ascii="Calibri" w:hAnsi="Calibri" w:cs="Calibri" w:eastAsia="Calibri" w:hint="default"/>
                <w:sz w:val="21"/>
                <w:szCs w:val="21"/>
              </w:rPr>
            </w:pPr>
            <w:r>
              <w:rPr>
                <w:rFonts w:ascii="Calibri"/>
                <w:sz w:val="21"/>
              </w:rPr>
              <w:t>9,517,200.44</w:t>
            </w: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34" w:right="0"/>
              <w:jc w:val="left"/>
              <w:rPr>
                <w:rFonts w:ascii="Calibri" w:hAnsi="Calibri" w:cs="Calibri" w:eastAsia="Calibri" w:hint="default"/>
                <w:sz w:val="21"/>
                <w:szCs w:val="21"/>
              </w:rPr>
            </w:pPr>
            <w:r>
              <w:rPr>
                <w:rFonts w:ascii="Calibri"/>
                <w:sz w:val="21"/>
              </w:rPr>
              <w:t>73,010,379.51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-482,710.27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 w:right="0"/>
              <w:jc w:val="left"/>
              <w:rPr>
                <w:rFonts w:ascii="Calibri" w:hAnsi="Calibri" w:cs="Calibri" w:eastAsia="Calibri" w:hint="default"/>
                <w:sz w:val="21"/>
                <w:szCs w:val="21"/>
              </w:rPr>
            </w:pPr>
            <w:r>
              <w:rPr>
                <w:rFonts w:ascii="Calibri"/>
                <w:sz w:val="21"/>
              </w:rPr>
              <w:t>20,296,921.64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531,780,487.15</w:t>
            </w:r>
          </w:p>
        </w:tc>
      </w:tr>
      <w:tr>
        <w:trPr>
          <w:trHeight w:val="634"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4" w:right="73" w:firstLine="422"/>
              <w:jc w:val="left"/>
              <w:rPr>
                <w:rFonts w:ascii="宋体" w:hAnsi="宋体" w:cs="宋体" w:eastAsia="宋体" w:hint="default"/>
                <w:sz w:val="21"/>
                <w:szCs w:val="21"/>
              </w:rPr>
            </w:pPr>
            <w:r>
              <w:rPr>
                <w:rFonts w:ascii="宋体" w:hAnsi="宋体" w:cs="宋体" w:eastAsia="宋体" w:hint="default"/>
                <w:spacing w:val="-2"/>
                <w:sz w:val="21"/>
                <w:szCs w:val="21"/>
              </w:rPr>
              <w:t>加：同一控制下企业合并产</w:t>
            </w:r>
            <w:r>
              <w:rPr>
                <w:rFonts w:ascii="宋体" w:hAnsi="宋体" w:cs="宋体" w:eastAsia="宋体" w:hint="default"/>
                <w:w w:val="100"/>
                <w:sz w:val="21"/>
                <w:szCs w:val="21"/>
              </w:rPr>
              <w:t> </w:t>
            </w:r>
            <w:r>
              <w:rPr>
                <w:rFonts w:ascii="宋体" w:hAnsi="宋体" w:cs="宋体" w:eastAsia="宋体" w:hint="default"/>
                <w:sz w:val="21"/>
                <w:szCs w:val="21"/>
              </w:rPr>
              <w:t>生的追溯调整</w:t>
            </w:r>
          </w:p>
        </w:tc>
        <w:tc>
          <w:tcPr>
            <w:tcW w:w="1396" w:type="dxa"/>
            <w:tcBorders>
              <w:top w:val="single" w:sz="4" w:space="0" w:color="000000"/>
              <w:left w:val="single" w:sz="12"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FFFFFF"/>
            </w:tcBorders>
          </w:tcPr>
          <w:p>
            <w:pPr/>
          </w:p>
        </w:tc>
        <w:tc>
          <w:tcPr>
            <w:tcW w:w="602" w:type="dxa"/>
            <w:tcBorders>
              <w:top w:val="single" w:sz="4" w:space="0" w:color="000000"/>
              <w:left w:val="single" w:sz="4" w:space="0" w:color="FFFFFF"/>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915"/>
              <w:jc w:val="right"/>
              <w:rPr>
                <w:rFonts w:ascii="宋体" w:hAnsi="宋体" w:cs="宋体" w:eastAsia="宋体" w:hint="default"/>
                <w:sz w:val="21"/>
                <w:szCs w:val="21"/>
              </w:rPr>
            </w:pPr>
            <w:r>
              <w:rPr>
                <w:rFonts w:ascii="宋体" w:hAnsi="宋体" w:cs="宋体" w:eastAsia="宋体" w:hint="default"/>
                <w:spacing w:val="-2"/>
                <w:sz w:val="21"/>
                <w:szCs w:val="21"/>
              </w:rPr>
              <w:t>加：会计政策变更</w:t>
            </w:r>
          </w:p>
        </w:tc>
        <w:tc>
          <w:tcPr>
            <w:tcW w:w="1396" w:type="dxa"/>
            <w:tcBorders>
              <w:top w:val="single" w:sz="4" w:space="0" w:color="000000"/>
              <w:left w:val="single" w:sz="12"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FFFFFF"/>
            </w:tcBorders>
          </w:tcPr>
          <w:p>
            <w:pPr/>
          </w:p>
        </w:tc>
        <w:tc>
          <w:tcPr>
            <w:tcW w:w="602" w:type="dxa"/>
            <w:tcBorders>
              <w:top w:val="single" w:sz="4" w:space="0" w:color="000000"/>
              <w:left w:val="single" w:sz="4" w:space="0" w:color="FFFFFF"/>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915"/>
              <w:jc w:val="right"/>
              <w:rPr>
                <w:rFonts w:ascii="宋体" w:hAnsi="宋体" w:cs="宋体" w:eastAsia="宋体" w:hint="default"/>
                <w:sz w:val="21"/>
                <w:szCs w:val="21"/>
              </w:rPr>
            </w:pPr>
            <w:r>
              <w:rPr>
                <w:rFonts w:ascii="宋体" w:hAnsi="宋体" w:cs="宋体" w:eastAsia="宋体" w:hint="default"/>
                <w:spacing w:val="-2"/>
                <w:sz w:val="21"/>
                <w:szCs w:val="21"/>
              </w:rPr>
              <w:t>前期差错更正</w:t>
            </w:r>
          </w:p>
        </w:tc>
        <w:tc>
          <w:tcPr>
            <w:tcW w:w="1396" w:type="dxa"/>
            <w:tcBorders>
              <w:top w:val="single" w:sz="4" w:space="0" w:color="000000"/>
              <w:left w:val="single" w:sz="12"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FFFFFF"/>
            </w:tcBorders>
          </w:tcPr>
          <w:p>
            <w:pPr/>
          </w:p>
        </w:tc>
        <w:tc>
          <w:tcPr>
            <w:tcW w:w="602" w:type="dxa"/>
            <w:tcBorders>
              <w:top w:val="single" w:sz="4" w:space="0" w:color="000000"/>
              <w:left w:val="single" w:sz="4" w:space="0" w:color="FFFFFF"/>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66"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396" w:type="dxa"/>
            <w:tcBorders>
              <w:top w:val="single" w:sz="4" w:space="0" w:color="000000"/>
              <w:left w:val="single" w:sz="12"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FFFFFF"/>
            </w:tcBorders>
          </w:tcPr>
          <w:p>
            <w:pPr/>
          </w:p>
        </w:tc>
        <w:tc>
          <w:tcPr>
            <w:tcW w:w="602" w:type="dxa"/>
            <w:tcBorders>
              <w:top w:val="single" w:sz="4" w:space="0" w:color="000000"/>
              <w:left w:val="single" w:sz="4" w:space="0" w:color="FFFFFF"/>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39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1"/>
                <w:sz w:val="21"/>
              </w:rPr>
              <w:t>75,000,000.00</w:t>
            </w:r>
          </w:p>
        </w:tc>
        <w:tc>
          <w:tcPr>
            <w:tcW w:w="1385"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30"/>
              <w:ind w:left="2" w:right="0"/>
              <w:jc w:val="center"/>
              <w:rPr>
                <w:rFonts w:ascii="Calibri" w:hAnsi="Calibri" w:cs="Calibri" w:eastAsia="Calibri" w:hint="default"/>
                <w:sz w:val="21"/>
                <w:szCs w:val="21"/>
              </w:rPr>
            </w:pPr>
            <w:r>
              <w:rPr>
                <w:rFonts w:ascii="Calibri"/>
                <w:sz w:val="21"/>
              </w:rPr>
              <w:t>354,438,695.83</w:t>
            </w:r>
          </w:p>
        </w:tc>
        <w:tc>
          <w:tcPr>
            <w:tcW w:w="602" w:type="dxa"/>
            <w:tcBorders>
              <w:top w:val="single" w:sz="4" w:space="0" w:color="000000"/>
              <w:left w:val="single" w:sz="4" w:space="0" w:color="FFFFFF"/>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center"/>
              <w:rPr>
                <w:rFonts w:ascii="Calibri" w:hAnsi="Calibri" w:cs="Calibri" w:eastAsia="Calibri" w:hint="default"/>
                <w:sz w:val="21"/>
                <w:szCs w:val="21"/>
              </w:rPr>
            </w:pPr>
            <w:r>
              <w:rPr>
                <w:rFonts w:ascii="Calibri"/>
                <w:sz w:val="21"/>
              </w:rPr>
              <w:t>9,517,200.44</w:t>
            </w: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34" w:right="0"/>
              <w:jc w:val="left"/>
              <w:rPr>
                <w:rFonts w:ascii="Calibri" w:hAnsi="Calibri" w:cs="Calibri" w:eastAsia="Calibri" w:hint="default"/>
                <w:sz w:val="21"/>
                <w:szCs w:val="21"/>
              </w:rPr>
            </w:pPr>
            <w:r>
              <w:rPr>
                <w:rFonts w:ascii="Calibri"/>
                <w:sz w:val="21"/>
              </w:rPr>
              <w:t>73,010,379.51</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Calibri" w:hAnsi="Calibri" w:cs="Calibri" w:eastAsia="Calibri" w:hint="default"/>
                <w:sz w:val="21"/>
                <w:szCs w:val="21"/>
              </w:rPr>
            </w:pPr>
            <w:r>
              <w:rPr>
                <w:rFonts w:ascii="Calibri"/>
                <w:sz w:val="21"/>
              </w:rPr>
              <w:t>-482,710.27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8" w:right="0"/>
              <w:jc w:val="left"/>
              <w:rPr>
                <w:rFonts w:ascii="Calibri" w:hAnsi="Calibri" w:cs="Calibri" w:eastAsia="Calibri" w:hint="default"/>
                <w:sz w:val="21"/>
                <w:szCs w:val="21"/>
              </w:rPr>
            </w:pPr>
            <w:r>
              <w:rPr>
                <w:rFonts w:ascii="Calibri"/>
                <w:sz w:val="21"/>
              </w:rPr>
              <w:t>20,296,921.64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sz w:val="21"/>
              </w:rPr>
              <w:t>531,780,487.15</w:t>
            </w:r>
          </w:p>
        </w:tc>
      </w:tr>
    </w:tbl>
    <w:p>
      <w:pPr>
        <w:spacing w:after="0" w:line="240" w:lineRule="auto"/>
        <w:jc w:val="center"/>
        <w:rPr>
          <w:rFonts w:ascii="Calibri" w:hAnsi="Calibri" w:cs="Calibri" w:eastAsia="Calibri" w:hint="default"/>
          <w:sz w:val="21"/>
          <w:szCs w:val="21"/>
        </w:rPr>
        <w:sectPr>
          <w:pgSz w:w="16840" w:h="11910" w:orient="landscape"/>
          <w:pgMar w:header="884" w:footer="1008" w:top="1160" w:bottom="1200" w:left="860" w:right="128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tbl>
      <w:tblPr>
        <w:tblW w:w="0" w:type="auto"/>
        <w:jc w:val="left"/>
        <w:tblInd w:w="536" w:type="dxa"/>
        <w:tblLayout w:type="fixed"/>
        <w:tblCellMar>
          <w:top w:w="0" w:type="dxa"/>
          <w:left w:w="0" w:type="dxa"/>
          <w:bottom w:w="0" w:type="dxa"/>
          <w:right w:w="0" w:type="dxa"/>
        </w:tblCellMar>
        <w:tblLook w:val="01E0"/>
      </w:tblPr>
      <w:tblGrid>
        <w:gridCol w:w="3053"/>
        <w:gridCol w:w="1385"/>
        <w:gridCol w:w="1385"/>
        <w:gridCol w:w="602"/>
        <w:gridCol w:w="600"/>
        <w:gridCol w:w="1279"/>
        <w:gridCol w:w="600"/>
        <w:gridCol w:w="1385"/>
        <w:gridCol w:w="1075"/>
        <w:gridCol w:w="1282"/>
        <w:gridCol w:w="1380"/>
      </w:tblGrid>
      <w:tr>
        <w:trPr>
          <w:trHeight w:val="634"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三、本期增减变动金额（减少以</w:t>
            </w:r>
          </w:p>
          <w:p>
            <w:pPr>
              <w:pStyle w:val="TableParagraph"/>
              <w:spacing w:line="240" w:lineRule="auto" w:before="37"/>
              <w:ind w:left="12"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45,000,000.00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-41,557,861.71</w:t>
            </w:r>
            <w:r>
              <w:rPr>
                <w:rFonts w:ascii="Calibri"/>
                <w:sz w:val="21"/>
              </w:rPr>
            </w: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4,177,933.37</w:t>
            </w: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27,583,155.09</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1" w:right="0"/>
              <w:jc w:val="left"/>
              <w:rPr>
                <w:rFonts w:ascii="Calibri" w:hAnsi="Calibri" w:cs="Calibri" w:eastAsia="Calibri" w:hint="default"/>
                <w:sz w:val="21"/>
                <w:szCs w:val="21"/>
              </w:rPr>
            </w:pPr>
            <w:r>
              <w:rPr>
                <w:rFonts w:ascii="Calibri"/>
                <w:sz w:val="21"/>
              </w:rPr>
              <w:t>-159,089.56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421,221.58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35,465,358.77</w:t>
            </w:r>
            <w:r>
              <w:rPr>
                <w:rFonts w:ascii="Calibri"/>
                <w:sz w:val="21"/>
              </w:rPr>
            </w: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46,761,088.46</w:t>
            </w: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512,326.98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47,273,415.44</w:t>
            </w: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181,760.00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Calibri" w:hAnsi="Calibri" w:cs="Calibri" w:eastAsia="Calibri" w:hint="default"/>
                <w:sz w:val="21"/>
                <w:szCs w:val="21"/>
              </w:rPr>
            </w:pPr>
            <w:r>
              <w:rPr>
                <w:rFonts w:ascii="Calibri"/>
                <w:sz w:val="21"/>
              </w:rPr>
              <w:t>-159,089.56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-91,105.40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-68,434.96</w:t>
            </w: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181,760.00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46,761,088.46</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Calibri" w:hAnsi="Calibri" w:cs="Calibri" w:eastAsia="Calibri" w:hint="default"/>
                <w:sz w:val="21"/>
                <w:szCs w:val="21"/>
              </w:rPr>
            </w:pPr>
            <w:r>
              <w:rPr>
                <w:rFonts w:ascii="Calibri"/>
                <w:sz w:val="21"/>
              </w:rPr>
              <w:t>-159,089.56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421,221.58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47,204,980.48</w:t>
            </w:r>
          </w:p>
        </w:tc>
      </w:tr>
      <w:tr>
        <w:trPr>
          <w:trHeight w:val="324"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3,260,378.29</w:t>
            </w: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3,260,378.29</w:t>
            </w: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．所有者投入资本</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12" w:right="17"/>
              <w:jc w:val="left"/>
              <w:rPr>
                <w:rFonts w:ascii="宋体" w:hAnsi="宋体" w:cs="宋体" w:eastAsia="宋体" w:hint="default"/>
                <w:sz w:val="21"/>
                <w:szCs w:val="21"/>
              </w:rPr>
            </w:pPr>
            <w:r>
              <w:rPr>
                <w:rFonts w:ascii="Calibri" w:hAnsi="Calibri" w:cs="Calibri" w:eastAsia="Calibri" w:hint="default"/>
                <w:spacing w:val="-4"/>
                <w:sz w:val="21"/>
                <w:szCs w:val="21"/>
              </w:rPr>
              <w:t>2</w:t>
            </w:r>
            <w:r>
              <w:rPr>
                <w:rFonts w:ascii="宋体" w:hAnsi="宋体" w:cs="宋体" w:eastAsia="宋体" w:hint="default"/>
                <w:spacing w:val="-4"/>
                <w:sz w:val="21"/>
                <w:szCs w:val="21"/>
              </w:rPr>
              <w:t>．股份支付计入所有者权益的金</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额</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8"/>
              <w:jc w:val="right"/>
              <w:rPr>
                <w:rFonts w:ascii="Calibri" w:hAnsi="Calibri" w:cs="Calibri" w:eastAsia="Calibri" w:hint="default"/>
                <w:sz w:val="21"/>
                <w:szCs w:val="21"/>
              </w:rPr>
            </w:pPr>
            <w:r>
              <w:rPr>
                <w:rFonts w:ascii="Calibri"/>
                <w:spacing w:val="-2"/>
                <w:sz w:val="21"/>
              </w:rPr>
              <w:t>2,984,678.29</w:t>
            </w: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2,984,678.29</w:t>
            </w: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．其他</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2"/>
                <w:sz w:val="21"/>
              </w:rPr>
              <w:t>275,700.00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275,700.00</w:t>
            </w: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4,177,933.37</w:t>
            </w: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-19,177,933.37</w:t>
            </w: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-15,000,000.00</w:t>
            </w: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．提取盈余公积</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4,177,933.37</w:t>
            </w: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-4,177,933.37</w:t>
            </w: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1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．提取一般风险准备</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．对所有者（或股东）的分配</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-15,000,000.00</w:t>
            </w: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-15,000,000.00</w:t>
            </w: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2"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．其他</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45,000,000.00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-45,000,000.00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3"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89" w:lineRule="exact"/>
              <w:ind w:left="12" w:right="-27"/>
              <w:jc w:val="left"/>
              <w:rPr>
                <w:rFonts w:ascii="宋体" w:hAnsi="宋体" w:cs="宋体" w:eastAsia="宋体" w:hint="default"/>
                <w:sz w:val="21"/>
                <w:szCs w:val="21"/>
              </w:rPr>
            </w:pPr>
            <w:r>
              <w:rPr>
                <w:rFonts w:ascii="Calibri" w:hAnsi="Calibri" w:cs="Calibri" w:eastAsia="Calibri" w:hint="default"/>
                <w:spacing w:val="-2"/>
                <w:sz w:val="21"/>
                <w:szCs w:val="21"/>
              </w:rPr>
              <w:t>1</w:t>
            </w:r>
            <w:r>
              <w:rPr>
                <w:rFonts w:ascii="宋体" w:hAnsi="宋体" w:cs="宋体" w:eastAsia="宋体" w:hint="default"/>
                <w:spacing w:val="-2"/>
                <w:sz w:val="21"/>
                <w:szCs w:val="21"/>
              </w:rPr>
              <w:t>．资本公积转增资本（或股本）</w:t>
            </w:r>
          </w:p>
        </w:tc>
        <w:tc>
          <w:tcPr>
            <w:tcW w:w="138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45,000,000.00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1"/>
                <w:sz w:val="21"/>
              </w:rPr>
              <w:t>-45,000,000.00</w:t>
            </w: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3"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89" w:lineRule="exact"/>
              <w:ind w:left="12" w:right="-27"/>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．盈余公积转增资本（或股本）</w:t>
            </w:r>
          </w:p>
        </w:tc>
        <w:tc>
          <w:tcPr>
            <w:tcW w:w="1385" w:type="dxa"/>
            <w:tcBorders>
              <w:top w:val="single" w:sz="4" w:space="0" w:color="000000"/>
              <w:left w:val="single" w:sz="10" w:space="0" w:color="FFFFFF"/>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1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．盈余公积弥补亏损</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．其他</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．本期提取</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．本期使用</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075"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Calibri" w:hAnsi="Calibri" w:cs="Calibri" w:eastAsia="Calibri" w:hint="default"/>
                <w:sz w:val="21"/>
                <w:szCs w:val="21"/>
              </w:rPr>
            </w:pPr>
            <w:r>
              <w:rPr>
                <w:rFonts w:ascii="Calibri"/>
                <w:spacing w:val="-2"/>
                <w:sz w:val="21"/>
              </w:rPr>
              <w:t>120,000,000.00</w:t>
            </w:r>
            <w:r>
              <w:rPr>
                <w:rFonts w:ascii="Calibri"/>
                <w:sz w:val="2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312,880,834.12</w:t>
            </w:r>
          </w:p>
        </w:tc>
        <w:tc>
          <w:tcPr>
            <w:tcW w:w="60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
              <w:jc w:val="right"/>
              <w:rPr>
                <w:rFonts w:ascii="Calibri" w:hAnsi="Calibri" w:cs="Calibri" w:eastAsia="Calibri" w:hint="default"/>
                <w:sz w:val="21"/>
                <w:szCs w:val="21"/>
              </w:rPr>
            </w:pPr>
            <w:r>
              <w:rPr>
                <w:rFonts w:ascii="Calibri"/>
                <w:spacing w:val="-2"/>
                <w:sz w:val="21"/>
              </w:rPr>
              <w:t>13,695,133.81</w:t>
            </w:r>
          </w:p>
        </w:tc>
        <w:tc>
          <w:tcPr>
            <w:tcW w:w="60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
              <w:jc w:val="right"/>
              <w:rPr>
                <w:rFonts w:ascii="Calibri" w:hAnsi="Calibri" w:cs="Calibri" w:eastAsia="Calibri" w:hint="default"/>
                <w:sz w:val="21"/>
                <w:szCs w:val="21"/>
              </w:rPr>
            </w:pPr>
            <w:r>
              <w:rPr>
                <w:rFonts w:ascii="Calibri"/>
                <w:spacing w:val="-2"/>
                <w:sz w:val="21"/>
              </w:rPr>
              <w:t>100,593,534.60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1" w:right="0"/>
              <w:jc w:val="left"/>
              <w:rPr>
                <w:rFonts w:ascii="Calibri" w:hAnsi="Calibri" w:cs="Calibri" w:eastAsia="Calibri" w:hint="default"/>
                <w:sz w:val="21"/>
                <w:szCs w:val="21"/>
              </w:rPr>
            </w:pPr>
            <w:r>
              <w:rPr>
                <w:rFonts w:ascii="Calibri"/>
                <w:sz w:val="21"/>
              </w:rPr>
              <w:t>-641,799.83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1"/>
                <w:sz w:val="21"/>
              </w:rPr>
              <w:t>20,718,143.22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567,245,845.92</w:t>
            </w:r>
          </w:p>
        </w:tc>
      </w:tr>
    </w:tbl>
    <w:p>
      <w:pPr>
        <w:tabs>
          <w:tab w:pos="6144" w:val="left" w:leader="none"/>
          <w:tab w:pos="11943" w:val="left" w:leader="none"/>
        </w:tabs>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法定代表人：钟耳顺</w:t>
        <w:tab/>
      </w:r>
      <w:r>
        <w:rPr>
          <w:rFonts w:ascii="宋体" w:hAnsi="宋体" w:cs="宋体" w:eastAsia="宋体" w:hint="default"/>
          <w:b/>
          <w:bCs/>
          <w:spacing w:val="-1"/>
          <w:sz w:val="21"/>
          <w:szCs w:val="21"/>
        </w:rPr>
        <w:t>主管会计工作负责人：鹿麒</w:t>
        <w:tab/>
        <w:t>会计机构负责人：鹿麒</w:t>
      </w:r>
      <w:r>
        <w:rPr>
          <w:rFonts w:ascii="宋体" w:hAnsi="宋体" w:cs="宋体" w:eastAsia="宋体" w:hint="default"/>
          <w:spacing w:val="-1"/>
          <w:sz w:val="21"/>
          <w:szCs w:val="21"/>
        </w:rPr>
      </w:r>
    </w:p>
    <w:p>
      <w:pPr>
        <w:spacing w:after="0" w:line="262" w:lineRule="exact"/>
        <w:jc w:val="left"/>
        <w:rPr>
          <w:rFonts w:ascii="宋体" w:hAnsi="宋体" w:cs="宋体" w:eastAsia="宋体" w:hint="default"/>
          <w:sz w:val="21"/>
          <w:szCs w:val="21"/>
        </w:rPr>
        <w:sectPr>
          <w:footerReference w:type="default" r:id="rId39"/>
          <w:pgSz w:w="16840" w:h="11910" w:orient="landscape"/>
          <w:pgMar w:footer="1008" w:header="884" w:top="1160" w:bottom="1200" w:left="860" w:right="1280"/>
        </w:sect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3"/>
          <w:szCs w:val="23"/>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、母公司所有者权益变动表</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编制单位：北京超图软件股份有限公司</w:t>
      </w:r>
      <w:r>
        <w:rPr>
          <w:rFonts w:ascii="宋体" w:hAnsi="宋体" w:cs="宋体" w:eastAsia="宋体" w:hint="default"/>
          <w:sz w:val="21"/>
          <w:szCs w:val="21"/>
        </w:rPr>
      </w:r>
    </w:p>
    <w:p>
      <w:pPr>
        <w:tabs>
          <w:tab w:pos="13522" w:val="left" w:leader="none"/>
        </w:tabs>
        <w:spacing w:before="37"/>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本期金额</w:t>
        <w:tab/>
        <w:t>单位：元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536" w:type="dxa"/>
        <w:tblLayout w:type="fixed"/>
        <w:tblCellMar>
          <w:top w:w="0" w:type="dxa"/>
          <w:left w:w="0" w:type="dxa"/>
          <w:bottom w:w="0" w:type="dxa"/>
          <w:right w:w="0" w:type="dxa"/>
        </w:tblCellMar>
        <w:tblLook w:val="01E0"/>
      </w:tblPr>
      <w:tblGrid>
        <w:gridCol w:w="3543"/>
        <w:gridCol w:w="1397"/>
        <w:gridCol w:w="1385"/>
        <w:gridCol w:w="1234"/>
        <w:gridCol w:w="1234"/>
        <w:gridCol w:w="1277"/>
        <w:gridCol w:w="1190"/>
        <w:gridCol w:w="1385"/>
        <w:gridCol w:w="1383"/>
      </w:tblGrid>
      <w:tr>
        <w:trPr>
          <w:trHeight w:val="323" w:hRule="exact"/>
        </w:trPr>
        <w:tc>
          <w:tcPr>
            <w:tcW w:w="35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3"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r>
      <w:tr>
        <w:trPr>
          <w:trHeight w:val="162" w:hRule="exact"/>
        </w:trPr>
        <w:tc>
          <w:tcPr>
            <w:tcW w:w="3543" w:type="dxa"/>
            <w:vMerge w:val="restart"/>
            <w:tcBorders>
              <w:top w:val="nil" w:sz="6" w:space="0" w:color="auto"/>
              <w:left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381" w:right="50" w:hanging="315"/>
              <w:jc w:val="left"/>
              <w:rPr>
                <w:rFonts w:ascii="宋体" w:hAnsi="宋体" w:cs="宋体" w:eastAsia="宋体" w:hint="default"/>
                <w:sz w:val="21"/>
                <w:szCs w:val="21"/>
              </w:rPr>
            </w:pPr>
            <w:r>
              <w:rPr>
                <w:rFonts w:ascii="宋体" w:hAnsi="宋体" w:cs="宋体" w:eastAsia="宋体" w:hint="default"/>
                <w:b/>
                <w:bCs/>
                <w:sz w:val="21"/>
                <w:szCs w:val="21"/>
              </w:rPr>
              <w:t>实收资本（或</w:t>
            </w:r>
            <w:r>
              <w:rPr>
                <w:rFonts w:ascii="宋体" w:hAnsi="宋体" w:cs="宋体" w:eastAsia="宋体" w:hint="default"/>
                <w:b/>
                <w:bCs/>
                <w:spacing w:val="-104"/>
                <w:sz w:val="21"/>
                <w:szCs w:val="21"/>
              </w:rPr>
              <w:t> </w:t>
            </w:r>
            <w:r>
              <w:rPr>
                <w:rFonts w:ascii="宋体" w:hAnsi="宋体" w:cs="宋体" w:eastAsia="宋体" w:hint="default"/>
                <w:b/>
                <w:bCs/>
                <w:sz w:val="21"/>
                <w:szCs w:val="21"/>
              </w:rPr>
              <w:t>股本）</w:t>
            </w:r>
            <w:r>
              <w:rPr>
                <w:rFonts w:ascii="宋体" w:hAnsi="宋体" w:cs="宋体" w:eastAsia="宋体" w:hint="default"/>
                <w:sz w:val="21"/>
                <w:szCs w:val="21"/>
              </w:rPr>
            </w:r>
          </w:p>
        </w:tc>
        <w:tc>
          <w:tcPr>
            <w:tcW w:w="13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484" w:right="60" w:hanging="423"/>
              <w:jc w:val="left"/>
              <w:rPr>
                <w:rFonts w:ascii="宋体" w:hAnsi="宋体" w:cs="宋体" w:eastAsia="宋体" w:hint="default"/>
                <w:sz w:val="21"/>
                <w:szCs w:val="21"/>
              </w:rPr>
            </w:pPr>
            <w:r>
              <w:rPr>
                <w:rFonts w:ascii="宋体" w:hAnsi="宋体" w:cs="宋体" w:eastAsia="宋体" w:hint="default"/>
                <w:b/>
                <w:bCs/>
                <w:sz w:val="21"/>
                <w:szCs w:val="21"/>
              </w:rPr>
              <w:t>一般风险准</w:t>
            </w:r>
            <w:r>
              <w:rPr>
                <w:rFonts w:ascii="宋体" w:hAnsi="宋体" w:cs="宋体" w:eastAsia="宋体" w:hint="default"/>
                <w:b/>
                <w:bCs/>
                <w:w w:val="100"/>
                <w:sz w:val="21"/>
                <w:szCs w:val="21"/>
              </w:rPr>
              <w:t> </w:t>
            </w:r>
            <w:r>
              <w:rPr>
                <w:rFonts w:ascii="宋体" w:hAnsi="宋体" w:cs="宋体" w:eastAsia="宋体" w:hint="default"/>
                <w:b/>
                <w:bCs/>
                <w:sz w:val="21"/>
                <w:szCs w:val="21"/>
              </w:rPr>
              <w:t>备</w:t>
            </w:r>
            <w:r>
              <w:rPr>
                <w:rFonts w:ascii="宋体" w:hAnsi="宋体" w:cs="宋体" w:eastAsia="宋体" w:hint="default"/>
                <w:sz w:val="21"/>
                <w:szCs w:val="21"/>
              </w:rPr>
            </w:r>
          </w:p>
        </w:tc>
        <w:tc>
          <w:tcPr>
            <w:tcW w:w="13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578" w:right="51" w:hanging="526"/>
              <w:jc w:val="left"/>
              <w:rPr>
                <w:rFonts w:ascii="宋体" w:hAnsi="宋体" w:cs="宋体" w:eastAsia="宋体" w:hint="default"/>
                <w:sz w:val="21"/>
                <w:szCs w:val="21"/>
              </w:rPr>
            </w:pPr>
            <w:r>
              <w:rPr>
                <w:rFonts w:ascii="宋体" w:hAnsi="宋体" w:cs="宋体" w:eastAsia="宋体" w:hint="default"/>
                <w:b/>
                <w:bCs/>
                <w:sz w:val="21"/>
                <w:szCs w:val="21"/>
              </w:rPr>
              <w:t>所有者权益合</w:t>
            </w:r>
            <w:r>
              <w:rPr>
                <w:rFonts w:ascii="宋体" w:hAnsi="宋体" w:cs="宋体" w:eastAsia="宋体" w:hint="default"/>
                <w:b/>
                <w:bCs/>
                <w:spacing w:val="-104"/>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r>
      <w:tr>
        <w:trPr>
          <w:trHeight w:val="151" w:hRule="exact"/>
        </w:trPr>
        <w:tc>
          <w:tcPr>
            <w:tcW w:w="3543" w:type="dxa"/>
            <w:vMerge/>
            <w:tcBorders>
              <w:left w:val="single" w:sz="4" w:space="0" w:color="000000"/>
              <w:bottom w:val="nil" w:sz="6" w:space="0" w:color="auto"/>
              <w:right w:val="single" w:sz="4" w:space="0" w:color="000000"/>
            </w:tcBorders>
            <w:shd w:val="clear" w:color="auto" w:fill="D2D2D2"/>
          </w:tcPr>
          <w:p>
            <w:pPr/>
          </w:p>
        </w:tc>
        <w:tc>
          <w:tcPr>
            <w:tcW w:w="1397" w:type="dxa"/>
            <w:vMerge/>
            <w:tcBorders>
              <w:left w:val="single" w:sz="4" w:space="0" w:color="000000"/>
              <w:right w:val="single" w:sz="4" w:space="0" w:color="000000"/>
            </w:tcBorders>
            <w:shd w:val="clear" w:color="auto" w:fill="D2D2D2"/>
          </w:tcPr>
          <w:p>
            <w:pPr/>
          </w:p>
        </w:tc>
        <w:tc>
          <w:tcPr>
            <w:tcW w:w="1385"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资本公积</w:t>
            </w:r>
            <w:r>
              <w:rPr>
                <w:rFonts w:ascii="宋体" w:hAnsi="宋体" w:cs="宋体" w:eastAsia="宋体" w:hint="default"/>
                <w:sz w:val="21"/>
                <w:szCs w:val="21"/>
              </w:rPr>
            </w:r>
          </w:p>
        </w:tc>
        <w:tc>
          <w:tcPr>
            <w:tcW w:w="1234"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81" w:right="0"/>
              <w:jc w:val="left"/>
              <w:rPr>
                <w:rFonts w:ascii="宋体" w:hAnsi="宋体" w:cs="宋体" w:eastAsia="宋体" w:hint="default"/>
                <w:sz w:val="21"/>
                <w:szCs w:val="21"/>
              </w:rPr>
            </w:pPr>
            <w:r>
              <w:rPr>
                <w:rFonts w:ascii="宋体" w:hAnsi="宋体" w:cs="宋体" w:eastAsia="宋体" w:hint="default"/>
                <w:b/>
                <w:bCs/>
                <w:sz w:val="21"/>
                <w:szCs w:val="21"/>
              </w:rPr>
              <w:t>减：库存股</w:t>
            </w:r>
            <w:r>
              <w:rPr>
                <w:rFonts w:ascii="宋体" w:hAnsi="宋体" w:cs="宋体" w:eastAsia="宋体" w:hint="default"/>
                <w:sz w:val="21"/>
                <w:szCs w:val="21"/>
              </w:rPr>
            </w:r>
          </w:p>
        </w:tc>
        <w:tc>
          <w:tcPr>
            <w:tcW w:w="1234"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189" w:right="0"/>
              <w:jc w:val="left"/>
              <w:rPr>
                <w:rFonts w:ascii="宋体" w:hAnsi="宋体" w:cs="宋体" w:eastAsia="宋体" w:hint="default"/>
                <w:sz w:val="21"/>
                <w:szCs w:val="21"/>
              </w:rPr>
            </w:pPr>
            <w:r>
              <w:rPr>
                <w:rFonts w:ascii="宋体" w:hAnsi="宋体" w:cs="宋体" w:eastAsia="宋体" w:hint="default"/>
                <w:b/>
                <w:bCs/>
                <w:sz w:val="21"/>
                <w:szCs w:val="21"/>
              </w:rPr>
              <w:t>专项储备</w:t>
            </w:r>
            <w:r>
              <w:rPr>
                <w:rFonts w:ascii="宋体" w:hAnsi="宋体" w:cs="宋体" w:eastAsia="宋体" w:hint="default"/>
                <w:sz w:val="21"/>
                <w:szCs w:val="21"/>
              </w:rPr>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11" w:right="0"/>
              <w:jc w:val="left"/>
              <w:rPr>
                <w:rFonts w:ascii="宋体" w:hAnsi="宋体" w:cs="宋体" w:eastAsia="宋体" w:hint="default"/>
                <w:sz w:val="21"/>
                <w:szCs w:val="21"/>
              </w:rPr>
            </w:pPr>
            <w:r>
              <w:rPr>
                <w:rFonts w:ascii="宋体" w:hAnsi="宋体" w:cs="宋体" w:eastAsia="宋体" w:hint="default"/>
                <w:b/>
                <w:bCs/>
                <w:sz w:val="21"/>
                <w:szCs w:val="21"/>
              </w:rPr>
              <w:t>盈余公积</w:t>
            </w:r>
            <w:r>
              <w:rPr>
                <w:rFonts w:ascii="宋体" w:hAnsi="宋体" w:cs="宋体" w:eastAsia="宋体" w:hint="default"/>
                <w:sz w:val="21"/>
                <w:szCs w:val="21"/>
              </w:rPr>
            </w:r>
          </w:p>
        </w:tc>
        <w:tc>
          <w:tcPr>
            <w:tcW w:w="1190" w:type="dxa"/>
            <w:vMerge/>
            <w:tcBorders>
              <w:left w:val="single" w:sz="4" w:space="0" w:color="000000"/>
              <w:right w:val="single" w:sz="4" w:space="0" w:color="000000"/>
            </w:tcBorders>
            <w:shd w:val="clear" w:color="auto" w:fill="D2D2D2"/>
          </w:tcPr>
          <w:p>
            <w:pPr/>
          </w:p>
        </w:tc>
        <w:tc>
          <w:tcPr>
            <w:tcW w:w="1385"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160" w:right="0"/>
              <w:jc w:val="left"/>
              <w:rPr>
                <w:rFonts w:ascii="宋体" w:hAnsi="宋体" w:cs="宋体" w:eastAsia="宋体" w:hint="default"/>
                <w:sz w:val="21"/>
                <w:szCs w:val="21"/>
              </w:rPr>
            </w:pPr>
            <w:r>
              <w:rPr>
                <w:rFonts w:ascii="宋体" w:hAnsi="宋体" w:cs="宋体" w:eastAsia="宋体" w:hint="default"/>
                <w:b/>
                <w:bCs/>
                <w:sz w:val="21"/>
                <w:szCs w:val="21"/>
              </w:rPr>
              <w:t>未分配利润</w:t>
            </w:r>
            <w:r>
              <w:rPr>
                <w:rFonts w:ascii="宋体" w:hAnsi="宋体" w:cs="宋体" w:eastAsia="宋体" w:hint="default"/>
                <w:sz w:val="21"/>
                <w:szCs w:val="21"/>
              </w:rPr>
            </w:r>
          </w:p>
        </w:tc>
        <w:tc>
          <w:tcPr>
            <w:tcW w:w="1383" w:type="dxa"/>
            <w:vMerge/>
            <w:tcBorders>
              <w:left w:val="single" w:sz="4" w:space="0" w:color="000000"/>
              <w:right w:val="single" w:sz="4" w:space="0" w:color="000000"/>
            </w:tcBorders>
            <w:shd w:val="clear" w:color="auto" w:fill="D2D2D2"/>
          </w:tcPr>
          <w:p>
            <w:pPr/>
          </w:p>
        </w:tc>
      </w:tr>
      <w:tr>
        <w:trPr>
          <w:trHeight w:val="161" w:hRule="exact"/>
        </w:trPr>
        <w:tc>
          <w:tcPr>
            <w:tcW w:w="3543" w:type="dxa"/>
            <w:vMerge w:val="restart"/>
            <w:tcBorders>
              <w:top w:val="nil" w:sz="6" w:space="0" w:color="auto"/>
              <w:left w:val="single" w:sz="4" w:space="0" w:color="000000"/>
              <w:right w:val="single" w:sz="4" w:space="0" w:color="000000"/>
            </w:tcBorders>
            <w:shd w:val="clear" w:color="auto" w:fill="D2D2D2"/>
          </w:tcPr>
          <w:p>
            <w:pPr/>
          </w:p>
        </w:tc>
        <w:tc>
          <w:tcPr>
            <w:tcW w:w="1397" w:type="dxa"/>
            <w:vMerge/>
            <w:tcBorders>
              <w:left w:val="single" w:sz="4" w:space="0" w:color="000000"/>
              <w:right w:val="single" w:sz="4" w:space="0" w:color="000000"/>
            </w:tcBorders>
            <w:shd w:val="clear" w:color="auto" w:fill="D2D2D2"/>
          </w:tcPr>
          <w:p>
            <w:pPr/>
          </w:p>
        </w:tc>
        <w:tc>
          <w:tcPr>
            <w:tcW w:w="1385" w:type="dxa"/>
            <w:vMerge/>
            <w:tcBorders>
              <w:left w:val="single" w:sz="4" w:space="0" w:color="000000"/>
              <w:bottom w:val="nil" w:sz="6" w:space="0" w:color="auto"/>
              <w:right w:val="single" w:sz="4" w:space="0" w:color="000000"/>
            </w:tcBorders>
            <w:shd w:val="clear" w:color="auto" w:fill="D2D2D2"/>
          </w:tcPr>
          <w:p>
            <w:pPr/>
          </w:p>
        </w:tc>
        <w:tc>
          <w:tcPr>
            <w:tcW w:w="1234" w:type="dxa"/>
            <w:vMerge/>
            <w:tcBorders>
              <w:left w:val="single" w:sz="4" w:space="0" w:color="000000"/>
              <w:bottom w:val="nil" w:sz="6" w:space="0" w:color="auto"/>
              <w:right w:val="single" w:sz="4" w:space="0" w:color="000000"/>
            </w:tcBorders>
            <w:shd w:val="clear" w:color="auto" w:fill="D2D2D2"/>
          </w:tcPr>
          <w:p>
            <w:pPr/>
          </w:p>
        </w:tc>
        <w:tc>
          <w:tcPr>
            <w:tcW w:w="1234"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190" w:type="dxa"/>
            <w:vMerge/>
            <w:tcBorders>
              <w:left w:val="single" w:sz="4" w:space="0" w:color="000000"/>
              <w:right w:val="single" w:sz="4" w:space="0" w:color="000000"/>
            </w:tcBorders>
            <w:shd w:val="clear" w:color="auto" w:fill="D2D2D2"/>
          </w:tcPr>
          <w:p>
            <w:pPr/>
          </w:p>
        </w:tc>
        <w:tc>
          <w:tcPr>
            <w:tcW w:w="1385" w:type="dxa"/>
            <w:vMerge/>
            <w:tcBorders>
              <w:left w:val="single" w:sz="4" w:space="0" w:color="000000"/>
              <w:bottom w:val="nil" w:sz="6" w:space="0" w:color="auto"/>
              <w:right w:val="single" w:sz="4" w:space="0" w:color="000000"/>
            </w:tcBorders>
            <w:shd w:val="clear" w:color="auto" w:fill="D2D2D2"/>
          </w:tcPr>
          <w:p>
            <w:pPr/>
          </w:p>
        </w:tc>
        <w:tc>
          <w:tcPr>
            <w:tcW w:w="1383" w:type="dxa"/>
            <w:vMerge/>
            <w:tcBorders>
              <w:left w:val="single" w:sz="4" w:space="0" w:color="000000"/>
              <w:right w:val="single" w:sz="4" w:space="0" w:color="000000"/>
            </w:tcBorders>
            <w:shd w:val="clear" w:color="auto" w:fill="D2D2D2"/>
          </w:tcPr>
          <w:p>
            <w:pPr/>
          </w:p>
        </w:tc>
      </w:tr>
      <w:tr>
        <w:trPr>
          <w:trHeight w:val="161" w:hRule="exact"/>
        </w:trPr>
        <w:tc>
          <w:tcPr>
            <w:tcW w:w="3543"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3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0" w:type="dxa"/>
            <w:vMerge/>
            <w:tcBorders>
              <w:left w:val="single" w:sz="4" w:space="0" w:color="000000"/>
              <w:bottom w:val="single" w:sz="4" w:space="0" w:color="000000"/>
              <w:right w:val="single" w:sz="4" w:space="0" w:color="000000"/>
            </w:tcBorders>
            <w:shd w:val="clear" w:color="auto" w:fill="D2D2D2"/>
          </w:tcPr>
          <w:p>
            <w:pPr/>
          </w:p>
        </w:tc>
        <w:tc>
          <w:tcPr>
            <w:tcW w:w="13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3"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120,000,000.00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312,880,834.12</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13,695,133.81</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93,256,204.31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539,832,172.24</w:t>
            </w:r>
          </w:p>
        </w:tc>
      </w:tr>
      <w:tr>
        <w:trPr>
          <w:trHeight w:val="32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3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120,000,000.00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312,880,834.12</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13,695,133.81</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93,256,204.31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539,832,172.24</w:t>
            </w:r>
          </w:p>
        </w:tc>
      </w:tr>
      <w:tr>
        <w:trPr>
          <w:trHeight w:val="636"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12" w:right="5"/>
              <w:jc w:val="left"/>
              <w:rPr>
                <w:rFonts w:ascii="宋体" w:hAnsi="宋体" w:cs="宋体" w:eastAsia="宋体" w:hint="default"/>
                <w:sz w:val="21"/>
                <w:szCs w:val="21"/>
              </w:rPr>
            </w:pPr>
            <w:r>
              <w:rPr>
                <w:rFonts w:ascii="宋体" w:hAnsi="宋体" w:cs="宋体" w:eastAsia="宋体" w:hint="default"/>
                <w:spacing w:val="-3"/>
                <w:sz w:val="21"/>
                <w:szCs w:val="21"/>
              </w:rPr>
              <w:t>三、本期增减变动金额（减少以</w:t>
            </w:r>
            <w:r>
              <w:rPr>
                <w:rFonts w:ascii="Calibri" w:hAnsi="Calibri" w:cs="Calibri" w:eastAsia="Calibri" w:hint="default"/>
                <w:spacing w:val="-3"/>
                <w:sz w:val="21"/>
                <w:szCs w:val="21"/>
              </w:rPr>
              <w:t>“</w:t>
            </w:r>
            <w:r>
              <w:rPr>
                <w:rFonts w:ascii="宋体" w:hAnsi="宋体" w:cs="宋体" w:eastAsia="宋体" w:hint="default"/>
                <w:spacing w:val="-3"/>
                <w:sz w:val="21"/>
                <w:szCs w:val="21"/>
              </w:rPr>
              <w:t>－</w:t>
            </w:r>
            <w:r>
              <w:rPr>
                <w:rFonts w:ascii="Calibri" w:hAnsi="Calibri" w:cs="Calibri" w:eastAsia="Calibri" w:hint="default"/>
                <w:spacing w:val="-3"/>
                <w:sz w:val="21"/>
                <w:szCs w:val="21"/>
              </w:rPr>
              <w:t>”</w:t>
            </w:r>
            <w:r>
              <w:rPr>
                <w:rFonts w:ascii="宋体" w:hAnsi="宋体" w:cs="宋体" w:eastAsia="宋体" w:hint="default"/>
                <w:spacing w:val="-3"/>
                <w:sz w:val="21"/>
                <w:szCs w:val="21"/>
              </w:rPr>
              <w:t>号</w:t>
            </w:r>
            <w:r>
              <w:rPr>
                <w:rFonts w:ascii="宋体" w:hAnsi="宋体" w:cs="宋体" w:eastAsia="宋体" w:hint="default"/>
                <w:spacing w:val="-79"/>
                <w:sz w:val="21"/>
                <w:szCs w:val="21"/>
              </w:rPr>
              <w:t> </w:t>
            </w:r>
            <w:r>
              <w:rPr>
                <w:rFonts w:ascii="宋体" w:hAnsi="宋体" w:cs="宋体" w:eastAsia="宋体" w:hint="default"/>
                <w:sz w:val="21"/>
                <w:szCs w:val="21"/>
              </w:rPr>
              <w:t>填列）</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11,384,210.11</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904,355.69</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8,139,201.22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3"/>
                <w:sz w:val="21"/>
              </w:rPr>
              <w:t>20,427,767.02</w:t>
            </w:r>
          </w:p>
        </w:tc>
      </w:tr>
      <w:tr>
        <w:trPr>
          <w:trHeight w:val="32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9,043,556.91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9,043,556.91</w:t>
            </w:r>
          </w:p>
        </w:tc>
      </w:tr>
      <w:tr>
        <w:trPr>
          <w:trHeight w:val="32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-290,880.00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-290,880.00</w:t>
            </w:r>
          </w:p>
        </w:tc>
      </w:tr>
      <w:tr>
        <w:trPr>
          <w:trHeight w:val="32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-290,880.00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9,043,556.91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8,752,676.91</w:t>
            </w:r>
          </w:p>
        </w:tc>
      </w:tr>
      <w:tr>
        <w:trPr>
          <w:trHeight w:val="32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11,675,090.11</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11,675,090.11</w:t>
            </w:r>
          </w:p>
        </w:tc>
      </w:tr>
      <w:tr>
        <w:trPr>
          <w:trHeight w:val="32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．所有者投入资本</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1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．股份支付计入所有者权益的金额</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9,675,090.11</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9,675,090.11</w:t>
            </w:r>
          </w:p>
        </w:tc>
      </w:tr>
      <w:tr>
        <w:trPr>
          <w:trHeight w:val="32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．其他</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2,000,000.00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1"/>
                <w:sz w:val="21"/>
              </w:rPr>
              <w:t>2,000,000.00</w:t>
            </w:r>
          </w:p>
        </w:tc>
      </w:tr>
      <w:tr>
        <w:trPr>
          <w:trHeight w:val="32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904,355.69</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-904,355.69</w:t>
            </w: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．提取盈余公积</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904,355.69</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-904,355.69</w:t>
            </w: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．提取一般风险准备</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．对所有者（或股东）的分配</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12"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．其他</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397" w:type="dxa"/>
            <w:tcBorders>
              <w:top w:val="single" w:sz="4" w:space="0" w:color="000000"/>
              <w:left w:val="single" w:sz="13"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40"/>
          <w:pgSz w:w="16840" w:h="11910" w:orient="landscape"/>
          <w:pgMar w:footer="1008" w:header="884" w:top="1160" w:bottom="1200" w:left="860" w:right="1280"/>
          <w:pgNumType w:start="91"/>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tbl>
      <w:tblPr>
        <w:tblW w:w="0" w:type="auto"/>
        <w:jc w:val="left"/>
        <w:tblInd w:w="536" w:type="dxa"/>
        <w:tblLayout w:type="fixed"/>
        <w:tblCellMar>
          <w:top w:w="0" w:type="dxa"/>
          <w:left w:w="0" w:type="dxa"/>
          <w:bottom w:w="0" w:type="dxa"/>
          <w:right w:w="0" w:type="dxa"/>
        </w:tblCellMar>
        <w:tblLook w:val="01E0"/>
      </w:tblPr>
      <w:tblGrid>
        <w:gridCol w:w="3555"/>
        <w:gridCol w:w="1385"/>
        <w:gridCol w:w="1385"/>
        <w:gridCol w:w="1234"/>
        <w:gridCol w:w="1234"/>
        <w:gridCol w:w="1277"/>
        <w:gridCol w:w="1190"/>
        <w:gridCol w:w="1385"/>
        <w:gridCol w:w="1383"/>
      </w:tblGrid>
      <w:tr>
        <w:trPr>
          <w:trHeight w:val="322"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．资本公积转增资本（或股本）</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．盈余公积转增资本（或股本）</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．盈余公积弥补亏损</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．其他</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．本期提取</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．本期使用</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Calibri" w:hAnsi="Calibri" w:cs="Calibri" w:eastAsia="Calibri" w:hint="default"/>
                <w:sz w:val="21"/>
                <w:szCs w:val="21"/>
              </w:rPr>
            </w:pPr>
            <w:r>
              <w:rPr>
                <w:rFonts w:ascii="Calibri"/>
                <w:sz w:val="21"/>
              </w:rPr>
              <w:t>120,000,000.00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Calibri" w:hAnsi="Calibri" w:cs="Calibri" w:eastAsia="Calibri" w:hint="default"/>
                <w:sz w:val="21"/>
                <w:szCs w:val="21"/>
              </w:rPr>
            </w:pPr>
            <w:r>
              <w:rPr>
                <w:rFonts w:ascii="Calibri"/>
                <w:sz w:val="21"/>
              </w:rPr>
              <w:t>324,265,044.23</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Calibri" w:hAnsi="Calibri" w:cs="Calibri" w:eastAsia="Calibri" w:hint="default"/>
                <w:sz w:val="21"/>
                <w:szCs w:val="21"/>
              </w:rPr>
            </w:pPr>
            <w:r>
              <w:rPr>
                <w:rFonts w:ascii="Calibri"/>
                <w:sz w:val="21"/>
              </w:rPr>
              <w:t>14,599,489.50</w:t>
            </w:r>
          </w:p>
        </w:tc>
        <w:tc>
          <w:tcPr>
            <w:tcW w:w="1190"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101,395,405.53</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560,259,939.26</w:t>
            </w:r>
          </w:p>
        </w:tc>
      </w:tr>
    </w:tbl>
    <w:p>
      <w:pPr>
        <w:spacing w:line="240" w:lineRule="auto" w:before="2"/>
        <w:rPr>
          <w:rFonts w:ascii="宋体" w:hAnsi="宋体" w:cs="宋体" w:eastAsia="宋体" w:hint="default"/>
          <w:b/>
          <w:bCs/>
          <w:sz w:val="20"/>
          <w:szCs w:val="20"/>
        </w:rPr>
      </w:pPr>
    </w:p>
    <w:p>
      <w:pPr>
        <w:tabs>
          <w:tab w:pos="13628" w:val="left" w:leader="none"/>
        </w:tabs>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上年金额</w:t>
        <w:tab/>
        <w:t>单位：元</w:t>
      </w:r>
      <w:r>
        <w:rPr>
          <w:rFonts w:ascii="宋体" w:hAnsi="宋体" w:cs="宋体" w:eastAsia="宋体" w:hint="default"/>
          <w:sz w:val="21"/>
          <w:szCs w:val="21"/>
        </w:rPr>
      </w:r>
    </w:p>
    <w:p>
      <w:pPr>
        <w:spacing w:line="240" w:lineRule="auto" w:before="12"/>
        <w:rPr>
          <w:rFonts w:ascii="宋体" w:hAnsi="宋体" w:cs="宋体" w:eastAsia="宋体" w:hint="default"/>
          <w:b/>
          <w:bCs/>
          <w:sz w:val="3"/>
          <w:szCs w:val="3"/>
        </w:rPr>
      </w:pPr>
    </w:p>
    <w:tbl>
      <w:tblPr>
        <w:tblW w:w="0" w:type="auto"/>
        <w:jc w:val="left"/>
        <w:tblInd w:w="536" w:type="dxa"/>
        <w:tblLayout w:type="fixed"/>
        <w:tblCellMar>
          <w:top w:w="0" w:type="dxa"/>
          <w:left w:w="0" w:type="dxa"/>
          <w:bottom w:w="0" w:type="dxa"/>
          <w:right w:w="0" w:type="dxa"/>
        </w:tblCellMar>
        <w:tblLook w:val="01E0"/>
      </w:tblPr>
      <w:tblGrid>
        <w:gridCol w:w="3577"/>
        <w:gridCol w:w="1397"/>
        <w:gridCol w:w="1385"/>
        <w:gridCol w:w="1234"/>
        <w:gridCol w:w="1236"/>
        <w:gridCol w:w="1280"/>
        <w:gridCol w:w="1193"/>
        <w:gridCol w:w="1344"/>
        <w:gridCol w:w="1383"/>
      </w:tblGrid>
      <w:tr>
        <w:trPr>
          <w:trHeight w:val="323" w:hRule="exact"/>
        </w:trPr>
        <w:tc>
          <w:tcPr>
            <w:tcW w:w="35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5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上年金额</w:t>
            </w:r>
            <w:r>
              <w:rPr>
                <w:rFonts w:ascii="宋体" w:hAnsi="宋体" w:cs="宋体" w:eastAsia="宋体" w:hint="default"/>
                <w:sz w:val="21"/>
                <w:szCs w:val="21"/>
              </w:rPr>
            </w:r>
          </w:p>
        </w:tc>
      </w:tr>
      <w:tr>
        <w:trPr>
          <w:trHeight w:val="161" w:hRule="exact"/>
        </w:trPr>
        <w:tc>
          <w:tcPr>
            <w:tcW w:w="3577"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379" w:right="53" w:hanging="315"/>
              <w:jc w:val="left"/>
              <w:rPr>
                <w:rFonts w:ascii="宋体" w:hAnsi="宋体" w:cs="宋体" w:eastAsia="宋体" w:hint="default"/>
                <w:sz w:val="21"/>
                <w:szCs w:val="21"/>
              </w:rPr>
            </w:pPr>
            <w:r>
              <w:rPr>
                <w:rFonts w:ascii="宋体" w:hAnsi="宋体" w:cs="宋体" w:eastAsia="宋体" w:hint="default"/>
                <w:b/>
                <w:bCs/>
                <w:sz w:val="21"/>
                <w:szCs w:val="21"/>
              </w:rPr>
              <w:t>实收资本（或</w:t>
            </w:r>
            <w:r>
              <w:rPr>
                <w:rFonts w:ascii="宋体" w:hAnsi="宋体" w:cs="宋体" w:eastAsia="宋体" w:hint="default"/>
                <w:b/>
                <w:bCs/>
                <w:spacing w:val="-104"/>
                <w:sz w:val="21"/>
                <w:szCs w:val="21"/>
              </w:rPr>
              <w:t> </w:t>
            </w:r>
            <w:r>
              <w:rPr>
                <w:rFonts w:ascii="宋体" w:hAnsi="宋体" w:cs="宋体" w:eastAsia="宋体" w:hint="default"/>
                <w:b/>
                <w:bCs/>
                <w:sz w:val="21"/>
                <w:szCs w:val="21"/>
              </w:rPr>
              <w:t>股本）</w:t>
            </w:r>
            <w:r>
              <w:rPr>
                <w:rFonts w:ascii="宋体" w:hAnsi="宋体" w:cs="宋体" w:eastAsia="宋体" w:hint="default"/>
                <w:sz w:val="21"/>
                <w:szCs w:val="21"/>
              </w:rPr>
            </w:r>
          </w:p>
        </w:tc>
        <w:tc>
          <w:tcPr>
            <w:tcW w:w="13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484" w:right="62" w:hanging="423"/>
              <w:jc w:val="left"/>
              <w:rPr>
                <w:rFonts w:ascii="宋体" w:hAnsi="宋体" w:cs="宋体" w:eastAsia="宋体" w:hint="default"/>
                <w:sz w:val="21"/>
                <w:szCs w:val="21"/>
              </w:rPr>
            </w:pPr>
            <w:r>
              <w:rPr>
                <w:rFonts w:ascii="宋体" w:hAnsi="宋体" w:cs="宋体" w:eastAsia="宋体" w:hint="default"/>
                <w:b/>
                <w:bCs/>
                <w:sz w:val="21"/>
                <w:szCs w:val="21"/>
              </w:rPr>
              <w:t>一般风险准</w:t>
            </w:r>
            <w:r>
              <w:rPr>
                <w:rFonts w:ascii="宋体" w:hAnsi="宋体" w:cs="宋体" w:eastAsia="宋体" w:hint="default"/>
                <w:b/>
                <w:bCs/>
                <w:w w:val="100"/>
                <w:sz w:val="21"/>
                <w:szCs w:val="21"/>
              </w:rPr>
              <w:t> </w:t>
            </w:r>
            <w:r>
              <w:rPr>
                <w:rFonts w:ascii="宋体" w:hAnsi="宋体" w:cs="宋体" w:eastAsia="宋体" w:hint="default"/>
                <w:b/>
                <w:bCs/>
                <w:sz w:val="21"/>
                <w:szCs w:val="21"/>
              </w:rPr>
              <w:t>备</w:t>
            </w:r>
            <w:r>
              <w:rPr>
                <w:rFonts w:ascii="宋体" w:hAnsi="宋体" w:cs="宋体" w:eastAsia="宋体" w:hint="default"/>
                <w:sz w:val="21"/>
                <w:szCs w:val="21"/>
              </w:rPr>
            </w:r>
          </w:p>
        </w:tc>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3"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578" w:right="51" w:hanging="526"/>
              <w:jc w:val="left"/>
              <w:rPr>
                <w:rFonts w:ascii="宋体" w:hAnsi="宋体" w:cs="宋体" w:eastAsia="宋体" w:hint="default"/>
                <w:sz w:val="21"/>
                <w:szCs w:val="21"/>
              </w:rPr>
            </w:pPr>
            <w:r>
              <w:rPr>
                <w:rFonts w:ascii="宋体" w:hAnsi="宋体" w:cs="宋体" w:eastAsia="宋体" w:hint="default"/>
                <w:b/>
                <w:bCs/>
                <w:sz w:val="21"/>
                <w:szCs w:val="21"/>
              </w:rPr>
              <w:t>所有者权益合</w:t>
            </w:r>
            <w:r>
              <w:rPr>
                <w:rFonts w:ascii="宋体" w:hAnsi="宋体" w:cs="宋体" w:eastAsia="宋体" w:hint="default"/>
                <w:b/>
                <w:bCs/>
                <w:spacing w:val="-104"/>
                <w:sz w:val="21"/>
                <w:szCs w:val="21"/>
              </w:rPr>
              <w:t> </w:t>
            </w:r>
            <w:r>
              <w:rPr>
                <w:rFonts w:ascii="宋体" w:hAnsi="宋体" w:cs="宋体" w:eastAsia="宋体" w:hint="default"/>
                <w:b/>
                <w:bCs/>
                <w:sz w:val="21"/>
                <w:szCs w:val="21"/>
              </w:rPr>
              <w:t>计</w:t>
            </w:r>
            <w:r>
              <w:rPr>
                <w:rFonts w:ascii="宋体" w:hAnsi="宋体" w:cs="宋体" w:eastAsia="宋体" w:hint="default"/>
                <w:sz w:val="21"/>
                <w:szCs w:val="21"/>
              </w:rPr>
            </w:r>
          </w:p>
        </w:tc>
      </w:tr>
      <w:tr>
        <w:trPr>
          <w:trHeight w:val="151" w:hRule="exact"/>
        </w:trPr>
        <w:tc>
          <w:tcPr>
            <w:tcW w:w="3577" w:type="dxa"/>
            <w:vMerge/>
            <w:tcBorders>
              <w:left w:val="single" w:sz="4" w:space="0" w:color="000000"/>
              <w:bottom w:val="nil" w:sz="6" w:space="0" w:color="auto"/>
              <w:right w:val="single" w:sz="4" w:space="0" w:color="000000"/>
            </w:tcBorders>
            <w:shd w:val="clear" w:color="auto" w:fill="D2D2D2"/>
          </w:tcPr>
          <w:p>
            <w:pPr/>
          </w:p>
        </w:tc>
        <w:tc>
          <w:tcPr>
            <w:tcW w:w="1397" w:type="dxa"/>
            <w:vMerge/>
            <w:tcBorders>
              <w:left w:val="single" w:sz="4" w:space="0" w:color="000000"/>
              <w:right w:val="single" w:sz="4" w:space="0" w:color="000000"/>
            </w:tcBorders>
            <w:shd w:val="clear" w:color="auto" w:fill="D2D2D2"/>
          </w:tcPr>
          <w:p>
            <w:pPr/>
          </w:p>
        </w:tc>
        <w:tc>
          <w:tcPr>
            <w:tcW w:w="1385"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64" w:right="0"/>
              <w:jc w:val="left"/>
              <w:rPr>
                <w:rFonts w:ascii="宋体" w:hAnsi="宋体" w:cs="宋体" w:eastAsia="宋体" w:hint="default"/>
                <w:sz w:val="21"/>
                <w:szCs w:val="21"/>
              </w:rPr>
            </w:pPr>
            <w:r>
              <w:rPr>
                <w:rFonts w:ascii="宋体" w:hAnsi="宋体" w:cs="宋体" w:eastAsia="宋体" w:hint="default"/>
                <w:b/>
                <w:bCs/>
                <w:sz w:val="21"/>
                <w:szCs w:val="21"/>
              </w:rPr>
              <w:t>资本公积</w:t>
            </w:r>
            <w:r>
              <w:rPr>
                <w:rFonts w:ascii="宋体" w:hAnsi="宋体" w:cs="宋体" w:eastAsia="宋体" w:hint="default"/>
                <w:sz w:val="21"/>
                <w:szCs w:val="21"/>
              </w:rPr>
            </w:r>
          </w:p>
        </w:tc>
        <w:tc>
          <w:tcPr>
            <w:tcW w:w="1234"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83" w:right="0"/>
              <w:jc w:val="left"/>
              <w:rPr>
                <w:rFonts w:ascii="宋体" w:hAnsi="宋体" w:cs="宋体" w:eastAsia="宋体" w:hint="default"/>
                <w:sz w:val="21"/>
                <w:szCs w:val="21"/>
              </w:rPr>
            </w:pPr>
            <w:r>
              <w:rPr>
                <w:rFonts w:ascii="宋体" w:hAnsi="宋体" w:cs="宋体" w:eastAsia="宋体" w:hint="default"/>
                <w:b/>
                <w:bCs/>
                <w:sz w:val="21"/>
                <w:szCs w:val="21"/>
              </w:rPr>
              <w:t>减：库存股</w:t>
            </w:r>
            <w:r>
              <w:rPr>
                <w:rFonts w:ascii="宋体" w:hAnsi="宋体" w:cs="宋体" w:eastAsia="宋体" w:hint="default"/>
                <w:sz w:val="21"/>
                <w:szCs w:val="21"/>
              </w:rPr>
            </w:r>
          </w:p>
        </w:tc>
        <w:tc>
          <w:tcPr>
            <w:tcW w:w="1236"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192" w:right="0"/>
              <w:jc w:val="left"/>
              <w:rPr>
                <w:rFonts w:ascii="宋体" w:hAnsi="宋体" w:cs="宋体" w:eastAsia="宋体" w:hint="default"/>
                <w:sz w:val="21"/>
                <w:szCs w:val="21"/>
              </w:rPr>
            </w:pPr>
            <w:r>
              <w:rPr>
                <w:rFonts w:ascii="宋体" w:hAnsi="宋体" w:cs="宋体" w:eastAsia="宋体" w:hint="default"/>
                <w:b/>
                <w:bCs/>
                <w:sz w:val="21"/>
                <w:szCs w:val="21"/>
              </w:rPr>
              <w:t>专项储备</w:t>
            </w:r>
            <w:r>
              <w:rPr>
                <w:rFonts w:ascii="宋体" w:hAnsi="宋体" w:cs="宋体" w:eastAsia="宋体" w:hint="default"/>
                <w:sz w:val="21"/>
                <w:szCs w:val="21"/>
              </w:rPr>
            </w:r>
          </w:p>
        </w:tc>
        <w:tc>
          <w:tcPr>
            <w:tcW w:w="1280"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13" w:right="0"/>
              <w:jc w:val="left"/>
              <w:rPr>
                <w:rFonts w:ascii="宋体" w:hAnsi="宋体" w:cs="宋体" w:eastAsia="宋体" w:hint="default"/>
                <w:sz w:val="21"/>
                <w:szCs w:val="21"/>
              </w:rPr>
            </w:pPr>
            <w:r>
              <w:rPr>
                <w:rFonts w:ascii="宋体" w:hAnsi="宋体" w:cs="宋体" w:eastAsia="宋体" w:hint="default"/>
                <w:b/>
                <w:bCs/>
                <w:sz w:val="21"/>
                <w:szCs w:val="21"/>
              </w:rPr>
              <w:t>盈余公积</w:t>
            </w:r>
            <w:r>
              <w:rPr>
                <w:rFonts w:ascii="宋体" w:hAnsi="宋体" w:cs="宋体" w:eastAsia="宋体" w:hint="default"/>
                <w:sz w:val="21"/>
                <w:szCs w:val="21"/>
              </w:rPr>
            </w:r>
          </w:p>
        </w:tc>
        <w:tc>
          <w:tcPr>
            <w:tcW w:w="1193" w:type="dxa"/>
            <w:vMerge/>
            <w:tcBorders>
              <w:left w:val="single" w:sz="4" w:space="0" w:color="000000"/>
              <w:right w:val="single" w:sz="4" w:space="0" w:color="000000"/>
            </w:tcBorders>
            <w:shd w:val="clear" w:color="auto" w:fill="D2D2D2"/>
          </w:tcPr>
          <w:p>
            <w:pPr/>
          </w:p>
        </w:tc>
        <w:tc>
          <w:tcPr>
            <w:tcW w:w="1344"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139" w:right="0"/>
              <w:jc w:val="left"/>
              <w:rPr>
                <w:rFonts w:ascii="宋体" w:hAnsi="宋体" w:cs="宋体" w:eastAsia="宋体" w:hint="default"/>
                <w:sz w:val="21"/>
                <w:szCs w:val="21"/>
              </w:rPr>
            </w:pPr>
            <w:r>
              <w:rPr>
                <w:rFonts w:ascii="宋体" w:hAnsi="宋体" w:cs="宋体" w:eastAsia="宋体" w:hint="default"/>
                <w:b/>
                <w:bCs/>
                <w:sz w:val="21"/>
                <w:szCs w:val="21"/>
              </w:rPr>
              <w:t>未分配利润</w:t>
            </w:r>
            <w:r>
              <w:rPr>
                <w:rFonts w:ascii="宋体" w:hAnsi="宋体" w:cs="宋体" w:eastAsia="宋体" w:hint="default"/>
                <w:sz w:val="21"/>
                <w:szCs w:val="21"/>
              </w:rPr>
            </w:r>
          </w:p>
        </w:tc>
        <w:tc>
          <w:tcPr>
            <w:tcW w:w="1383" w:type="dxa"/>
            <w:vMerge/>
            <w:tcBorders>
              <w:left w:val="single" w:sz="4" w:space="0" w:color="000000"/>
              <w:right w:val="single" w:sz="4" w:space="0" w:color="000000"/>
            </w:tcBorders>
            <w:shd w:val="clear" w:color="auto" w:fill="D2D2D2"/>
          </w:tcPr>
          <w:p>
            <w:pPr/>
          </w:p>
        </w:tc>
      </w:tr>
      <w:tr>
        <w:trPr>
          <w:trHeight w:val="161" w:hRule="exact"/>
        </w:trPr>
        <w:tc>
          <w:tcPr>
            <w:tcW w:w="3577" w:type="dxa"/>
            <w:vMerge w:val="restart"/>
            <w:tcBorders>
              <w:top w:val="nil" w:sz="6" w:space="0" w:color="auto"/>
              <w:left w:val="single" w:sz="4" w:space="0" w:color="000000"/>
              <w:right w:val="single" w:sz="4" w:space="0" w:color="000000"/>
            </w:tcBorders>
            <w:shd w:val="clear" w:color="auto" w:fill="D2D2D2"/>
          </w:tcPr>
          <w:p>
            <w:pPr/>
          </w:p>
        </w:tc>
        <w:tc>
          <w:tcPr>
            <w:tcW w:w="1397" w:type="dxa"/>
            <w:vMerge/>
            <w:tcBorders>
              <w:left w:val="single" w:sz="4" w:space="0" w:color="000000"/>
              <w:right w:val="single" w:sz="4" w:space="0" w:color="000000"/>
            </w:tcBorders>
            <w:shd w:val="clear" w:color="auto" w:fill="D2D2D2"/>
          </w:tcPr>
          <w:p>
            <w:pPr/>
          </w:p>
        </w:tc>
        <w:tc>
          <w:tcPr>
            <w:tcW w:w="1385" w:type="dxa"/>
            <w:vMerge/>
            <w:tcBorders>
              <w:left w:val="single" w:sz="4" w:space="0" w:color="000000"/>
              <w:bottom w:val="nil" w:sz="6" w:space="0" w:color="auto"/>
              <w:right w:val="single" w:sz="4" w:space="0" w:color="000000"/>
            </w:tcBorders>
            <w:shd w:val="clear" w:color="auto" w:fill="D2D2D2"/>
          </w:tcPr>
          <w:p>
            <w:pPr/>
          </w:p>
        </w:tc>
        <w:tc>
          <w:tcPr>
            <w:tcW w:w="1234" w:type="dxa"/>
            <w:vMerge/>
            <w:tcBorders>
              <w:left w:val="single" w:sz="4" w:space="0" w:color="000000"/>
              <w:bottom w:val="nil" w:sz="6" w:space="0" w:color="auto"/>
              <w:right w:val="single" w:sz="4" w:space="0" w:color="000000"/>
            </w:tcBorders>
            <w:shd w:val="clear" w:color="auto" w:fill="D2D2D2"/>
          </w:tcPr>
          <w:p>
            <w:pPr/>
          </w:p>
        </w:tc>
        <w:tc>
          <w:tcPr>
            <w:tcW w:w="1236" w:type="dxa"/>
            <w:vMerge/>
            <w:tcBorders>
              <w:left w:val="single" w:sz="4" w:space="0" w:color="000000"/>
              <w:bottom w:val="nil" w:sz="6" w:space="0" w:color="auto"/>
              <w:right w:val="single" w:sz="4" w:space="0" w:color="000000"/>
            </w:tcBorders>
            <w:shd w:val="clear" w:color="auto" w:fill="D2D2D2"/>
          </w:tcPr>
          <w:p>
            <w:pPr/>
          </w:p>
        </w:tc>
        <w:tc>
          <w:tcPr>
            <w:tcW w:w="1280" w:type="dxa"/>
            <w:vMerge/>
            <w:tcBorders>
              <w:left w:val="single" w:sz="4" w:space="0" w:color="000000"/>
              <w:bottom w:val="nil" w:sz="6" w:space="0" w:color="auto"/>
              <w:right w:val="single" w:sz="4" w:space="0" w:color="000000"/>
            </w:tcBorders>
            <w:shd w:val="clear" w:color="auto" w:fill="D2D2D2"/>
          </w:tcPr>
          <w:p>
            <w:pPr/>
          </w:p>
        </w:tc>
        <w:tc>
          <w:tcPr>
            <w:tcW w:w="1193" w:type="dxa"/>
            <w:vMerge/>
            <w:tcBorders>
              <w:left w:val="single" w:sz="4" w:space="0" w:color="000000"/>
              <w:right w:val="single" w:sz="4" w:space="0" w:color="000000"/>
            </w:tcBorders>
            <w:shd w:val="clear" w:color="auto" w:fill="D2D2D2"/>
          </w:tcPr>
          <w:p>
            <w:pPr/>
          </w:p>
        </w:tc>
        <w:tc>
          <w:tcPr>
            <w:tcW w:w="1344" w:type="dxa"/>
            <w:vMerge/>
            <w:tcBorders>
              <w:left w:val="single" w:sz="4" w:space="0" w:color="000000"/>
              <w:bottom w:val="nil" w:sz="6" w:space="0" w:color="auto"/>
              <w:right w:val="single" w:sz="4" w:space="0" w:color="000000"/>
            </w:tcBorders>
            <w:shd w:val="clear" w:color="auto" w:fill="D2D2D2"/>
          </w:tcPr>
          <w:p>
            <w:pPr/>
          </w:p>
        </w:tc>
        <w:tc>
          <w:tcPr>
            <w:tcW w:w="1383" w:type="dxa"/>
            <w:vMerge/>
            <w:tcBorders>
              <w:left w:val="single" w:sz="4" w:space="0" w:color="000000"/>
              <w:right w:val="single" w:sz="4" w:space="0" w:color="000000"/>
            </w:tcBorders>
            <w:shd w:val="clear" w:color="auto" w:fill="D2D2D2"/>
          </w:tcPr>
          <w:p>
            <w:pPr/>
          </w:p>
        </w:tc>
      </w:tr>
      <w:tr>
        <w:trPr>
          <w:trHeight w:val="161" w:hRule="exact"/>
        </w:trPr>
        <w:tc>
          <w:tcPr>
            <w:tcW w:w="3577"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3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3"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1"/>
                <w:sz w:val="21"/>
              </w:rPr>
              <w:t>75,000,000.00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354,438,695.83</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9,517,200.44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 w:right="0"/>
              <w:jc w:val="center"/>
              <w:rPr>
                <w:rFonts w:ascii="Calibri" w:hAnsi="Calibri" w:cs="Calibri" w:eastAsia="Calibri" w:hint="default"/>
                <w:sz w:val="21"/>
                <w:szCs w:val="21"/>
              </w:rPr>
            </w:pPr>
            <w:r>
              <w:rPr>
                <w:rFonts w:ascii="Calibri"/>
                <w:sz w:val="21"/>
              </w:rPr>
              <w:t>70,654,803.96</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509,610,700.23</w:t>
            </w: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3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54" w:right="0"/>
              <w:jc w:val="left"/>
              <w:rPr>
                <w:rFonts w:ascii="宋体" w:hAnsi="宋体" w:cs="宋体" w:eastAsia="宋体" w:hint="default"/>
                <w:sz w:val="21"/>
                <w:szCs w:val="21"/>
              </w:rPr>
            </w:pPr>
            <w:r>
              <w:rPr>
                <w:rFonts w:ascii="宋体" w:hAnsi="宋体" w:cs="宋体" w:eastAsia="宋体" w:hint="default"/>
                <w:spacing w:val="-3"/>
                <w:sz w:val="21"/>
                <w:szCs w:val="21"/>
              </w:rPr>
              <w:t>其他</w:t>
            </w:r>
            <w:r>
              <w:rPr>
                <w:rFonts w:ascii="宋体" w:hAnsi="宋体" w:cs="宋体" w:eastAsia="宋体" w:hint="default"/>
                <w:sz w:val="21"/>
                <w:szCs w:val="21"/>
              </w:rPr>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23"/>
              <w:jc w:val="right"/>
              <w:rPr>
                <w:rFonts w:ascii="Calibri" w:hAnsi="Calibri" w:cs="Calibri" w:eastAsia="Calibri" w:hint="default"/>
                <w:sz w:val="21"/>
                <w:szCs w:val="21"/>
              </w:rPr>
            </w:pPr>
            <w:r>
              <w:rPr>
                <w:rFonts w:ascii="Calibri"/>
                <w:spacing w:val="-1"/>
                <w:sz w:val="21"/>
              </w:rPr>
              <w:t>75,000,000.00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354,438,695.83</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9,517,200.44</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8" w:right="0"/>
              <w:jc w:val="center"/>
              <w:rPr>
                <w:rFonts w:ascii="Calibri" w:hAnsi="Calibri" w:cs="Calibri" w:eastAsia="Calibri" w:hint="default"/>
                <w:sz w:val="21"/>
                <w:szCs w:val="21"/>
              </w:rPr>
            </w:pPr>
            <w:r>
              <w:rPr>
                <w:rFonts w:ascii="Calibri"/>
                <w:sz w:val="21"/>
              </w:rPr>
              <w:t>70,654,803.96</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Calibri" w:hAnsi="Calibri" w:cs="Calibri" w:eastAsia="Calibri" w:hint="default"/>
                <w:sz w:val="21"/>
                <w:szCs w:val="21"/>
              </w:rPr>
            </w:pPr>
            <w:r>
              <w:rPr>
                <w:rFonts w:ascii="Calibri"/>
                <w:spacing w:val="-2"/>
                <w:sz w:val="21"/>
              </w:rPr>
              <w:t>509,610,700.23</w:t>
            </w:r>
          </w:p>
        </w:tc>
      </w:tr>
      <w:tr>
        <w:trPr>
          <w:trHeight w:val="634"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12" w:right="14"/>
              <w:jc w:val="left"/>
              <w:rPr>
                <w:rFonts w:ascii="宋体" w:hAnsi="宋体" w:cs="宋体" w:eastAsia="宋体" w:hint="default"/>
                <w:sz w:val="21"/>
                <w:szCs w:val="21"/>
              </w:rPr>
            </w:pPr>
            <w:r>
              <w:rPr>
                <w:rFonts w:ascii="宋体" w:hAnsi="宋体" w:cs="宋体" w:eastAsia="宋体" w:hint="default"/>
                <w:spacing w:val="-2"/>
                <w:sz w:val="21"/>
                <w:szCs w:val="21"/>
              </w:rPr>
              <w:t>三、本期增减变动金额（减少以</w:t>
            </w:r>
            <w:r>
              <w:rPr>
                <w:rFonts w:ascii="Calibri" w:hAnsi="Calibri" w:cs="Calibri" w:eastAsia="Calibri" w:hint="default"/>
                <w:spacing w:val="-2"/>
                <w:sz w:val="21"/>
                <w:szCs w:val="21"/>
              </w:rPr>
              <w:t>“</w:t>
            </w:r>
            <w:r>
              <w:rPr>
                <w:rFonts w:ascii="宋体" w:hAnsi="宋体" w:cs="宋体" w:eastAsia="宋体" w:hint="default"/>
                <w:spacing w:val="-2"/>
                <w:sz w:val="21"/>
                <w:szCs w:val="21"/>
              </w:rPr>
              <w:t>－</w:t>
            </w:r>
            <w:r>
              <w:rPr>
                <w:rFonts w:ascii="Calibri" w:hAnsi="Calibri" w:cs="Calibri" w:eastAsia="Calibri" w:hint="default"/>
                <w:spacing w:val="-2"/>
                <w:sz w:val="21"/>
                <w:szCs w:val="21"/>
              </w:rPr>
              <w:t>”</w:t>
            </w:r>
            <w:r>
              <w:rPr>
                <w:rFonts w:ascii="宋体" w:hAnsi="宋体" w:cs="宋体" w:eastAsia="宋体" w:hint="default"/>
                <w:spacing w:val="-2"/>
                <w:sz w:val="21"/>
                <w:szCs w:val="21"/>
              </w:rPr>
              <w:t>号</w:t>
            </w:r>
            <w:r>
              <w:rPr>
                <w:rFonts w:ascii="宋体" w:hAnsi="宋体" w:cs="宋体" w:eastAsia="宋体" w:hint="default"/>
                <w:spacing w:val="-70"/>
                <w:sz w:val="21"/>
                <w:szCs w:val="21"/>
              </w:rPr>
              <w:t> </w:t>
            </w:r>
            <w:r>
              <w:rPr>
                <w:rFonts w:ascii="宋体" w:hAnsi="宋体" w:cs="宋体" w:eastAsia="宋体" w:hint="default"/>
                <w:sz w:val="21"/>
                <w:szCs w:val="21"/>
              </w:rPr>
              <w:t>填列）</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3"/>
              <w:jc w:val="right"/>
              <w:rPr>
                <w:rFonts w:ascii="Calibri" w:hAnsi="Calibri" w:cs="Calibri" w:eastAsia="Calibri" w:hint="default"/>
                <w:sz w:val="21"/>
                <w:szCs w:val="21"/>
              </w:rPr>
            </w:pPr>
            <w:r>
              <w:rPr>
                <w:rFonts w:ascii="Calibri"/>
                <w:spacing w:val="-1"/>
                <w:sz w:val="21"/>
              </w:rPr>
              <w:t>45,000,000.00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-41,557,861.71</w:t>
            </w:r>
            <w:r>
              <w:rPr>
                <w:rFonts w:ascii="Calibri"/>
                <w:sz w:val="21"/>
              </w:rPr>
            </w: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4,177,933.37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4" w:right="0"/>
              <w:jc w:val="center"/>
              <w:rPr>
                <w:rFonts w:ascii="Calibri" w:hAnsi="Calibri" w:cs="Calibri" w:eastAsia="Calibri" w:hint="default"/>
                <w:sz w:val="21"/>
                <w:szCs w:val="21"/>
              </w:rPr>
            </w:pPr>
            <w:r>
              <w:rPr>
                <w:rFonts w:ascii="Calibri"/>
                <w:sz w:val="21"/>
              </w:rPr>
              <w:t>22,601,400.35</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30,221,472.01</w:t>
            </w: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 w:right="0"/>
              <w:jc w:val="center"/>
              <w:rPr>
                <w:rFonts w:ascii="Calibri" w:hAnsi="Calibri" w:cs="Calibri" w:eastAsia="Calibri" w:hint="default"/>
                <w:sz w:val="21"/>
                <w:szCs w:val="21"/>
              </w:rPr>
            </w:pPr>
            <w:r>
              <w:rPr>
                <w:rFonts w:ascii="Calibri"/>
                <w:sz w:val="21"/>
              </w:rPr>
              <w:t>41,779,333.72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41,779,333.72</w:t>
            </w: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181,760.00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181,760.00</w:t>
            </w: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181,760.00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67" w:right="0"/>
              <w:jc w:val="center"/>
              <w:rPr>
                <w:rFonts w:ascii="Calibri" w:hAnsi="Calibri" w:cs="Calibri" w:eastAsia="Calibri" w:hint="default"/>
                <w:sz w:val="21"/>
                <w:szCs w:val="21"/>
              </w:rPr>
            </w:pPr>
            <w:r>
              <w:rPr>
                <w:rFonts w:ascii="Calibri"/>
                <w:sz w:val="21"/>
              </w:rPr>
              <w:t>41,779,333.72</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41,961,093.72</w:t>
            </w: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3,260,378.29</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3,260,378.29</w:t>
            </w:r>
          </w:p>
        </w:tc>
      </w:tr>
      <w:tr>
        <w:trPr>
          <w:trHeight w:val="324"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．所有者投入资本</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．股份支付计入所有者权益的金额</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2,984,678.29</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2,984,678.29</w:t>
            </w:r>
          </w:p>
        </w:tc>
      </w:tr>
    </w:tbl>
    <w:p>
      <w:pPr>
        <w:spacing w:after="0" w:line="240" w:lineRule="auto"/>
        <w:jc w:val="right"/>
        <w:rPr>
          <w:rFonts w:ascii="Calibri" w:hAnsi="Calibri" w:cs="Calibri" w:eastAsia="Calibri" w:hint="default"/>
          <w:sz w:val="21"/>
          <w:szCs w:val="21"/>
        </w:rPr>
        <w:sectPr>
          <w:pgSz w:w="16840" w:h="11910" w:orient="landscape"/>
          <w:pgMar w:header="884" w:footer="1008" w:top="1160" w:bottom="1200" w:left="860" w:right="1280"/>
        </w:sect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7"/>
          <w:szCs w:val="27"/>
        </w:rPr>
      </w:pPr>
    </w:p>
    <w:tbl>
      <w:tblPr>
        <w:tblW w:w="0" w:type="auto"/>
        <w:jc w:val="left"/>
        <w:tblInd w:w="536" w:type="dxa"/>
        <w:tblLayout w:type="fixed"/>
        <w:tblCellMar>
          <w:top w:w="0" w:type="dxa"/>
          <w:left w:w="0" w:type="dxa"/>
          <w:bottom w:w="0" w:type="dxa"/>
          <w:right w:w="0" w:type="dxa"/>
        </w:tblCellMar>
        <w:tblLook w:val="01E0"/>
      </w:tblPr>
      <w:tblGrid>
        <w:gridCol w:w="3577"/>
        <w:gridCol w:w="1397"/>
        <w:gridCol w:w="1385"/>
        <w:gridCol w:w="1234"/>
        <w:gridCol w:w="1236"/>
        <w:gridCol w:w="1280"/>
        <w:gridCol w:w="1193"/>
        <w:gridCol w:w="1344"/>
        <w:gridCol w:w="1383"/>
      </w:tblGrid>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．其他</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275,700.00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275,700.00</w:t>
            </w: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4,177,933.37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-19,177,933.37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-15,000,000.00</w:t>
            </w: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．提取盈余公积</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4,177,933.37</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-4,177,933.37</w:t>
            </w: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．提取一般风险准备</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1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．对所有者（或股东）的分配</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-15,000,000.00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-15,000,000.00</w:t>
            </w: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．其他</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106" w:right="0"/>
              <w:jc w:val="center"/>
              <w:rPr>
                <w:rFonts w:ascii="Calibri" w:hAnsi="Calibri" w:cs="Calibri" w:eastAsia="Calibri" w:hint="default"/>
                <w:sz w:val="21"/>
                <w:szCs w:val="21"/>
              </w:rPr>
            </w:pPr>
            <w:r>
              <w:rPr>
                <w:rFonts w:ascii="Calibri"/>
                <w:sz w:val="21"/>
              </w:rPr>
              <w:t>45,000,000.00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-45,000,000.00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．资本公积转增资本（或股本）</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106" w:right="0"/>
              <w:jc w:val="center"/>
              <w:rPr>
                <w:rFonts w:ascii="Calibri" w:hAnsi="Calibri" w:cs="Calibri" w:eastAsia="Calibri" w:hint="default"/>
                <w:sz w:val="21"/>
                <w:szCs w:val="21"/>
              </w:rPr>
            </w:pPr>
            <w:r>
              <w:rPr>
                <w:rFonts w:ascii="Calibri"/>
                <w:sz w:val="21"/>
              </w:rPr>
              <w:t>45,000,000.00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-45,000,000.00</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．盈余公积转增资本（或股本）</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．盈余公积弥补亏损</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12"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．其他</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．本期提取</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2"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．本期使用</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2"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397" w:type="dxa"/>
            <w:tcBorders>
              <w:top w:val="single" w:sz="4" w:space="0" w:color="000000"/>
              <w:left w:val="single" w:sz="10" w:space="0" w:color="D2D2D2"/>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8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3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120,000,000.00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312,880,834.12</w:t>
            </w:r>
          </w:p>
        </w:tc>
        <w:tc>
          <w:tcPr>
            <w:tcW w:w="1234" w:type="dxa"/>
            <w:tcBorders>
              <w:top w:val="single" w:sz="4" w:space="0" w:color="000000"/>
              <w:left w:val="single" w:sz="4" w:space="0" w:color="000000"/>
              <w:bottom w:val="single" w:sz="4" w:space="0" w:color="000000"/>
              <w:right w:val="single" w:sz="4" w:space="0" w:color="000000"/>
            </w:tcBorders>
          </w:tcPr>
          <w:p>
            <w:pPr/>
          </w:p>
        </w:tc>
        <w:tc>
          <w:tcPr>
            <w:tcW w:w="1236"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13,695,133.81</w:t>
            </w:r>
          </w:p>
        </w:tc>
        <w:tc>
          <w:tcPr>
            <w:tcW w:w="1193"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93,256,204.31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539,832,172.24</w:t>
            </w:r>
          </w:p>
        </w:tc>
      </w:tr>
    </w:tbl>
    <w:p>
      <w:pPr>
        <w:tabs>
          <w:tab w:pos="4776" w:val="left" w:leader="none"/>
          <w:tab w:pos="9624" w:val="left" w:leader="none"/>
        </w:tabs>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法定代表人：钟耳顺</w:t>
        <w:tab/>
      </w:r>
      <w:r>
        <w:rPr>
          <w:rFonts w:ascii="宋体" w:hAnsi="宋体" w:cs="宋体" w:eastAsia="宋体" w:hint="default"/>
          <w:b/>
          <w:bCs/>
          <w:spacing w:val="-1"/>
          <w:sz w:val="21"/>
          <w:szCs w:val="21"/>
        </w:rPr>
        <w:t>主管会计工作负责人：鹿麒</w:t>
        <w:tab/>
        <w:t>会计机构负责人：鹿麒</w:t>
      </w:r>
      <w:r>
        <w:rPr>
          <w:rFonts w:ascii="宋体" w:hAnsi="宋体" w:cs="宋体" w:eastAsia="宋体" w:hint="default"/>
          <w:spacing w:val="-1"/>
          <w:sz w:val="21"/>
          <w:szCs w:val="21"/>
        </w:rPr>
      </w:r>
    </w:p>
    <w:p>
      <w:pPr>
        <w:spacing w:after="0" w:line="262" w:lineRule="exact"/>
        <w:jc w:val="left"/>
        <w:rPr>
          <w:rFonts w:ascii="宋体" w:hAnsi="宋体" w:cs="宋体" w:eastAsia="宋体" w:hint="default"/>
          <w:sz w:val="21"/>
          <w:szCs w:val="21"/>
        </w:rPr>
        <w:sectPr>
          <w:pgSz w:w="16840" w:h="11910" w:orient="landscape"/>
          <w:pgMar w:header="884" w:footer="1008" w:top="1160" w:bottom="1200" w:left="860" w:right="128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8"/>
          <w:szCs w:val="18"/>
        </w:rPr>
      </w:pPr>
    </w:p>
    <w:p>
      <w:pPr>
        <w:pStyle w:val="Heading4"/>
        <w:spacing w:line="468" w:lineRule="auto" w:before="26"/>
        <w:ind w:left="558" w:right="6980"/>
        <w:jc w:val="left"/>
        <w:rPr>
          <w:b w:val="0"/>
          <w:bCs w:val="0"/>
        </w:rPr>
      </w:pPr>
      <w:r>
        <w:rPr/>
        <w:t>三、公司基本情况</w:t>
      </w:r>
      <w:r>
        <w:rPr>
          <w:w w:val="99"/>
        </w:rPr>
        <w:t> </w:t>
      </w:r>
      <w:r>
        <w:rPr/>
        <w:t>一、公司基本情况</w:t>
      </w:r>
      <w:r>
        <w:rPr>
          <w:b w:val="0"/>
          <w:bCs w:val="0"/>
        </w:rPr>
      </w:r>
    </w:p>
    <w:p>
      <w:pPr>
        <w:pStyle w:val="BodyText"/>
        <w:spacing w:line="312" w:lineRule="exact" w:before="16"/>
        <w:ind w:right="232"/>
        <w:jc w:val="both"/>
      </w:pPr>
      <w:r>
        <w:rPr>
          <w:spacing w:val="2"/>
        </w:rPr>
        <w:t>北京超图软件股份有限公司（以下简称</w:t>
      </w:r>
      <w:r>
        <w:rPr>
          <w:rFonts w:ascii="Calibri" w:hAnsi="Calibri" w:cs="Calibri" w:eastAsia="Calibri" w:hint="default"/>
          <w:spacing w:val="2"/>
        </w:rPr>
        <w:t>“</w:t>
      </w:r>
      <w:r>
        <w:rPr>
          <w:spacing w:val="2"/>
        </w:rPr>
        <w:t>本公司</w:t>
      </w:r>
      <w:r>
        <w:rPr>
          <w:rFonts w:ascii="Calibri" w:hAnsi="Calibri" w:cs="Calibri" w:eastAsia="Calibri" w:hint="default"/>
          <w:spacing w:val="2"/>
        </w:rPr>
        <w:t>”</w:t>
      </w:r>
      <w:r>
        <w:rPr>
          <w:spacing w:val="2"/>
        </w:rPr>
        <w:t>）前身为北京超图地理信息技术有</w:t>
      </w:r>
      <w:r>
        <w:rPr>
          <w:spacing w:val="-118"/>
        </w:rPr>
        <w:t> </w:t>
      </w:r>
      <w:r>
        <w:rPr>
          <w:spacing w:val="3"/>
        </w:rPr>
        <w:t>限公司，系由自然人钟耳顺、吴秋华、苏月明、宋关福共同出资设立，于</w:t>
      </w:r>
      <w:r>
        <w:rPr>
          <w:rFonts w:ascii="Calibri" w:hAnsi="Calibri" w:cs="Calibri" w:eastAsia="Calibri" w:hint="default"/>
          <w:spacing w:val="3"/>
        </w:rPr>
        <w:t>1997</w:t>
      </w:r>
      <w:r>
        <w:rPr>
          <w:spacing w:val="3"/>
        </w:rPr>
        <w:t>年</w:t>
      </w:r>
      <w:r>
        <w:rPr>
          <w:rFonts w:ascii="Calibri" w:hAnsi="Calibri" w:cs="Calibri" w:eastAsia="Calibri" w:hint="default"/>
          <w:spacing w:val="3"/>
        </w:rPr>
        <w:t>6</w:t>
      </w:r>
      <w:r>
        <w:rPr>
          <w:rFonts w:ascii="Calibri" w:hAnsi="Calibri" w:cs="Calibri" w:eastAsia="Calibri" w:hint="default"/>
          <w:spacing w:val="-32"/>
        </w:rPr>
        <w:t> </w:t>
      </w:r>
      <w:r>
        <w:rPr/>
        <w:t>月</w:t>
      </w:r>
      <w:r>
        <w:rPr>
          <w:rFonts w:ascii="Calibri" w:hAnsi="Calibri" w:cs="Calibri" w:eastAsia="Calibri" w:hint="default"/>
        </w:rPr>
        <w:t>18</w:t>
      </w:r>
      <w:r>
        <w:rPr/>
        <w:t>日在北京市工商行政管理局登记注册的有限责任公司。</w:t>
      </w:r>
    </w:p>
    <w:p>
      <w:pPr>
        <w:pStyle w:val="BodyText"/>
        <w:spacing w:line="225" w:lineRule="auto" w:before="202"/>
        <w:ind w:right="232"/>
        <w:jc w:val="both"/>
      </w:pPr>
      <w:r>
        <w:rPr>
          <w:rFonts w:ascii="Calibri" w:hAnsi="Calibri" w:cs="Calibri" w:eastAsia="Calibri" w:hint="default"/>
        </w:rPr>
        <w:t>2008</w:t>
      </w:r>
      <w:r>
        <w:rPr/>
        <w:t>年</w:t>
      </w:r>
      <w:r>
        <w:rPr>
          <w:rFonts w:ascii="Calibri" w:hAnsi="Calibri" w:cs="Calibri" w:eastAsia="Calibri" w:hint="default"/>
        </w:rPr>
        <w:t>3</w:t>
      </w:r>
      <w:r>
        <w:rPr/>
        <w:t>月</w:t>
      </w:r>
      <w:r>
        <w:rPr>
          <w:rFonts w:ascii="Calibri" w:hAnsi="Calibri" w:cs="Calibri" w:eastAsia="Calibri" w:hint="default"/>
        </w:rPr>
        <w:t>4</w:t>
      </w:r>
      <w:r>
        <w:rPr/>
        <w:t>日，经北京超图地理信息技术有限公司股东会批准，以</w:t>
      </w:r>
      <w:r>
        <w:rPr>
          <w:rFonts w:ascii="Calibri" w:hAnsi="Calibri" w:cs="Calibri" w:eastAsia="Calibri" w:hint="default"/>
        </w:rPr>
        <w:t>2007</w:t>
      </w:r>
      <w:r>
        <w:rPr/>
        <w:t>年</w:t>
      </w:r>
      <w:r>
        <w:rPr>
          <w:rFonts w:ascii="Calibri" w:hAnsi="Calibri" w:cs="Calibri" w:eastAsia="Calibri" w:hint="default"/>
        </w:rPr>
        <w:t>12</w:t>
      </w:r>
      <w:r>
        <w:rPr/>
        <w:t>月</w:t>
      </w:r>
      <w:r>
        <w:rPr>
          <w:rFonts w:ascii="Calibri" w:hAnsi="Calibri" w:cs="Calibri" w:eastAsia="Calibri" w:hint="default"/>
        </w:rPr>
        <w:t>31</w:t>
      </w:r>
      <w:r>
        <w:rPr/>
        <w:t>日</w:t>
      </w:r>
      <w:r>
        <w:rPr>
          <w:spacing w:val="-100"/>
        </w:rPr>
        <w:t> </w:t>
      </w:r>
      <w:r>
        <w:rPr/>
        <w:t>的净资产为基准，以发起设立的方式整体变更为北京超图软件股份有限公司。变更</w:t>
      </w:r>
      <w:r>
        <w:rPr>
          <w:spacing w:val="-77"/>
        </w:rPr>
        <w:t> </w:t>
      </w:r>
      <w:r>
        <w:rPr>
          <w:spacing w:val="-77"/>
        </w:rPr>
      </w:r>
      <w:r>
        <w:rPr>
          <w:spacing w:val="-1"/>
        </w:rPr>
        <w:t>后本公司注册资本</w:t>
      </w:r>
      <w:r>
        <w:rPr>
          <w:rFonts w:ascii="Calibri" w:hAnsi="Calibri" w:cs="Calibri" w:eastAsia="Calibri" w:hint="default"/>
          <w:spacing w:val="-1"/>
        </w:rPr>
        <w:t>5,600</w:t>
      </w:r>
      <w:r>
        <w:rPr>
          <w:spacing w:val="-1"/>
        </w:rPr>
        <w:t>万元，业经北京京都会计师事务所有限责任公司出具北京京</w:t>
      </w:r>
      <w:r>
        <w:rPr>
          <w:spacing w:val="-100"/>
        </w:rPr>
        <w:t> </w:t>
      </w:r>
      <w:r>
        <w:rPr>
          <w:spacing w:val="-100"/>
        </w:rPr>
      </w:r>
      <w:r>
        <w:rPr/>
        <w:t>都验字（</w:t>
      </w:r>
      <w:r>
        <w:rPr>
          <w:rFonts w:ascii="Calibri" w:hAnsi="Calibri" w:cs="Calibri" w:eastAsia="Calibri" w:hint="default"/>
        </w:rPr>
        <w:t>2008</w:t>
      </w:r>
      <w:r>
        <w:rPr/>
        <w:t>）第</w:t>
      </w:r>
      <w:r>
        <w:rPr>
          <w:rFonts w:ascii="Calibri" w:hAnsi="Calibri" w:cs="Calibri" w:eastAsia="Calibri" w:hint="default"/>
        </w:rPr>
        <w:t>007</w:t>
      </w:r>
      <w:r>
        <w:rPr/>
        <w:t>号验资报告予以验证。</w:t>
      </w:r>
    </w:p>
    <w:p>
      <w:pPr>
        <w:pStyle w:val="BodyText"/>
        <w:spacing w:line="328" w:lineRule="exact" w:before="187"/>
        <w:ind w:right="0"/>
        <w:jc w:val="both"/>
      </w:pPr>
      <w:r>
        <w:rPr>
          <w:rFonts w:ascii="Calibri" w:hAnsi="Calibri" w:cs="Calibri" w:eastAsia="Calibri" w:hint="default"/>
        </w:rPr>
        <w:t>2009</w:t>
      </w:r>
      <w:r>
        <w:rPr/>
        <w:t>年</w:t>
      </w:r>
      <w:r>
        <w:rPr>
          <w:rFonts w:ascii="Calibri" w:hAnsi="Calibri" w:cs="Calibri" w:eastAsia="Calibri" w:hint="default"/>
        </w:rPr>
        <w:t>11</w:t>
      </w:r>
      <w:r>
        <w:rPr/>
        <w:t>月</w:t>
      </w:r>
      <w:r>
        <w:rPr>
          <w:rFonts w:ascii="Calibri" w:hAnsi="Calibri" w:cs="Calibri" w:eastAsia="Calibri" w:hint="default"/>
        </w:rPr>
        <w:t>11</w:t>
      </w:r>
      <w:r>
        <w:rPr/>
        <w:t>日，经本公司</w:t>
      </w:r>
      <w:r>
        <w:rPr>
          <w:rFonts w:ascii="Calibri" w:hAnsi="Calibri" w:cs="Calibri" w:eastAsia="Calibri" w:hint="default"/>
        </w:rPr>
        <w:t>2009</w:t>
      </w:r>
      <w:r>
        <w:rPr/>
        <w:t>年度第二次临时股东大会批准，申请首次公开发行</w:t>
      </w:r>
    </w:p>
    <w:p>
      <w:pPr>
        <w:pStyle w:val="BodyText"/>
        <w:spacing w:line="312" w:lineRule="exact" w:before="14"/>
        <w:ind w:right="102"/>
        <w:jc w:val="left"/>
      </w:pPr>
      <w:r>
        <w:rPr>
          <w:rFonts w:ascii="Calibri" w:hAnsi="Calibri" w:cs="Calibri" w:eastAsia="Calibri" w:hint="default"/>
        </w:rPr>
        <w:t>1,900</w:t>
      </w:r>
      <w:r>
        <w:rPr/>
        <w:t>万股人民币普通股股票并在创业板上市。根据中国证券监督管理委员会证监许 </w:t>
      </w:r>
      <w:r>
        <w:rPr>
          <w:spacing w:val="-3"/>
        </w:rPr>
        <w:t>可</w:t>
      </w:r>
      <w:r>
        <w:rPr>
          <w:rFonts w:ascii="Calibri" w:hAnsi="Calibri" w:cs="Calibri" w:eastAsia="Calibri" w:hint="default"/>
          <w:spacing w:val="-3"/>
        </w:rPr>
        <w:t>[2009]1313</w:t>
      </w:r>
      <w:r>
        <w:rPr>
          <w:spacing w:val="-3"/>
        </w:rPr>
        <w:t>号《关于核准北京超图软件股份有限公司首次公开发行股票并在创业板</w:t>
      </w:r>
      <w:r>
        <w:rPr>
          <w:spacing w:val="-108"/>
        </w:rPr>
        <w:t> </w:t>
      </w:r>
      <w:r>
        <w:rPr>
          <w:spacing w:val="-108"/>
        </w:rPr>
      </w:r>
      <w:r>
        <w:rPr>
          <w:spacing w:val="-10"/>
        </w:rPr>
        <w:t>上市的批复》核准，本公司公开发行人民币普通股（</w:t>
      </w:r>
      <w:r>
        <w:rPr>
          <w:rFonts w:ascii="Calibri" w:hAnsi="Calibri" w:cs="Calibri" w:eastAsia="Calibri" w:hint="default"/>
          <w:spacing w:val="-10"/>
        </w:rPr>
        <w:t>A</w:t>
      </w:r>
      <w:r>
        <w:rPr>
          <w:spacing w:val="-10"/>
        </w:rPr>
        <w:t>股）</w:t>
      </w:r>
      <w:r>
        <w:rPr>
          <w:rFonts w:ascii="Calibri" w:hAnsi="Calibri" w:cs="Calibri" w:eastAsia="Calibri" w:hint="default"/>
          <w:spacing w:val="-10"/>
        </w:rPr>
        <w:t>1,900</w:t>
      </w:r>
      <w:r>
        <w:rPr>
          <w:spacing w:val="-10"/>
        </w:rPr>
        <w:t>万股（每股面值</w:t>
      </w:r>
      <w:r>
        <w:rPr>
          <w:rFonts w:ascii="Calibri" w:hAnsi="Calibri" w:cs="Calibri" w:eastAsia="Calibri" w:hint="default"/>
          <w:spacing w:val="-10"/>
        </w:rPr>
        <w:t>1</w:t>
      </w:r>
      <w:r>
        <w:rPr>
          <w:spacing w:val="-10"/>
        </w:rPr>
        <w:t>元）。</w:t>
      </w:r>
      <w:r>
        <w:rPr>
          <w:spacing w:val="-99"/>
        </w:rPr>
        <w:t> </w:t>
      </w:r>
      <w:r>
        <w:rPr>
          <w:spacing w:val="-99"/>
        </w:rPr>
      </w:r>
      <w:r>
        <w:rPr/>
        <w:t>增发后本公司注册资本</w:t>
      </w:r>
      <w:r>
        <w:rPr>
          <w:rFonts w:ascii="Calibri" w:hAnsi="Calibri" w:cs="Calibri" w:eastAsia="Calibri" w:hint="default"/>
        </w:rPr>
        <w:t>7,500</w:t>
      </w:r>
      <w:r>
        <w:rPr/>
        <w:t>万元，业经京都天华会计师事务所有限公司出具京都天 </w:t>
      </w:r>
      <w:r>
        <w:rPr>
          <w:spacing w:val="-3"/>
        </w:rPr>
        <w:t>华验字（</w:t>
      </w:r>
      <w:r>
        <w:rPr>
          <w:rFonts w:ascii="Calibri" w:hAnsi="Calibri" w:cs="Calibri" w:eastAsia="Calibri" w:hint="default"/>
          <w:spacing w:val="-3"/>
        </w:rPr>
        <w:t>2009</w:t>
      </w:r>
      <w:r>
        <w:rPr>
          <w:spacing w:val="-3"/>
        </w:rPr>
        <w:t>）第</w:t>
      </w:r>
      <w:r>
        <w:rPr>
          <w:rFonts w:ascii="Calibri" w:hAnsi="Calibri" w:cs="Calibri" w:eastAsia="Calibri" w:hint="default"/>
          <w:spacing w:val="-3"/>
        </w:rPr>
        <w:t>109</w:t>
      </w:r>
      <w:r>
        <w:rPr>
          <w:spacing w:val="-3"/>
        </w:rPr>
        <w:t>号验资报告予以验证。经北京市工商行政管理局批准，本公司</w:t>
      </w:r>
      <w:r>
        <w:rPr>
          <w:spacing w:val="-84"/>
        </w:rPr>
        <w:t> </w:t>
      </w:r>
      <w:r>
        <w:rPr>
          <w:spacing w:val="-84"/>
        </w:rPr>
      </w:r>
      <w:r>
        <w:rPr/>
        <w:t>于</w:t>
      </w:r>
      <w:r>
        <w:rPr>
          <w:rFonts w:ascii="Calibri" w:hAnsi="Calibri" w:cs="Calibri" w:eastAsia="Calibri" w:hint="default"/>
        </w:rPr>
        <w:t>2010</w:t>
      </w:r>
      <w:r>
        <w:rPr/>
        <w:t>年</w:t>
      </w:r>
      <w:r>
        <w:rPr>
          <w:rFonts w:ascii="Calibri" w:hAnsi="Calibri" w:cs="Calibri" w:eastAsia="Calibri" w:hint="default"/>
        </w:rPr>
        <w:t>1</w:t>
      </w:r>
      <w:r>
        <w:rPr/>
        <w:t>月</w:t>
      </w:r>
      <w:r>
        <w:rPr>
          <w:rFonts w:ascii="Calibri" w:hAnsi="Calibri" w:cs="Calibri" w:eastAsia="Calibri" w:hint="default"/>
        </w:rPr>
        <w:t>28</w:t>
      </w:r>
      <w:r>
        <w:rPr/>
        <w:t>日取得了注册号为</w:t>
      </w:r>
      <w:r>
        <w:rPr>
          <w:rFonts w:ascii="Calibri" w:hAnsi="Calibri" w:cs="Calibri" w:eastAsia="Calibri" w:hint="default"/>
        </w:rPr>
        <w:t>110105002483632</w:t>
      </w:r>
      <w:r>
        <w:rPr/>
        <w:t>的企业法人营业执照。</w:t>
      </w:r>
    </w:p>
    <w:p>
      <w:pPr>
        <w:pStyle w:val="BodyText"/>
        <w:spacing w:line="312" w:lineRule="exact" w:before="216"/>
        <w:ind w:right="229"/>
        <w:jc w:val="both"/>
      </w:pPr>
      <w:r>
        <w:rPr/>
        <w:t>限售流通股股东持有的</w:t>
      </w:r>
      <w:r>
        <w:rPr>
          <w:rFonts w:ascii="Calibri" w:hAnsi="Calibri" w:cs="Calibri" w:eastAsia="Calibri" w:hint="default"/>
        </w:rPr>
        <w:t>23,504,000.00</w:t>
      </w:r>
      <w:r>
        <w:rPr/>
        <w:t>股有限售条件的流通股于</w:t>
      </w:r>
      <w:r>
        <w:rPr>
          <w:rFonts w:ascii="Calibri" w:hAnsi="Calibri" w:cs="Calibri" w:eastAsia="Calibri" w:hint="default"/>
        </w:rPr>
        <w:t>2010</w:t>
      </w:r>
      <w:r>
        <w:rPr/>
        <w:t>年</w:t>
      </w:r>
      <w:r>
        <w:rPr>
          <w:rFonts w:ascii="Calibri" w:hAnsi="Calibri" w:cs="Calibri" w:eastAsia="Calibri" w:hint="default"/>
        </w:rPr>
        <w:t>12</w:t>
      </w:r>
      <w:r>
        <w:rPr/>
        <w:t>月</w:t>
      </w:r>
      <w:r>
        <w:rPr>
          <w:rFonts w:ascii="Calibri" w:hAnsi="Calibri" w:cs="Calibri" w:eastAsia="Calibri" w:hint="default"/>
        </w:rPr>
        <w:t>27</w:t>
      </w:r>
      <w:r>
        <w:rPr/>
        <w:t>日上市</w:t>
      </w:r>
      <w:r>
        <w:rPr>
          <w:spacing w:val="-51"/>
        </w:rPr>
        <w:t> </w:t>
      </w:r>
      <w:r>
        <w:rPr/>
        <w:t>流通。</w:t>
      </w:r>
    </w:p>
    <w:p>
      <w:pPr>
        <w:pStyle w:val="BodyText"/>
        <w:spacing w:line="312" w:lineRule="exact" w:before="216"/>
        <w:ind w:right="229"/>
        <w:jc w:val="both"/>
      </w:pPr>
      <w:r>
        <w:rPr>
          <w:rFonts w:ascii="Calibri" w:hAnsi="Calibri" w:cs="Calibri" w:eastAsia="Calibri" w:hint="default"/>
        </w:rPr>
        <w:t>2011</w:t>
      </w:r>
      <w:r>
        <w:rPr/>
        <w:t>年</w:t>
      </w:r>
      <w:r>
        <w:rPr>
          <w:rFonts w:ascii="Calibri" w:hAnsi="Calibri" w:cs="Calibri" w:eastAsia="Calibri" w:hint="default"/>
        </w:rPr>
        <w:t>6</w:t>
      </w:r>
      <w:r>
        <w:rPr/>
        <w:t>月</w:t>
      </w:r>
      <w:r>
        <w:rPr>
          <w:rFonts w:ascii="Calibri" w:hAnsi="Calibri" w:cs="Calibri" w:eastAsia="Calibri" w:hint="default"/>
        </w:rPr>
        <w:t>16</w:t>
      </w:r>
      <w:r>
        <w:rPr/>
        <w:t>日，经本公司</w:t>
      </w:r>
      <w:r>
        <w:rPr>
          <w:rFonts w:ascii="Calibri" w:hAnsi="Calibri" w:cs="Calibri" w:eastAsia="Calibri" w:hint="default"/>
        </w:rPr>
        <w:t>2010</w:t>
      </w:r>
      <w:r>
        <w:rPr/>
        <w:t>年度股东大会批准，以</w:t>
      </w:r>
      <w:r>
        <w:rPr>
          <w:rFonts w:ascii="Calibri" w:hAnsi="Calibri" w:cs="Calibri" w:eastAsia="Calibri" w:hint="default"/>
        </w:rPr>
        <w:t>2010</w:t>
      </w:r>
      <w:r>
        <w:rPr/>
        <w:t>年末总股本</w:t>
      </w:r>
      <w:r>
        <w:rPr>
          <w:rFonts w:ascii="Calibri" w:hAnsi="Calibri" w:cs="Calibri" w:eastAsia="Calibri" w:hint="default"/>
        </w:rPr>
        <w:t>7,500</w:t>
      </w:r>
      <w:r>
        <w:rPr/>
        <w:t>万股为</w:t>
      </w:r>
      <w:r>
        <w:rPr>
          <w:spacing w:val="-51"/>
        </w:rPr>
        <w:t> </w:t>
      </w:r>
      <w:r>
        <w:rPr>
          <w:spacing w:val="2"/>
        </w:rPr>
        <w:t>基数，由资本公积向全体股东每</w:t>
      </w:r>
      <w:r>
        <w:rPr>
          <w:rFonts w:ascii="Calibri" w:hAnsi="Calibri" w:cs="Calibri" w:eastAsia="Calibri" w:hint="default"/>
          <w:spacing w:val="2"/>
        </w:rPr>
        <w:t>10</w:t>
      </w:r>
      <w:r>
        <w:rPr>
          <w:spacing w:val="2"/>
        </w:rPr>
        <w:t>股转增</w:t>
      </w:r>
      <w:r>
        <w:rPr>
          <w:rFonts w:ascii="Calibri" w:hAnsi="Calibri" w:cs="Calibri" w:eastAsia="Calibri" w:hint="default"/>
          <w:spacing w:val="2"/>
        </w:rPr>
        <w:t>6</w:t>
      </w:r>
      <w:r>
        <w:rPr>
          <w:spacing w:val="2"/>
        </w:rPr>
        <w:t>股，共转增</w:t>
      </w:r>
      <w:r>
        <w:rPr>
          <w:rFonts w:ascii="Calibri" w:hAnsi="Calibri" w:cs="Calibri" w:eastAsia="Calibri" w:hint="default"/>
          <w:spacing w:val="2"/>
        </w:rPr>
        <w:t>4,500</w:t>
      </w:r>
      <w:r>
        <w:rPr>
          <w:spacing w:val="2"/>
        </w:rPr>
        <w:t>万股。转增后的股本总</w:t>
      </w:r>
      <w:r>
        <w:rPr>
          <w:spacing w:val="-115"/>
        </w:rPr>
        <w:t> </w:t>
      </w:r>
      <w:r>
        <w:rPr>
          <w:spacing w:val="-115"/>
        </w:rPr>
      </w:r>
      <w:r>
        <w:rPr>
          <w:spacing w:val="-3"/>
        </w:rPr>
        <w:t>额为</w:t>
      </w:r>
      <w:r>
        <w:rPr>
          <w:rFonts w:ascii="Calibri" w:hAnsi="Calibri" w:cs="Calibri" w:eastAsia="Calibri" w:hint="default"/>
          <w:spacing w:val="-3"/>
        </w:rPr>
        <w:t>12,000</w:t>
      </w:r>
      <w:r>
        <w:rPr>
          <w:spacing w:val="-3"/>
        </w:rPr>
        <w:t>万股，注册资本变更为人民币</w:t>
      </w:r>
      <w:r>
        <w:rPr>
          <w:rFonts w:ascii="Calibri" w:hAnsi="Calibri" w:cs="Calibri" w:eastAsia="Calibri" w:hint="default"/>
          <w:spacing w:val="-3"/>
        </w:rPr>
        <w:t>12,000</w:t>
      </w:r>
      <w:r>
        <w:rPr>
          <w:spacing w:val="-3"/>
        </w:rPr>
        <w:t>万元，业经京都天华会计师事务所有</w:t>
      </w:r>
      <w:r>
        <w:rPr>
          <w:spacing w:val="-78"/>
        </w:rPr>
        <w:t> </w:t>
      </w:r>
      <w:r>
        <w:rPr>
          <w:spacing w:val="-78"/>
        </w:rPr>
      </w:r>
      <w:r>
        <w:rPr/>
        <w:t>限公司出具京都天华验字（</w:t>
      </w:r>
      <w:r>
        <w:rPr>
          <w:rFonts w:ascii="Calibri" w:hAnsi="Calibri" w:cs="Calibri" w:eastAsia="Calibri" w:hint="default"/>
        </w:rPr>
        <w:t>2011</w:t>
      </w:r>
      <w:r>
        <w:rPr/>
        <w:t>）第</w:t>
      </w:r>
      <w:r>
        <w:rPr>
          <w:rFonts w:ascii="Calibri" w:hAnsi="Calibri" w:cs="Calibri" w:eastAsia="Calibri" w:hint="default"/>
        </w:rPr>
        <w:t>0112</w:t>
      </w:r>
      <w:r>
        <w:rPr/>
        <w:t>号验资报告予以验证。</w:t>
      </w:r>
    </w:p>
    <w:p>
      <w:pPr>
        <w:pStyle w:val="BodyText"/>
        <w:spacing w:line="312" w:lineRule="exact" w:before="216"/>
        <w:ind w:right="229"/>
        <w:jc w:val="both"/>
      </w:pPr>
      <w:r>
        <w:rPr/>
        <w:t>限售流通股股东持有的</w:t>
      </w:r>
      <w:r>
        <w:rPr>
          <w:rFonts w:ascii="Calibri" w:hAnsi="Calibri" w:cs="Calibri" w:eastAsia="Calibri" w:hint="default"/>
        </w:rPr>
        <w:t>14,275,200.00</w:t>
      </w:r>
      <w:r>
        <w:rPr/>
        <w:t>股有限售条件的流通股于</w:t>
      </w:r>
      <w:r>
        <w:rPr>
          <w:rFonts w:ascii="Calibri" w:hAnsi="Calibri" w:cs="Calibri" w:eastAsia="Calibri" w:hint="default"/>
        </w:rPr>
        <w:t>2012</w:t>
      </w:r>
      <w:r>
        <w:rPr/>
        <w:t>年</w:t>
      </w:r>
      <w:r>
        <w:rPr>
          <w:rFonts w:ascii="Calibri" w:hAnsi="Calibri" w:cs="Calibri" w:eastAsia="Calibri" w:hint="default"/>
        </w:rPr>
        <w:t>12</w:t>
      </w:r>
      <w:r>
        <w:rPr/>
        <w:t>月</w:t>
      </w:r>
      <w:r>
        <w:rPr>
          <w:rFonts w:ascii="Calibri" w:hAnsi="Calibri" w:cs="Calibri" w:eastAsia="Calibri" w:hint="default"/>
        </w:rPr>
        <w:t>28</w:t>
      </w:r>
      <w:r>
        <w:rPr/>
        <w:t>日上市</w:t>
      </w:r>
      <w:r>
        <w:rPr>
          <w:spacing w:val="-52"/>
        </w:rPr>
        <w:t> </w:t>
      </w:r>
      <w:r>
        <w:rPr/>
        <w:t>流通。</w:t>
      </w:r>
    </w:p>
    <w:p>
      <w:pPr>
        <w:pStyle w:val="BodyText"/>
        <w:spacing w:line="240" w:lineRule="auto" w:before="185"/>
        <w:ind w:right="0"/>
        <w:jc w:val="both"/>
      </w:pPr>
      <w:r>
        <w:rPr/>
        <w:t>截至</w:t>
      </w:r>
      <w:r>
        <w:rPr>
          <w:rFonts w:ascii="Calibri" w:hAnsi="Calibri" w:cs="Calibri" w:eastAsia="Calibri" w:hint="default"/>
        </w:rPr>
        <w:t>2012</w:t>
      </w:r>
      <w:r>
        <w:rPr/>
        <w:t>年</w:t>
      </w:r>
      <w:r>
        <w:rPr>
          <w:rFonts w:ascii="Calibri" w:hAnsi="Calibri" w:cs="Calibri" w:eastAsia="Calibri" w:hint="default"/>
        </w:rPr>
        <w:t>12</w:t>
      </w:r>
      <w:r>
        <w:rPr/>
        <w:t>月</w:t>
      </w:r>
      <w:r>
        <w:rPr>
          <w:rFonts w:ascii="Calibri" w:hAnsi="Calibri" w:cs="Calibri" w:eastAsia="Calibri" w:hint="default"/>
        </w:rPr>
        <w:t>31</w:t>
      </w:r>
      <w:r>
        <w:rPr/>
        <w:t>日，本公司股本结构为：</w:t>
      </w:r>
    </w:p>
    <w:p>
      <w:pPr>
        <w:spacing w:line="240" w:lineRule="auto" w:before="2"/>
        <w:rPr>
          <w:rFonts w:ascii="宋体" w:hAnsi="宋体" w:cs="宋体" w:eastAsia="宋体" w:hint="default"/>
          <w:sz w:val="17"/>
          <w:szCs w:val="17"/>
        </w:rPr>
      </w:pPr>
    </w:p>
    <w:tbl>
      <w:tblPr>
        <w:tblW w:w="0" w:type="auto"/>
        <w:jc w:val="left"/>
        <w:tblInd w:w="541" w:type="dxa"/>
        <w:tblLayout w:type="fixed"/>
        <w:tblCellMar>
          <w:top w:w="0" w:type="dxa"/>
          <w:left w:w="0" w:type="dxa"/>
          <w:bottom w:w="0" w:type="dxa"/>
          <w:right w:w="0" w:type="dxa"/>
        </w:tblCellMar>
        <w:tblLook w:val="01E0"/>
      </w:tblPr>
      <w:tblGrid>
        <w:gridCol w:w="3574"/>
        <w:gridCol w:w="2715"/>
        <w:gridCol w:w="2422"/>
      </w:tblGrid>
      <w:tr>
        <w:trPr>
          <w:trHeight w:val="348" w:hRule="exact"/>
        </w:trPr>
        <w:tc>
          <w:tcPr>
            <w:tcW w:w="3574"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right="1"/>
              <w:jc w:val="center"/>
              <w:rPr>
                <w:rFonts w:ascii="宋体" w:hAnsi="宋体" w:cs="宋体" w:eastAsia="宋体" w:hint="default"/>
                <w:sz w:val="21"/>
                <w:szCs w:val="21"/>
              </w:rPr>
            </w:pPr>
            <w:r>
              <w:rPr>
                <w:rFonts w:ascii="宋体" w:hAnsi="宋体" w:cs="宋体" w:eastAsia="宋体" w:hint="default"/>
                <w:b/>
                <w:bCs/>
                <w:sz w:val="21"/>
                <w:szCs w:val="21"/>
              </w:rPr>
              <w:t>股东名称</w:t>
            </w:r>
            <w:r>
              <w:rPr>
                <w:rFonts w:ascii="宋体" w:hAnsi="宋体" w:cs="宋体" w:eastAsia="宋体" w:hint="default"/>
                <w:sz w:val="21"/>
                <w:szCs w:val="21"/>
              </w:rPr>
            </w:r>
          </w:p>
        </w:tc>
        <w:tc>
          <w:tcPr>
            <w:tcW w:w="2715" w:type="dxa"/>
            <w:tcBorders>
              <w:top w:val="single" w:sz="6" w:space="0" w:color="000000"/>
              <w:left w:val="single" w:sz="6" w:space="0" w:color="000000"/>
              <w:bottom w:val="single" w:sz="8" w:space="0" w:color="000000"/>
              <w:right w:val="single" w:sz="6" w:space="0" w:color="000000"/>
            </w:tcBorders>
          </w:tcPr>
          <w:p>
            <w:pPr>
              <w:pStyle w:val="TableParagraph"/>
              <w:spacing w:line="272" w:lineRule="exact"/>
              <w:ind w:right="-1"/>
              <w:jc w:val="right"/>
              <w:rPr>
                <w:rFonts w:ascii="宋体" w:hAnsi="宋体" w:cs="宋体" w:eastAsia="宋体" w:hint="default"/>
                <w:sz w:val="21"/>
                <w:szCs w:val="21"/>
              </w:rPr>
            </w:pPr>
            <w:r>
              <w:rPr>
                <w:rFonts w:ascii="宋体" w:hAnsi="宋体" w:cs="宋体" w:eastAsia="宋体" w:hint="default"/>
                <w:b/>
                <w:bCs/>
                <w:sz w:val="21"/>
                <w:szCs w:val="21"/>
              </w:rPr>
              <w:t>持股数量（万股）</w:t>
            </w:r>
            <w:r>
              <w:rPr>
                <w:rFonts w:ascii="宋体" w:hAnsi="宋体" w:cs="宋体" w:eastAsia="宋体" w:hint="default"/>
                <w:sz w:val="21"/>
                <w:szCs w:val="21"/>
              </w:rPr>
            </w:r>
          </w:p>
        </w:tc>
        <w:tc>
          <w:tcPr>
            <w:tcW w:w="2422" w:type="dxa"/>
            <w:tcBorders>
              <w:top w:val="single" w:sz="6" w:space="0" w:color="000000"/>
              <w:left w:val="single" w:sz="6" w:space="0" w:color="000000"/>
              <w:bottom w:val="single" w:sz="8" w:space="0" w:color="000000"/>
              <w:right w:val="single" w:sz="6" w:space="0" w:color="000000"/>
            </w:tcBorders>
          </w:tcPr>
          <w:p>
            <w:pPr>
              <w:pStyle w:val="TableParagraph"/>
              <w:spacing w:line="299" w:lineRule="exact"/>
              <w:ind w:right="-1"/>
              <w:jc w:val="right"/>
              <w:rPr>
                <w:rFonts w:ascii="Calibri" w:hAnsi="Calibri" w:cs="Calibri" w:eastAsia="Calibri" w:hint="default"/>
                <w:sz w:val="21"/>
                <w:szCs w:val="21"/>
              </w:rPr>
            </w:pPr>
            <w:r>
              <w:rPr>
                <w:rFonts w:ascii="宋体" w:hAnsi="宋体" w:cs="宋体" w:eastAsia="宋体" w:hint="default"/>
                <w:b/>
                <w:bCs/>
                <w:sz w:val="21"/>
                <w:szCs w:val="21"/>
              </w:rPr>
              <w:t>持股比例</w:t>
            </w:r>
            <w:r>
              <w:rPr>
                <w:rFonts w:ascii="Calibri" w:hAnsi="Calibri" w:cs="Calibri" w:eastAsia="Calibri" w:hint="default"/>
                <w:b/>
                <w:bCs/>
                <w:sz w:val="21"/>
                <w:szCs w:val="21"/>
              </w:rPr>
              <w:t>%</w:t>
            </w:r>
            <w:r>
              <w:rPr>
                <w:rFonts w:ascii="Calibri" w:hAnsi="Calibri" w:cs="Calibri" w:eastAsia="Calibri" w:hint="default"/>
                <w:sz w:val="21"/>
                <w:szCs w:val="21"/>
              </w:rPr>
            </w:r>
          </w:p>
        </w:tc>
      </w:tr>
      <w:tr>
        <w:trPr>
          <w:trHeight w:val="348" w:hRule="exact"/>
        </w:trPr>
        <w:tc>
          <w:tcPr>
            <w:tcW w:w="357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发起人股（限售）</w:t>
            </w:r>
          </w:p>
        </w:tc>
        <w:tc>
          <w:tcPr>
            <w:tcW w:w="27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2"/>
              <w:jc w:val="right"/>
              <w:rPr>
                <w:rFonts w:ascii="Calibri" w:hAnsi="Calibri" w:cs="Calibri" w:eastAsia="Calibri" w:hint="default"/>
                <w:sz w:val="21"/>
                <w:szCs w:val="21"/>
              </w:rPr>
            </w:pPr>
            <w:r>
              <w:rPr>
                <w:rFonts w:ascii="Calibri"/>
                <w:spacing w:val="-1"/>
                <w:sz w:val="21"/>
              </w:rPr>
              <w:t>3,771.84</w:t>
            </w:r>
          </w:p>
        </w:tc>
        <w:tc>
          <w:tcPr>
            <w:tcW w:w="24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
              <w:jc w:val="right"/>
              <w:rPr>
                <w:rFonts w:ascii="Calibri" w:hAnsi="Calibri" w:cs="Calibri" w:eastAsia="Calibri" w:hint="default"/>
                <w:sz w:val="21"/>
                <w:szCs w:val="21"/>
              </w:rPr>
            </w:pPr>
            <w:r>
              <w:rPr>
                <w:rFonts w:ascii="Calibri"/>
                <w:spacing w:val="-1"/>
                <w:sz w:val="21"/>
              </w:rPr>
              <w:t>31.43</w:t>
            </w:r>
          </w:p>
        </w:tc>
      </w:tr>
      <w:tr>
        <w:trPr>
          <w:trHeight w:val="346" w:hRule="exact"/>
        </w:trPr>
        <w:tc>
          <w:tcPr>
            <w:tcW w:w="3574" w:type="dxa"/>
            <w:tcBorders>
              <w:top w:val="single" w:sz="8" w:space="0" w:color="000000"/>
              <w:left w:val="single" w:sz="6" w:space="0" w:color="000000"/>
              <w:bottom w:val="single" w:sz="8" w:space="0" w:color="000000"/>
              <w:right w:val="single" w:sz="6" w:space="0" w:color="000000"/>
            </w:tcBorders>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sz w:val="21"/>
                <w:szCs w:val="21"/>
              </w:rPr>
              <w:t>发起人股（非限售）</w:t>
            </w:r>
          </w:p>
        </w:tc>
        <w:tc>
          <w:tcPr>
            <w:tcW w:w="27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2"/>
              <w:jc w:val="right"/>
              <w:rPr>
                <w:rFonts w:ascii="Calibri" w:hAnsi="Calibri" w:cs="Calibri" w:eastAsia="Calibri" w:hint="default"/>
                <w:sz w:val="21"/>
                <w:szCs w:val="21"/>
              </w:rPr>
            </w:pPr>
            <w:r>
              <w:rPr>
                <w:rFonts w:ascii="Calibri"/>
                <w:spacing w:val="-1"/>
                <w:sz w:val="21"/>
              </w:rPr>
              <w:t>5,188.16</w:t>
            </w:r>
          </w:p>
        </w:tc>
        <w:tc>
          <w:tcPr>
            <w:tcW w:w="24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
              <w:jc w:val="right"/>
              <w:rPr>
                <w:rFonts w:ascii="Calibri" w:hAnsi="Calibri" w:cs="Calibri" w:eastAsia="Calibri" w:hint="default"/>
                <w:sz w:val="21"/>
                <w:szCs w:val="21"/>
              </w:rPr>
            </w:pPr>
            <w:r>
              <w:rPr>
                <w:rFonts w:ascii="Calibri"/>
                <w:spacing w:val="-1"/>
                <w:sz w:val="21"/>
              </w:rPr>
              <w:t>43.24</w:t>
            </w:r>
          </w:p>
        </w:tc>
      </w:tr>
      <w:tr>
        <w:trPr>
          <w:trHeight w:val="348" w:hRule="exact"/>
        </w:trPr>
        <w:tc>
          <w:tcPr>
            <w:tcW w:w="3574" w:type="dxa"/>
            <w:tcBorders>
              <w:top w:val="single" w:sz="8" w:space="0" w:color="000000"/>
              <w:left w:val="single" w:sz="6" w:space="0" w:color="000000"/>
              <w:bottom w:val="single" w:sz="8"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社会公众股</w:t>
            </w:r>
          </w:p>
        </w:tc>
        <w:tc>
          <w:tcPr>
            <w:tcW w:w="27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2"/>
              <w:jc w:val="right"/>
              <w:rPr>
                <w:rFonts w:ascii="Calibri" w:hAnsi="Calibri" w:cs="Calibri" w:eastAsia="Calibri" w:hint="default"/>
                <w:sz w:val="21"/>
                <w:szCs w:val="21"/>
              </w:rPr>
            </w:pPr>
            <w:r>
              <w:rPr>
                <w:rFonts w:ascii="Calibri"/>
                <w:spacing w:val="-1"/>
                <w:sz w:val="21"/>
              </w:rPr>
              <w:t>3,040.00</w:t>
            </w:r>
          </w:p>
        </w:tc>
        <w:tc>
          <w:tcPr>
            <w:tcW w:w="24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5"/>
              <w:ind w:right="1"/>
              <w:jc w:val="right"/>
              <w:rPr>
                <w:rFonts w:ascii="Calibri" w:hAnsi="Calibri" w:cs="Calibri" w:eastAsia="Calibri" w:hint="default"/>
                <w:sz w:val="21"/>
                <w:szCs w:val="21"/>
              </w:rPr>
            </w:pPr>
            <w:r>
              <w:rPr>
                <w:rFonts w:ascii="Calibri"/>
                <w:spacing w:val="-1"/>
                <w:sz w:val="21"/>
              </w:rPr>
              <w:t>25.33</w:t>
            </w:r>
          </w:p>
        </w:tc>
      </w:tr>
      <w:tr>
        <w:trPr>
          <w:trHeight w:val="348" w:hRule="exact"/>
        </w:trPr>
        <w:tc>
          <w:tcPr>
            <w:tcW w:w="3574" w:type="dxa"/>
            <w:tcBorders>
              <w:top w:val="single" w:sz="8" w:space="0" w:color="000000"/>
              <w:left w:val="single" w:sz="6" w:space="0" w:color="000000"/>
              <w:bottom w:val="single" w:sz="8" w:space="0" w:color="000000"/>
              <w:right w:val="single" w:sz="6" w:space="0" w:color="000000"/>
            </w:tcBorders>
          </w:tcPr>
          <w:p>
            <w:pPr>
              <w:pStyle w:val="TableParagraph"/>
              <w:tabs>
                <w:tab w:pos="429" w:val="left" w:leader="none"/>
              </w:tabs>
              <w:spacing w:line="267" w:lineRule="exact"/>
              <w:ind w:right="0"/>
              <w:jc w:val="center"/>
              <w:rPr>
                <w:rFonts w:ascii="宋体" w:hAnsi="宋体" w:cs="宋体" w:eastAsia="宋体" w:hint="default"/>
                <w:sz w:val="21"/>
                <w:szCs w:val="21"/>
              </w:rPr>
            </w:pPr>
            <w:r>
              <w:rPr>
                <w:rFonts w:ascii="宋体" w:hAnsi="宋体" w:cs="宋体" w:eastAsia="宋体" w:hint="default"/>
                <w:b/>
                <w:bCs/>
                <w:sz w:val="21"/>
                <w:szCs w:val="21"/>
              </w:rPr>
              <w:t>合</w:t>
              <w:tab/>
              <w:t>计</w:t>
            </w:r>
            <w:r>
              <w:rPr>
                <w:rFonts w:ascii="宋体" w:hAnsi="宋体" w:cs="宋体" w:eastAsia="宋体" w:hint="default"/>
                <w:sz w:val="21"/>
                <w:szCs w:val="21"/>
              </w:rPr>
            </w:r>
          </w:p>
        </w:tc>
        <w:tc>
          <w:tcPr>
            <w:tcW w:w="271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
              <w:jc w:val="right"/>
              <w:rPr>
                <w:rFonts w:ascii="Calibri" w:hAnsi="Calibri" w:cs="Calibri" w:eastAsia="Calibri" w:hint="default"/>
                <w:sz w:val="21"/>
                <w:szCs w:val="21"/>
              </w:rPr>
            </w:pPr>
            <w:r>
              <w:rPr>
                <w:rFonts w:ascii="Calibri"/>
                <w:b/>
                <w:spacing w:val="-2"/>
                <w:sz w:val="21"/>
              </w:rPr>
              <w:t>12,000.00</w:t>
            </w:r>
            <w:r>
              <w:rPr>
                <w:rFonts w:ascii="Calibri"/>
                <w:spacing w:val="-2"/>
                <w:sz w:val="21"/>
              </w:rPr>
            </w:r>
          </w:p>
        </w:tc>
        <w:tc>
          <w:tcPr>
            <w:tcW w:w="24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3"/>
              <w:ind w:right="1"/>
              <w:jc w:val="right"/>
              <w:rPr>
                <w:rFonts w:ascii="Calibri" w:hAnsi="Calibri" w:cs="Calibri" w:eastAsia="Calibri" w:hint="default"/>
                <w:sz w:val="21"/>
                <w:szCs w:val="21"/>
              </w:rPr>
            </w:pPr>
            <w:r>
              <w:rPr>
                <w:rFonts w:ascii="Calibri"/>
                <w:b/>
                <w:spacing w:val="-1"/>
                <w:sz w:val="21"/>
              </w:rPr>
              <w:t>100.00</w:t>
            </w:r>
            <w:r>
              <w:rPr>
                <w:rFonts w:ascii="Calibri"/>
                <w:spacing w:val="-1"/>
                <w:sz w:val="21"/>
              </w:rPr>
            </w:r>
          </w:p>
        </w:tc>
      </w:tr>
    </w:tbl>
    <w:p>
      <w:pPr>
        <w:pStyle w:val="BodyText"/>
        <w:spacing w:line="230" w:lineRule="auto" w:before="91"/>
        <w:ind w:right="227"/>
        <w:jc w:val="both"/>
      </w:pPr>
      <w:r>
        <w:rPr/>
        <w:t>本公司建立了股东大会、董事会、监事会的法人治理结构，目前设总裁办公室、业</w:t>
      </w:r>
      <w:r>
        <w:rPr>
          <w:spacing w:val="-77"/>
        </w:rPr>
        <w:t> </w:t>
      </w:r>
      <w:r>
        <w:rPr>
          <w:spacing w:val="-77"/>
        </w:rPr>
      </w:r>
      <w:r>
        <w:rPr/>
        <w:t>务部、市场部、人力资源部、企管部、合同与项目管理部、财务中心、研发中心等</w:t>
      </w:r>
      <w:r>
        <w:rPr>
          <w:spacing w:val="-77"/>
        </w:rPr>
        <w:t> </w:t>
      </w:r>
      <w:r>
        <w:rPr>
          <w:spacing w:val="-77"/>
        </w:rPr>
      </w:r>
      <w:r>
        <w:rPr/>
        <w:t>部门，拥有超图信息技术有限公司等三家子公司以及广州、上海、杭州、成都等七</w:t>
      </w:r>
      <w:r>
        <w:rPr>
          <w:spacing w:val="-73"/>
        </w:rPr>
        <w:t> </w:t>
      </w:r>
      <w:r>
        <w:rPr>
          <w:spacing w:val="-73"/>
        </w:rPr>
      </w:r>
      <w:r>
        <w:rPr/>
        <w:t>家分公司。本公司法定代表人：钟耳顺，住所：北京市朝阳区酒仙桥北路甲</w:t>
      </w:r>
      <w:r>
        <w:rPr>
          <w:rFonts w:ascii="Calibri" w:hAnsi="Calibri" w:cs="Calibri" w:eastAsia="Calibri" w:hint="default"/>
        </w:rPr>
        <w:t>10</w:t>
      </w:r>
      <w:r>
        <w:rPr/>
        <w:t>号电</w:t>
      </w:r>
      <w:r>
        <w:rPr>
          <w:spacing w:val="-71"/>
        </w:rPr>
        <w:t> </w:t>
      </w:r>
      <w:r>
        <w:rPr>
          <w:spacing w:val="-1"/>
        </w:rPr>
        <w:t>子城</w:t>
      </w:r>
      <w:r>
        <w:rPr>
          <w:rFonts w:ascii="Calibri" w:hAnsi="Calibri" w:cs="Calibri" w:eastAsia="Calibri" w:hint="default"/>
          <w:spacing w:val="-1"/>
        </w:rPr>
        <w:t>IT</w:t>
      </w:r>
      <w:r>
        <w:rPr>
          <w:spacing w:val="-1"/>
        </w:rPr>
        <w:t>产业园</w:t>
      </w:r>
      <w:r>
        <w:rPr>
          <w:rFonts w:ascii="Calibri" w:hAnsi="Calibri" w:cs="Calibri" w:eastAsia="Calibri" w:hint="default"/>
          <w:spacing w:val="-1"/>
        </w:rPr>
        <w:t>201</w:t>
      </w:r>
      <w:r>
        <w:rPr>
          <w:spacing w:val="-1"/>
        </w:rPr>
        <w:t>号楼</w:t>
      </w:r>
      <w:r>
        <w:rPr>
          <w:rFonts w:ascii="Calibri" w:hAnsi="Calibri" w:cs="Calibri" w:eastAsia="Calibri" w:hint="default"/>
          <w:spacing w:val="-1"/>
        </w:rPr>
        <w:t>E</w:t>
      </w:r>
      <w:r>
        <w:rPr>
          <w:spacing w:val="-1"/>
        </w:rPr>
        <w:t>门</w:t>
      </w:r>
      <w:r>
        <w:rPr>
          <w:rFonts w:ascii="Calibri" w:hAnsi="Calibri" w:cs="Calibri" w:eastAsia="Calibri" w:hint="default"/>
          <w:spacing w:val="-1"/>
        </w:rPr>
        <w:t>3</w:t>
      </w:r>
      <w:r>
        <w:rPr>
          <w:spacing w:val="-1"/>
        </w:rPr>
        <w:t>层，经批准的经营范围为：地理信息系统、遥感、全球定</w:t>
      </w:r>
      <w:r>
        <w:rPr>
          <w:spacing w:val="-96"/>
        </w:rPr>
        <w:t> </w:t>
      </w:r>
      <w:r>
        <w:rPr>
          <w:spacing w:val="-96"/>
        </w:rPr>
      </w:r>
      <w:r>
        <w:rPr/>
        <w:t>位系统、办公自动化软件技术开发、技术咨询、技术转让、技术服务；电子计算机</w:t>
      </w:r>
    </w:p>
    <w:p>
      <w:pPr>
        <w:spacing w:after="0" w:line="230" w:lineRule="auto"/>
        <w:jc w:val="both"/>
        <w:sectPr>
          <w:headerReference w:type="default" r:id="rId41"/>
          <w:footerReference w:type="default" r:id="rId42"/>
          <w:pgSz w:w="11910" w:h="16840"/>
          <w:pgMar w:header="884" w:footer="1007" w:top="1160" w:bottom="1200" w:left="1240" w:right="1180"/>
          <w:pgNumType w:start="94"/>
        </w:sectPr>
      </w:pPr>
    </w:p>
    <w:p>
      <w:pPr>
        <w:spacing w:line="240" w:lineRule="auto" w:before="13"/>
        <w:rPr>
          <w:rFonts w:ascii="宋体" w:hAnsi="宋体" w:cs="宋体" w:eastAsia="宋体" w:hint="default"/>
          <w:sz w:val="14"/>
          <w:szCs w:val="14"/>
        </w:rPr>
      </w:pPr>
    </w:p>
    <w:p>
      <w:pPr>
        <w:pStyle w:val="BodyText"/>
        <w:spacing w:line="312" w:lineRule="exact" w:before="56"/>
        <w:ind w:right="138"/>
        <w:jc w:val="both"/>
      </w:pPr>
      <w:r>
        <w:rPr/>
        <w:t>系统集成；销售开发后的产品；经营本企业和成员企业自产产品及技术出口业务；</w:t>
      </w:r>
      <w:r>
        <w:rPr>
          <w:spacing w:val="-77"/>
        </w:rPr>
        <w:t> </w:t>
      </w:r>
      <w:r>
        <w:rPr>
          <w:spacing w:val="-77"/>
        </w:rPr>
      </w:r>
      <w:r>
        <w:rPr/>
        <w:t>本企业和成员企业所需的原辅材料、机械设备、仪器仪表、零配件及技术的进口业</w:t>
      </w:r>
      <w:r>
        <w:rPr>
          <w:spacing w:val="-77"/>
        </w:rPr>
        <w:t> </w:t>
      </w:r>
      <w:r>
        <w:rPr>
          <w:spacing w:val="-77"/>
        </w:rPr>
      </w:r>
      <w:r>
        <w:rPr/>
        <w:t>务（国家限定公司经营和国家禁止进出口的商品除外）；经营进料加工和三来一补</w:t>
      </w:r>
      <w:r>
        <w:rPr>
          <w:spacing w:val="-77"/>
        </w:rPr>
        <w:t> </w:t>
      </w:r>
      <w:r>
        <w:rPr>
          <w:spacing w:val="-77"/>
        </w:rPr>
      </w:r>
      <w:r>
        <w:rPr/>
        <w:t>业务；技术培训；出租办公用房。</w:t>
      </w:r>
    </w:p>
    <w:p>
      <w:pPr>
        <w:spacing w:line="240" w:lineRule="auto" w:before="0"/>
        <w:rPr>
          <w:rFonts w:ascii="宋体" w:hAnsi="宋体" w:cs="宋体" w:eastAsia="宋体" w:hint="default"/>
          <w:sz w:val="24"/>
          <w:szCs w:val="24"/>
        </w:rPr>
      </w:pPr>
    </w:p>
    <w:p>
      <w:pPr>
        <w:spacing w:line="273" w:lineRule="auto" w:before="211"/>
        <w:ind w:left="558" w:right="0" w:firstLine="0"/>
        <w:jc w:val="left"/>
        <w:rPr>
          <w:rFonts w:ascii="宋体" w:hAnsi="宋体" w:cs="宋体" w:eastAsia="宋体" w:hint="default"/>
          <w:sz w:val="21"/>
          <w:szCs w:val="21"/>
        </w:rPr>
      </w:pPr>
      <w:r>
        <w:rPr>
          <w:rFonts w:ascii="宋体" w:hAnsi="宋体" w:cs="宋体" w:eastAsia="宋体" w:hint="default"/>
          <w:spacing w:val="-2"/>
          <w:sz w:val="21"/>
          <w:szCs w:val="21"/>
        </w:rPr>
        <w:t>注：首次公开发行证券的公司，应披露公司历史沿革、改制情况、行业性质、经营范围、主要</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产品或提供的劳务，主业变更、公司基本组织架构等内容。</w:t>
      </w:r>
      <w:r>
        <w:rPr>
          <w:rFonts w:ascii="宋体" w:hAnsi="宋体" w:cs="宋体" w:eastAsia="宋体" w:hint="default"/>
          <w:w w:val="100"/>
          <w:sz w:val="21"/>
          <w:szCs w:val="21"/>
        </w:rPr>
        <w:t> </w:t>
      </w:r>
      <w:r>
        <w:rPr>
          <w:rFonts w:ascii="宋体" w:hAnsi="宋体" w:cs="宋体" w:eastAsia="宋体" w:hint="default"/>
          <w:spacing w:val="-2"/>
          <w:sz w:val="21"/>
          <w:szCs w:val="21"/>
        </w:rPr>
        <w:t>注：首次公开发行证券的公司若从其设立为股份有限公司时起运行不足三年的，应说明设立为</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股份公司之前各会计期间的财务报表主体及其确定方法和所有者权益变动情况。</w:t>
      </w:r>
    </w:p>
    <w:p>
      <w:pPr>
        <w:spacing w:line="240" w:lineRule="auto" w:before="8"/>
        <w:rPr>
          <w:rFonts w:ascii="宋体" w:hAnsi="宋体" w:cs="宋体" w:eastAsia="宋体" w:hint="default"/>
          <w:sz w:val="21"/>
          <w:szCs w:val="21"/>
        </w:rPr>
      </w:pPr>
    </w:p>
    <w:p>
      <w:pPr>
        <w:pStyle w:val="Heading4"/>
        <w:spacing w:line="240" w:lineRule="auto"/>
        <w:ind w:left="558" w:right="0"/>
        <w:jc w:val="both"/>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spacing w:before="0"/>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30"/>
        <w:jc w:val="both"/>
      </w:pPr>
      <w:r>
        <w:rPr>
          <w:spacing w:val="-2"/>
        </w:rPr>
        <w:t>本财务报表按照财政部</w:t>
      </w:r>
      <w:r>
        <w:rPr>
          <w:rFonts w:ascii="Calibri" w:hAnsi="Calibri" w:cs="Calibri" w:eastAsia="Calibri" w:hint="default"/>
          <w:spacing w:val="-2"/>
        </w:rPr>
        <w:t>2006</w:t>
      </w:r>
      <w:r>
        <w:rPr>
          <w:spacing w:val="-2"/>
        </w:rPr>
        <w:t>年</w:t>
      </w:r>
      <w:r>
        <w:rPr>
          <w:rFonts w:ascii="Calibri" w:hAnsi="Calibri" w:cs="Calibri" w:eastAsia="Calibri" w:hint="default"/>
          <w:spacing w:val="-2"/>
        </w:rPr>
        <w:t>2</w:t>
      </w:r>
      <w:r>
        <w:rPr>
          <w:spacing w:val="-2"/>
        </w:rPr>
        <w:t>月颁布的《企业会计准则</w:t>
      </w:r>
      <w:r>
        <w:rPr>
          <w:rFonts w:ascii="Calibri" w:hAnsi="Calibri" w:cs="Calibri" w:eastAsia="Calibri" w:hint="default"/>
          <w:spacing w:val="-2"/>
        </w:rPr>
        <w:t>—</w:t>
      </w:r>
      <w:r>
        <w:rPr>
          <w:spacing w:val="-2"/>
        </w:rPr>
        <w:t>基本准则》和</w:t>
      </w:r>
      <w:r>
        <w:rPr>
          <w:rFonts w:ascii="Calibri" w:hAnsi="Calibri" w:cs="Calibri" w:eastAsia="Calibri" w:hint="default"/>
          <w:spacing w:val="-2"/>
        </w:rPr>
        <w:t>38</w:t>
      </w:r>
      <w:r>
        <w:rPr>
          <w:spacing w:val="-2"/>
        </w:rPr>
        <w:t>项具体会</w:t>
      </w:r>
      <w:r>
        <w:rPr>
          <w:spacing w:val="-103"/>
        </w:rPr>
        <w:t> </w:t>
      </w:r>
      <w:r>
        <w:rPr>
          <w:spacing w:val="2"/>
        </w:rPr>
        <w:t>计准则及其应用指南、解释及其他有关规定（统称</w:t>
      </w:r>
      <w:r>
        <w:rPr>
          <w:rFonts w:ascii="Calibri" w:hAnsi="Calibri" w:cs="Calibri" w:eastAsia="Calibri" w:hint="default"/>
          <w:spacing w:val="2"/>
        </w:rPr>
        <w:t>“</w:t>
      </w:r>
      <w:r>
        <w:rPr>
          <w:spacing w:val="2"/>
        </w:rPr>
        <w:t>企业会计准则</w:t>
      </w:r>
      <w:r>
        <w:rPr>
          <w:rFonts w:ascii="Calibri" w:hAnsi="Calibri" w:cs="Calibri" w:eastAsia="Calibri" w:hint="default"/>
          <w:spacing w:val="2"/>
        </w:rPr>
        <w:t>”</w:t>
      </w:r>
      <w:r>
        <w:rPr>
          <w:spacing w:val="2"/>
        </w:rPr>
        <w:t>）编制。此外，</w:t>
      </w:r>
      <w:r>
        <w:rPr>
          <w:spacing w:val="-116"/>
        </w:rPr>
        <w:t> </w:t>
      </w:r>
      <w:r>
        <w:rPr/>
        <w:t>本公司还按照中国证监会《公开发行证券的公司信息披露编报规则第</w:t>
      </w:r>
      <w:r>
        <w:rPr>
          <w:rFonts w:ascii="Calibri" w:hAnsi="Calibri" w:cs="Calibri" w:eastAsia="Calibri" w:hint="default"/>
        </w:rPr>
        <w:t>15</w:t>
      </w:r>
      <w:r>
        <w:rPr/>
        <w:t>号</w:t>
      </w:r>
      <w:r>
        <w:rPr>
          <w:rFonts w:ascii="Calibri" w:hAnsi="Calibri" w:cs="Calibri" w:eastAsia="Calibri" w:hint="default"/>
        </w:rPr>
        <w:t>—</w:t>
      </w:r>
      <w:r>
        <w:rPr/>
        <w:t>财务报</w:t>
      </w:r>
      <w:r>
        <w:rPr>
          <w:spacing w:val="-55"/>
        </w:rPr>
        <w:t> </w:t>
      </w:r>
      <w:r>
        <w:rPr/>
        <w:t>告的一般规定》（</w:t>
      </w:r>
      <w:r>
        <w:rPr>
          <w:rFonts w:ascii="Calibri" w:hAnsi="Calibri" w:cs="Calibri" w:eastAsia="Calibri" w:hint="default"/>
        </w:rPr>
        <w:t>2010</w:t>
      </w:r>
      <w:r>
        <w:rPr/>
        <w:t>年修订）披露有关财务信息。</w:t>
      </w:r>
    </w:p>
    <w:p>
      <w:pPr>
        <w:pStyle w:val="BodyText"/>
        <w:spacing w:line="240" w:lineRule="auto" w:before="185"/>
        <w:ind w:right="0"/>
        <w:jc w:val="both"/>
      </w:pPr>
      <w:r>
        <w:rPr/>
        <w:t>本财务报表以持续经营为基础列报。</w:t>
      </w:r>
    </w:p>
    <w:p>
      <w:pPr>
        <w:spacing w:line="240" w:lineRule="auto" w:before="10"/>
        <w:rPr>
          <w:rFonts w:ascii="宋体" w:hAnsi="宋体" w:cs="宋体" w:eastAsia="宋体" w:hint="default"/>
          <w:sz w:val="18"/>
          <w:szCs w:val="18"/>
        </w:rPr>
      </w:pPr>
    </w:p>
    <w:p>
      <w:pPr>
        <w:pStyle w:val="BodyText"/>
        <w:spacing w:line="312" w:lineRule="exact"/>
        <w:ind w:right="138"/>
        <w:jc w:val="both"/>
      </w:pPr>
      <w:r>
        <w:rPr/>
        <w:t>本公司会计核算以权责发生制为基础。除某些金融工具外，本财务报表均以历史成</w:t>
      </w:r>
      <w:r>
        <w:rPr>
          <w:spacing w:val="-77"/>
        </w:rPr>
        <w:t> </w:t>
      </w:r>
      <w:r>
        <w:rPr>
          <w:spacing w:val="-77"/>
        </w:rPr>
      </w:r>
      <w:r>
        <w:rPr/>
        <w:t>本为计量基础。资产如果发生减值，则按照相关规定计提相应的减值准备。</w:t>
      </w:r>
    </w:p>
    <w:p>
      <w:pPr>
        <w:spacing w:before="213"/>
        <w:ind w:left="558" w:right="0" w:firstLine="0"/>
        <w:jc w:val="both"/>
        <w:rPr>
          <w:rFonts w:ascii="宋体" w:hAnsi="宋体" w:cs="宋体" w:eastAsia="宋体" w:hint="default"/>
          <w:sz w:val="21"/>
          <w:szCs w:val="21"/>
        </w:rPr>
      </w:pPr>
      <w:r>
        <w:rPr>
          <w:rFonts w:ascii="宋体" w:hAnsi="宋体" w:cs="宋体" w:eastAsia="宋体" w:hint="default"/>
          <w:sz w:val="21"/>
          <w:szCs w:val="21"/>
        </w:rPr>
        <w:t>注：如公司编制报告期内合并备考报表的，需披露合并备考报表的编制基础。</w:t>
      </w:r>
    </w:p>
    <w:p>
      <w:pPr>
        <w:spacing w:line="240" w:lineRule="auto" w:before="10"/>
        <w:rPr>
          <w:rFonts w:ascii="宋体" w:hAnsi="宋体" w:cs="宋体" w:eastAsia="宋体" w:hint="default"/>
          <w:sz w:val="25"/>
          <w:szCs w:val="25"/>
        </w:rPr>
      </w:pPr>
    </w:p>
    <w:p>
      <w:pPr>
        <w:spacing w:before="0"/>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70"/>
        <w:jc w:val="both"/>
      </w:pPr>
      <w:r>
        <w:rPr/>
        <w:t>本财务报表符合企业会计准则的要求，真实、完整地反映了本公司</w:t>
      </w:r>
      <w:r>
        <w:rPr>
          <w:rFonts w:ascii="Calibri" w:hAnsi="Calibri" w:cs="Calibri" w:eastAsia="Calibri" w:hint="default"/>
        </w:rPr>
        <w:t>2012</w:t>
      </w:r>
      <w:r>
        <w:rPr/>
        <w:t>年</w:t>
      </w:r>
      <w:r>
        <w:rPr>
          <w:rFonts w:ascii="Calibri" w:hAnsi="Calibri" w:cs="Calibri" w:eastAsia="Calibri" w:hint="default"/>
        </w:rPr>
        <w:t>12</w:t>
      </w:r>
      <w:r>
        <w:rPr/>
        <w:t>月</w:t>
      </w:r>
      <w:r>
        <w:rPr>
          <w:rFonts w:ascii="Calibri" w:hAnsi="Calibri" w:cs="Calibri" w:eastAsia="Calibri" w:hint="default"/>
        </w:rPr>
        <w:t>31</w:t>
      </w:r>
      <w:r>
        <w:rPr/>
        <w:t>日 的合并及公司财务状况以及</w:t>
      </w:r>
      <w:r>
        <w:rPr>
          <w:rFonts w:ascii="Calibri" w:hAnsi="Calibri" w:cs="Calibri" w:eastAsia="Calibri" w:hint="default"/>
        </w:rPr>
        <w:t>2012</w:t>
      </w:r>
      <w:r>
        <w:rPr/>
        <w:t>年度的合并及公司经营成果和合并及公司现金流量 等有关信息</w:t>
      </w:r>
    </w:p>
    <w:p>
      <w:pPr>
        <w:spacing w:line="240" w:lineRule="auto" w:before="10"/>
        <w:rPr>
          <w:rFonts w:ascii="宋体" w:hAnsi="宋体" w:cs="宋体" w:eastAsia="宋体" w:hint="default"/>
          <w:sz w:val="22"/>
          <w:szCs w:val="22"/>
        </w:rPr>
      </w:pPr>
    </w:p>
    <w:p>
      <w:pPr>
        <w:spacing w:line="463" w:lineRule="auto" w:before="0"/>
        <w:ind w:left="558" w:right="183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24"/>
          <w:szCs w:val="24"/>
        </w:rPr>
        <w:t>本公司会计期间采用公历年度，即每年自</w:t>
      </w:r>
      <w:r>
        <w:rPr>
          <w:rFonts w:ascii="Calibri" w:hAnsi="Calibri" w:cs="Calibri" w:eastAsia="Calibri" w:hint="default"/>
          <w:sz w:val="24"/>
          <w:szCs w:val="24"/>
        </w:rPr>
        <w:t>1</w:t>
      </w:r>
      <w:r>
        <w:rPr>
          <w:rFonts w:ascii="宋体" w:hAnsi="宋体" w:cs="宋体" w:eastAsia="宋体" w:hint="default"/>
          <w:sz w:val="24"/>
          <w:szCs w:val="24"/>
        </w:rPr>
        <w:t>月</w:t>
      </w:r>
      <w:r>
        <w:rPr>
          <w:rFonts w:ascii="Calibri" w:hAnsi="Calibri" w:cs="Calibri" w:eastAsia="Calibri" w:hint="default"/>
          <w:sz w:val="24"/>
          <w:szCs w:val="24"/>
        </w:rPr>
        <w:t>1</w:t>
      </w:r>
      <w:r>
        <w:rPr>
          <w:rFonts w:ascii="宋体" w:hAnsi="宋体" w:cs="宋体" w:eastAsia="宋体" w:hint="default"/>
          <w:sz w:val="24"/>
          <w:szCs w:val="24"/>
        </w:rPr>
        <w:t>日起至</w:t>
      </w:r>
      <w:r>
        <w:rPr>
          <w:rFonts w:ascii="Calibri" w:hAnsi="Calibri" w:cs="Calibri" w:eastAsia="Calibri" w:hint="default"/>
          <w:sz w:val="24"/>
          <w:szCs w:val="24"/>
        </w:rPr>
        <w:t>12</w:t>
      </w:r>
      <w:r>
        <w:rPr>
          <w:rFonts w:ascii="宋体" w:hAnsi="宋体" w:cs="宋体" w:eastAsia="宋体" w:hint="default"/>
          <w:sz w:val="24"/>
          <w:szCs w:val="24"/>
        </w:rPr>
        <w:t>月</w:t>
      </w:r>
      <w:r>
        <w:rPr>
          <w:rFonts w:ascii="Calibri" w:hAnsi="Calibri" w:cs="Calibri" w:eastAsia="Calibri" w:hint="default"/>
          <w:sz w:val="24"/>
          <w:szCs w:val="24"/>
        </w:rPr>
        <w:t>31</w:t>
      </w:r>
      <w:r>
        <w:rPr>
          <w:rFonts w:ascii="宋体" w:hAnsi="宋体" w:cs="宋体" w:eastAsia="宋体" w:hint="default"/>
          <w:sz w:val="24"/>
          <w:szCs w:val="24"/>
        </w:rPr>
        <w:t>日止。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79"/>
        <w:ind w:right="0"/>
        <w:jc w:val="both"/>
      </w:pPr>
      <w:r>
        <w:rPr/>
        <w:t>本公司以人民币为记账本位币。</w:t>
      </w:r>
    </w:p>
    <w:p>
      <w:pPr>
        <w:spacing w:line="240" w:lineRule="auto" w:before="9"/>
        <w:rPr>
          <w:rFonts w:ascii="宋体" w:hAnsi="宋体" w:cs="宋体" w:eastAsia="宋体" w:hint="default"/>
          <w:sz w:val="18"/>
          <w:szCs w:val="18"/>
        </w:rPr>
      </w:pPr>
    </w:p>
    <w:p>
      <w:pPr>
        <w:pStyle w:val="BodyText"/>
        <w:spacing w:line="312" w:lineRule="exact"/>
        <w:ind w:right="138"/>
        <w:jc w:val="both"/>
      </w:pPr>
      <w:r>
        <w:rPr/>
        <w:t>本公司下属子公司、合营企业及联营企业，根据其经营所处的主要经济环境自行决</w:t>
      </w:r>
      <w:r>
        <w:rPr>
          <w:spacing w:val="-77"/>
        </w:rPr>
        <w:t> </w:t>
      </w:r>
      <w:r>
        <w:rPr>
          <w:spacing w:val="-77"/>
        </w:rPr>
      </w:r>
      <w:r>
        <w:rPr/>
        <w:t>定其记账本位币，编制财务报表时折算为人民币。</w:t>
      </w:r>
    </w:p>
    <w:p>
      <w:pPr>
        <w:spacing w:line="273" w:lineRule="auto" w:before="213"/>
        <w:ind w:left="558" w:right="208" w:firstLine="0"/>
        <w:jc w:val="both"/>
        <w:rPr>
          <w:rFonts w:ascii="宋体" w:hAnsi="宋体" w:cs="宋体" w:eastAsia="宋体" w:hint="default"/>
          <w:sz w:val="21"/>
          <w:szCs w:val="21"/>
        </w:rPr>
      </w:pPr>
      <w:r>
        <w:rPr>
          <w:rFonts w:ascii="宋体" w:hAnsi="宋体" w:cs="宋体" w:eastAsia="宋体" w:hint="default"/>
          <w:spacing w:val="-2"/>
          <w:sz w:val="21"/>
          <w:szCs w:val="21"/>
        </w:rPr>
        <w:t>注：若记账本位币为人民币以外的其他货币的，说明选定记账本位币的考虑因素及折算成人民</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币时的折算方法。</w:t>
      </w:r>
    </w:p>
    <w:p>
      <w:pPr>
        <w:spacing w:after="0" w:line="273" w:lineRule="auto"/>
        <w:jc w:val="both"/>
        <w:rPr>
          <w:rFonts w:ascii="宋体" w:hAnsi="宋体" w:cs="宋体" w:eastAsia="宋体" w:hint="default"/>
          <w:sz w:val="21"/>
          <w:szCs w:val="21"/>
        </w:rPr>
        <w:sectPr>
          <w:pgSz w:w="11910" w:h="16840"/>
          <w:pgMar w:header="884" w:footer="1007" w:top="1160" w:bottom="1200" w:left="1240" w:right="1280"/>
        </w:sectPr>
      </w:pPr>
    </w:p>
    <w:p>
      <w:pPr>
        <w:spacing w:line="240" w:lineRule="auto" w:before="4"/>
        <w:rPr>
          <w:rFonts w:ascii="宋体" w:hAnsi="宋体" w:cs="宋体" w:eastAsia="宋体" w:hint="default"/>
          <w:sz w:val="16"/>
          <w:szCs w:val="16"/>
        </w:rPr>
      </w:pPr>
    </w:p>
    <w:p>
      <w:pPr>
        <w:spacing w:before="36"/>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234"/>
        <w:jc w:val="both"/>
      </w:pPr>
      <w:r>
        <w:rPr/>
        <w:t>对于同一控制下的企业合并，合并方在合并中取得的被合并方的资产、负债，除因</w:t>
      </w:r>
      <w:r>
        <w:rPr>
          <w:spacing w:val="-73"/>
        </w:rPr>
        <w:t> </w:t>
      </w:r>
      <w:r>
        <w:rPr>
          <w:spacing w:val="-73"/>
        </w:rPr>
      </w:r>
      <w:r>
        <w:rPr/>
        <w:t>会计政策不同而进行的调整以外，按合并日被合并方的原账面价值计量。合并对价</w:t>
      </w:r>
      <w:r>
        <w:rPr>
          <w:spacing w:val="-77"/>
        </w:rPr>
        <w:t> </w:t>
      </w:r>
      <w:r>
        <w:rPr>
          <w:spacing w:val="-77"/>
        </w:rPr>
      </w:r>
      <w:r>
        <w:rPr/>
        <w:t>的账面价值与合并中取得的净资产账面价值的差额调整资本公积，资本公积不足冲</w:t>
      </w:r>
      <w:r>
        <w:rPr>
          <w:spacing w:val="-77"/>
        </w:rPr>
        <w:t> </w:t>
      </w:r>
      <w:r>
        <w:rPr>
          <w:spacing w:val="-77"/>
        </w:rPr>
      </w:r>
      <w:r>
        <w:rPr/>
        <w:t>减的，调整留存收益。</w:t>
      </w:r>
    </w:p>
    <w:p>
      <w:pPr>
        <w:pStyle w:val="BodyText"/>
        <w:spacing w:line="240" w:lineRule="auto" w:before="185"/>
        <w:ind w:right="0"/>
        <w:jc w:val="both"/>
      </w:pPr>
      <w:r>
        <w:rPr/>
        <w:t>为进行企业合并发生的直接相关费用于发生时计入当期损益。</w:t>
      </w:r>
    </w:p>
    <w:p>
      <w:pPr>
        <w:spacing w:line="240" w:lineRule="auto" w:before="12"/>
        <w:rPr>
          <w:rFonts w:ascii="宋体" w:hAnsi="宋体" w:cs="宋体" w:eastAsia="宋体" w:hint="default"/>
          <w:sz w:val="24"/>
          <w:szCs w:val="24"/>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236"/>
        <w:jc w:val="both"/>
      </w:pPr>
      <w:r>
        <w:rPr/>
        <w:t>对于非同一控制下的企业合并，合并成本为本公司在购买日为取得对被购买方的控</w:t>
      </w:r>
      <w:r>
        <w:rPr>
          <w:spacing w:val="-77"/>
        </w:rPr>
        <w:t> </w:t>
      </w:r>
      <w:r>
        <w:rPr>
          <w:spacing w:val="-77"/>
        </w:rPr>
      </w:r>
      <w:r>
        <w:rPr/>
        <w:t>制权而付出的资产、发生或承担的负债以及发行的权益性证券的公允价值。在购买</w:t>
      </w:r>
      <w:r>
        <w:rPr>
          <w:spacing w:val="-77"/>
        </w:rPr>
        <w:t> </w:t>
      </w:r>
      <w:r>
        <w:rPr>
          <w:spacing w:val="-77"/>
        </w:rPr>
      </w:r>
      <w:r>
        <w:rPr/>
        <w:t>日，本公司取得的被购买方的资产、负债及或有负债按公允价值确认。</w:t>
      </w:r>
    </w:p>
    <w:p>
      <w:pPr>
        <w:spacing w:line="240" w:lineRule="auto" w:before="7"/>
        <w:rPr>
          <w:rFonts w:ascii="宋体" w:hAnsi="宋体" w:cs="宋体" w:eastAsia="宋体" w:hint="default"/>
          <w:sz w:val="16"/>
          <w:szCs w:val="16"/>
        </w:rPr>
      </w:pPr>
    </w:p>
    <w:p>
      <w:pPr>
        <w:pStyle w:val="BodyText"/>
        <w:spacing w:line="312" w:lineRule="exact"/>
        <w:ind w:right="236"/>
        <w:jc w:val="both"/>
      </w:pPr>
      <w:r>
        <w:rPr/>
        <w:t>为进行企业合并发生的审计、法律服务、评估咨询等中介费用以及其他相关管理费</w:t>
      </w:r>
      <w:r>
        <w:rPr>
          <w:spacing w:val="-75"/>
        </w:rPr>
        <w:t> </w:t>
      </w:r>
      <w:r>
        <w:rPr>
          <w:spacing w:val="-75"/>
        </w:rPr>
      </w:r>
      <w:r>
        <w:rPr/>
        <w:t>用，于发生时计入当期损益。作为合并对价发行的权益性证券或债务性证券的交易</w:t>
      </w:r>
      <w:r>
        <w:rPr>
          <w:spacing w:val="-77"/>
        </w:rPr>
        <w:t> </w:t>
      </w:r>
      <w:r>
        <w:rPr>
          <w:spacing w:val="-77"/>
        </w:rPr>
      </w:r>
      <w:r>
        <w:rPr/>
        <w:t>费用，计入权益性证券或债务性证券的初始确认金额。</w:t>
      </w:r>
    </w:p>
    <w:p>
      <w:pPr>
        <w:spacing w:line="240" w:lineRule="auto" w:before="7"/>
        <w:rPr>
          <w:rFonts w:ascii="宋体" w:hAnsi="宋体" w:cs="宋体" w:eastAsia="宋体" w:hint="default"/>
          <w:sz w:val="16"/>
          <w:szCs w:val="16"/>
        </w:rPr>
      </w:pPr>
    </w:p>
    <w:p>
      <w:pPr>
        <w:pStyle w:val="BodyText"/>
        <w:spacing w:line="312" w:lineRule="exact"/>
        <w:ind w:right="238"/>
        <w:jc w:val="both"/>
      </w:pPr>
      <w:r>
        <w:rPr/>
        <w:t>本公司对合并成本大于合并中取得的被购买方可辨认净资产公允价值份额的差额，</w:t>
      </w:r>
      <w:r>
        <w:rPr>
          <w:spacing w:val="-77"/>
        </w:rPr>
        <w:t> </w:t>
      </w:r>
      <w:r>
        <w:rPr>
          <w:spacing w:val="-77"/>
        </w:rPr>
      </w:r>
      <w:r>
        <w:rPr/>
        <w:t>确认为商誉，按成本扣除累计减值准备进行后续计量；对合并成本小于合并中取得</w:t>
      </w:r>
      <w:r>
        <w:rPr>
          <w:spacing w:val="-77"/>
        </w:rPr>
        <w:t> </w:t>
      </w:r>
      <w:r>
        <w:rPr>
          <w:spacing w:val="-77"/>
        </w:rPr>
      </w:r>
      <w:r>
        <w:rPr/>
        <w:t>的被购买方可辨认净资产公允价值份额的差额，经复核后计入当期损益。</w:t>
      </w:r>
    </w:p>
    <w:p>
      <w:pPr>
        <w:pStyle w:val="BodyText"/>
        <w:spacing w:line="312" w:lineRule="exact" w:before="216"/>
        <w:ind w:right="232"/>
        <w:jc w:val="both"/>
      </w:pPr>
      <w:r>
        <w:rPr/>
        <w:t>通过多次交易分步实现非同一控制下的企业合并的，在合并财务报表中，合并成本</w:t>
      </w:r>
      <w:r>
        <w:rPr>
          <w:spacing w:val="-77"/>
        </w:rPr>
        <w:t> </w:t>
      </w:r>
      <w:r>
        <w:rPr>
          <w:spacing w:val="-77"/>
        </w:rPr>
      </w:r>
      <w:r>
        <w:rPr/>
        <w:t>为购买日支付的对价与购买日之前已经持有的被购买方的股权在购买日的公允价值</w:t>
      </w:r>
      <w:r>
        <w:rPr>
          <w:spacing w:val="-71"/>
        </w:rPr>
        <w:t> </w:t>
      </w:r>
      <w:r>
        <w:rPr>
          <w:spacing w:val="-71"/>
        </w:rPr>
      </w:r>
      <w:r>
        <w:rPr/>
        <w:t>之和。对于购买日之前已经持有的被购买方的股权，按照购买日的公允价值进行重</w:t>
      </w:r>
      <w:r>
        <w:rPr>
          <w:spacing w:val="-77"/>
        </w:rPr>
        <w:t> </w:t>
      </w:r>
      <w:r>
        <w:rPr>
          <w:spacing w:val="-77"/>
        </w:rPr>
      </w:r>
      <w:r>
        <w:rPr/>
        <w:t>新计量，公允价值与其账面价值之间的差额计入当期投资收益；购买日之前已经持</w:t>
      </w:r>
      <w:r>
        <w:rPr>
          <w:spacing w:val="-77"/>
        </w:rPr>
        <w:t> </w:t>
      </w:r>
      <w:r>
        <w:rPr>
          <w:spacing w:val="-77"/>
        </w:rPr>
      </w:r>
      <w:r>
        <w:rPr/>
        <w:t>有的被购买方的股权涉及其他综合收益的，与其相关的其他综合收益转为购买日当</w:t>
      </w:r>
      <w:r>
        <w:rPr>
          <w:spacing w:val="-77"/>
        </w:rPr>
        <w:t> </w:t>
      </w:r>
      <w:r>
        <w:rPr>
          <w:spacing w:val="-77"/>
        </w:rPr>
      </w:r>
      <w:r>
        <w:rPr/>
        <w:t>期投资收益。</w:t>
      </w:r>
    </w:p>
    <w:p>
      <w:pPr>
        <w:spacing w:line="240" w:lineRule="auto" w:before="9"/>
        <w:rPr>
          <w:rFonts w:ascii="宋体" w:hAnsi="宋体" w:cs="宋体" w:eastAsia="宋体" w:hint="default"/>
          <w:sz w:val="22"/>
          <w:szCs w:val="22"/>
        </w:rPr>
      </w:pPr>
    </w:p>
    <w:p>
      <w:pPr>
        <w:spacing w:before="0"/>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right="0"/>
        <w:jc w:val="both"/>
      </w:pPr>
      <w:r>
        <w:rPr/>
        <w:t>合并财务报表的合并范围包括本公司及全部子公司。</w:t>
      </w:r>
    </w:p>
    <w:p>
      <w:pPr>
        <w:spacing w:line="240" w:lineRule="auto" w:before="9"/>
        <w:rPr>
          <w:rFonts w:ascii="宋体" w:hAnsi="宋体" w:cs="宋体" w:eastAsia="宋体" w:hint="default"/>
          <w:sz w:val="18"/>
          <w:szCs w:val="18"/>
        </w:rPr>
      </w:pPr>
    </w:p>
    <w:p>
      <w:pPr>
        <w:pStyle w:val="BodyText"/>
        <w:spacing w:line="312" w:lineRule="exact"/>
        <w:ind w:right="102"/>
        <w:jc w:val="left"/>
      </w:pPr>
      <w:r>
        <w:rPr/>
        <w:t>本公司合并财务报表以本公司和子公司的财务报表为基础，根据其他有关资料，按</w:t>
      </w:r>
      <w:r>
        <w:rPr>
          <w:spacing w:val="-77"/>
        </w:rPr>
        <w:t> </w:t>
      </w:r>
      <w:r>
        <w:rPr>
          <w:spacing w:val="-77"/>
        </w:rPr>
      </w:r>
      <w:r>
        <w:rPr>
          <w:spacing w:val="-2"/>
        </w:rPr>
        <w:t>照权益法调整对子公司的长期股权投资后，由本公司编制。在编制合并财务报表时，</w:t>
      </w:r>
      <w:r>
        <w:rPr>
          <w:spacing w:val="-114"/>
        </w:rPr>
        <w:t> </w:t>
      </w:r>
      <w:r>
        <w:rPr>
          <w:spacing w:val="-114"/>
        </w:rPr>
      </w:r>
      <w:r>
        <w:rPr/>
        <w:t>本公司和子公司的会计政策和会计期间要求保持一致，公司间的重大交易和往来余</w:t>
      </w:r>
      <w:r>
        <w:rPr>
          <w:spacing w:val="-76"/>
        </w:rPr>
        <w:t> </w:t>
      </w:r>
      <w:r>
        <w:rPr>
          <w:spacing w:val="-76"/>
        </w:rPr>
      </w:r>
      <w:r>
        <w:rPr/>
        <w:t>额予以抵销。</w:t>
      </w:r>
    </w:p>
    <w:p>
      <w:pPr>
        <w:pStyle w:val="BodyText"/>
        <w:spacing w:line="237" w:lineRule="auto" w:before="188"/>
        <w:ind w:right="238"/>
        <w:jc w:val="both"/>
      </w:pPr>
      <w:r>
        <w:rPr/>
        <w:t>在报告期内因同一控制下企业合并增加的子公司，本公司将该子公司合并当期期初</w:t>
      </w:r>
      <w:r>
        <w:rPr>
          <w:spacing w:val="-77"/>
        </w:rPr>
        <w:t> </w:t>
      </w:r>
      <w:r>
        <w:rPr>
          <w:spacing w:val="-77"/>
        </w:rPr>
      </w:r>
      <w:r>
        <w:rPr/>
        <w:t>至报告期末的收入、费用、利润纳入合并利润表，将其现金流量纳入合并现金流量</w:t>
      </w:r>
      <w:r>
        <w:rPr>
          <w:spacing w:val="-77"/>
        </w:rPr>
        <w:t> </w:t>
      </w:r>
      <w:r>
        <w:rPr>
          <w:spacing w:val="-77"/>
        </w:rPr>
      </w:r>
      <w:r>
        <w:rPr/>
        <w:t>表；因非同一控制下企业合并增加的子公司，本公司将该子公司购买日至报告期末</w:t>
      </w:r>
    </w:p>
    <w:p>
      <w:pPr>
        <w:spacing w:after="0" w:line="237" w:lineRule="auto"/>
        <w:jc w:val="both"/>
        <w:sectPr>
          <w:pgSz w:w="11910" w:h="16840"/>
          <w:pgMar w:header="884" w:footer="1007" w:top="1160" w:bottom="1200" w:left="1240" w:right="1180"/>
        </w:sectPr>
      </w:pPr>
    </w:p>
    <w:p>
      <w:pPr>
        <w:spacing w:line="240" w:lineRule="auto" w:before="13"/>
        <w:rPr>
          <w:rFonts w:ascii="宋体" w:hAnsi="宋体" w:cs="宋体" w:eastAsia="宋体" w:hint="default"/>
          <w:sz w:val="14"/>
          <w:szCs w:val="14"/>
        </w:rPr>
      </w:pPr>
    </w:p>
    <w:p>
      <w:pPr>
        <w:pStyle w:val="BodyText"/>
        <w:spacing w:line="240" w:lineRule="auto" w:before="26"/>
        <w:ind w:right="0"/>
        <w:jc w:val="both"/>
      </w:pPr>
      <w:r>
        <w:rPr/>
        <w:t>的收入、费用、利润纳入合并利润表，将其现金流量纳入合并现金流量表。</w:t>
      </w:r>
    </w:p>
    <w:p>
      <w:pPr>
        <w:spacing w:line="240" w:lineRule="auto" w:before="9"/>
        <w:rPr>
          <w:rFonts w:ascii="宋体" w:hAnsi="宋体" w:cs="宋体" w:eastAsia="宋体" w:hint="default"/>
          <w:sz w:val="18"/>
          <w:szCs w:val="18"/>
        </w:rPr>
      </w:pPr>
    </w:p>
    <w:p>
      <w:pPr>
        <w:pStyle w:val="BodyText"/>
        <w:spacing w:line="312" w:lineRule="exact"/>
        <w:ind w:right="230"/>
        <w:jc w:val="both"/>
      </w:pPr>
      <w:r>
        <w:rPr/>
        <w:t>子公司的股东权益中不属于本公司所拥有的部分作为少数股东权益在合并资产负债</w:t>
      </w:r>
      <w:r>
        <w:rPr>
          <w:spacing w:val="-77"/>
        </w:rPr>
        <w:t> </w:t>
      </w:r>
      <w:r>
        <w:rPr>
          <w:spacing w:val="-77"/>
        </w:rPr>
      </w:r>
      <w:r>
        <w:rPr/>
        <w:t>表中股东权益项下单独列示。子公司当期净损益中属于少数股东权益的份额，在合</w:t>
      </w:r>
      <w:r>
        <w:rPr>
          <w:spacing w:val="-77"/>
        </w:rPr>
        <w:t> </w:t>
      </w:r>
      <w:r>
        <w:rPr>
          <w:spacing w:val="-77"/>
        </w:rPr>
      </w:r>
      <w:r>
        <w:rPr>
          <w:spacing w:val="2"/>
        </w:rPr>
        <w:t>并利润表中净利润项目下以</w:t>
      </w:r>
      <w:r>
        <w:rPr>
          <w:rFonts w:ascii="Calibri" w:hAnsi="Calibri" w:cs="Calibri" w:eastAsia="Calibri" w:hint="default"/>
          <w:spacing w:val="2"/>
        </w:rPr>
        <w:t>“</w:t>
      </w:r>
      <w:r>
        <w:rPr>
          <w:spacing w:val="2"/>
        </w:rPr>
        <w:t>少数股东损益</w:t>
      </w:r>
      <w:r>
        <w:rPr>
          <w:rFonts w:ascii="Calibri" w:hAnsi="Calibri" w:cs="Calibri" w:eastAsia="Calibri" w:hint="default"/>
          <w:spacing w:val="2"/>
        </w:rPr>
        <w:t>”</w:t>
      </w:r>
      <w:r>
        <w:rPr>
          <w:spacing w:val="2"/>
        </w:rPr>
        <w:t>项目列示。少数股东分担的子公司的亏</w:t>
      </w:r>
      <w:r>
        <w:rPr>
          <w:spacing w:val="-116"/>
        </w:rPr>
        <w:t> </w:t>
      </w:r>
      <w:r>
        <w:rPr>
          <w:spacing w:val="-116"/>
        </w:rPr>
      </w:r>
      <w:r>
        <w:rPr/>
        <w:t>损超过了少数股东在该子公司期初所有者权益中所享有的份额，其余额仍冲减少数</w:t>
      </w:r>
      <w:r>
        <w:rPr>
          <w:spacing w:val="-77"/>
        </w:rPr>
        <w:t> </w:t>
      </w:r>
      <w:r>
        <w:rPr>
          <w:spacing w:val="-77"/>
        </w:rPr>
      </w:r>
      <w:r>
        <w:rPr/>
        <w:t>股东权益。</w:t>
      </w:r>
    </w:p>
    <w:p>
      <w:pPr>
        <w:pStyle w:val="BodyText"/>
        <w:spacing w:line="230" w:lineRule="auto" w:before="196"/>
        <w:ind w:right="232"/>
        <w:jc w:val="both"/>
      </w:pPr>
      <w:r>
        <w:rPr/>
        <w:t>对于购买子公司少数股权或因处置部分股权投资但没有丧失对该子公司控制权的交</w:t>
      </w:r>
      <w:r>
        <w:rPr>
          <w:spacing w:val="-77"/>
        </w:rPr>
        <w:t> </w:t>
      </w:r>
      <w:r>
        <w:rPr>
          <w:spacing w:val="-77"/>
        </w:rPr>
      </w:r>
      <w:r>
        <w:rPr/>
        <w:t>易，作为权益性交易核算，调整归属于母公司所有者权益和少数股东权益的账面价</w:t>
      </w:r>
      <w:r>
        <w:rPr>
          <w:spacing w:val="-77"/>
        </w:rPr>
        <w:t> </w:t>
      </w:r>
      <w:r>
        <w:rPr>
          <w:spacing w:val="-77"/>
        </w:rPr>
      </w:r>
      <w:r>
        <w:rPr>
          <w:spacing w:val="-2"/>
        </w:rPr>
        <w:t>值以反映其在子公司中相关权益的变化。少数股东权益的调整额与支付</w:t>
      </w:r>
      <w:r>
        <w:rPr>
          <w:rFonts w:ascii="Calibri" w:hAnsi="Calibri" w:cs="Calibri" w:eastAsia="Calibri" w:hint="default"/>
          <w:spacing w:val="-2"/>
        </w:rPr>
        <w:t>/</w:t>
      </w:r>
      <w:r>
        <w:rPr>
          <w:spacing w:val="-2"/>
        </w:rPr>
        <w:t>收到对价的</w:t>
      </w:r>
      <w:r>
        <w:rPr>
          <w:spacing w:val="-86"/>
        </w:rPr>
        <w:t> </w:t>
      </w:r>
      <w:r>
        <w:rPr/>
        <w:t>公允价值之间的差额调整资本公积，资本公积不足冲减的，调整留存收益。</w:t>
      </w:r>
    </w:p>
    <w:p>
      <w:pPr>
        <w:spacing w:line="240" w:lineRule="auto" w:before="10"/>
        <w:rPr>
          <w:rFonts w:ascii="宋体" w:hAnsi="宋体" w:cs="宋体" w:eastAsia="宋体" w:hint="default"/>
          <w:sz w:val="18"/>
          <w:szCs w:val="18"/>
        </w:rPr>
      </w:pPr>
    </w:p>
    <w:p>
      <w:pPr>
        <w:pStyle w:val="BodyText"/>
        <w:spacing w:line="312" w:lineRule="exact"/>
        <w:ind w:right="237"/>
        <w:jc w:val="both"/>
      </w:pPr>
      <w:r>
        <w:rPr/>
        <w:t>因处置部分股权投资或其他原因丧失了对原有子公司控制权的，剩余股权按照其在</w:t>
      </w:r>
      <w:r>
        <w:rPr>
          <w:spacing w:val="-77"/>
        </w:rPr>
        <w:t> </w:t>
      </w:r>
      <w:r>
        <w:rPr>
          <w:spacing w:val="-77"/>
        </w:rPr>
      </w:r>
      <w:r>
        <w:rPr/>
        <w:t>丧失控制权日的公允价值进行重新计量；处置股权取得的对价与剩余股权公允价值</w:t>
      </w:r>
      <w:r>
        <w:rPr>
          <w:spacing w:val="-76"/>
        </w:rPr>
        <w:t> </w:t>
      </w:r>
      <w:r>
        <w:rPr>
          <w:spacing w:val="-76"/>
        </w:rPr>
      </w:r>
      <w:r>
        <w:rPr/>
        <w:t>之和，减去按原持股比例计算应享有原子公司自购买日开始持续计算的净资产的份</w:t>
      </w:r>
      <w:r>
        <w:rPr>
          <w:spacing w:val="-77"/>
        </w:rPr>
        <w:t> </w:t>
      </w:r>
      <w:r>
        <w:rPr>
          <w:spacing w:val="-77"/>
        </w:rPr>
      </w:r>
      <w:r>
        <w:rPr/>
        <w:t>额之间的差额，计入丧失控制权当期的投资收益；与原有子公司股权投资相关的其</w:t>
      </w:r>
      <w:r>
        <w:rPr>
          <w:spacing w:val="-77"/>
        </w:rPr>
        <w:t> </w:t>
      </w:r>
      <w:r>
        <w:rPr>
          <w:spacing w:val="-77"/>
        </w:rPr>
      </w:r>
      <w:r>
        <w:rPr/>
        <w:t>他综合收益，在丧失控制权时转为当期投资收益。</w:t>
      </w:r>
    </w:p>
    <w:p>
      <w:pPr>
        <w:pStyle w:val="BodyText"/>
        <w:spacing w:line="312" w:lineRule="exact" w:before="216"/>
        <w:ind w:right="115"/>
        <w:jc w:val="both"/>
      </w:pPr>
      <w:r>
        <w:rPr/>
        <w:t>处置对子公司股权投资直至丧失控制权的各项交易属于一揽子交易的，在丧失控制</w:t>
      </w:r>
      <w:r>
        <w:rPr>
          <w:spacing w:val="-77"/>
        </w:rPr>
        <w:t> </w:t>
      </w:r>
      <w:r>
        <w:rPr>
          <w:spacing w:val="-77"/>
        </w:rPr>
      </w:r>
      <w:r>
        <w:rPr/>
        <w:t>权之前每一次处置价款与处置投资对应的享有该子公司净资产份额的差额，在合并</w:t>
      </w:r>
      <w:r>
        <w:rPr>
          <w:spacing w:val="-77"/>
        </w:rPr>
        <w:t> </w:t>
      </w:r>
      <w:r>
        <w:rPr>
          <w:spacing w:val="-77"/>
        </w:rPr>
      </w:r>
      <w:r>
        <w:rPr>
          <w:spacing w:val="-2"/>
        </w:rPr>
        <w:t>财务报表中确认为其他综合收益，在丧失控制权时一并转入丧失控制权当期的损益。</w:t>
      </w:r>
    </w:p>
    <w:p>
      <w:pPr>
        <w:spacing w:line="240" w:lineRule="auto" w:before="10"/>
        <w:rPr>
          <w:rFonts w:ascii="宋体" w:hAnsi="宋体" w:cs="宋体" w:eastAsia="宋体" w:hint="default"/>
          <w:sz w:val="22"/>
          <w:szCs w:val="22"/>
        </w:rPr>
      </w:pPr>
    </w:p>
    <w:p>
      <w:pPr>
        <w:spacing w:line="259" w:lineRule="auto" w:before="0"/>
        <w:ind w:left="558" w:right="232" w:firstLine="0"/>
        <w:jc w:val="both"/>
        <w:rPr>
          <w:rFonts w:ascii="宋体" w:hAnsi="宋体" w:cs="宋体" w:eastAsia="宋体" w:hint="default"/>
          <w:sz w:val="21"/>
          <w:szCs w:val="21"/>
        </w:rPr>
      </w:pPr>
      <w:r>
        <w:rPr>
          <w:rFonts w:ascii="宋体" w:hAnsi="宋体" w:cs="宋体" w:eastAsia="宋体" w:hint="default"/>
          <w:b/>
          <w:bCs/>
          <w:spacing w:val="-2"/>
          <w:sz w:val="21"/>
          <w:szCs w:val="21"/>
        </w:rPr>
        <w:t>（</w:t>
      </w:r>
      <w:r>
        <w:rPr>
          <w:rFonts w:ascii="Times New Roman" w:hAnsi="Times New Roman" w:cs="Times New Roman" w:eastAsia="Times New Roman" w:hint="default"/>
          <w:b/>
          <w:bCs/>
          <w:spacing w:val="-2"/>
          <w:sz w:val="21"/>
          <w:szCs w:val="21"/>
        </w:rPr>
        <w:t>2</w:t>
      </w:r>
      <w:r>
        <w:rPr>
          <w:rFonts w:ascii="宋体" w:hAnsi="宋体" w:cs="宋体" w:eastAsia="宋体" w:hint="default"/>
          <w:b/>
          <w:bCs/>
          <w:spacing w:val="-2"/>
          <w:sz w:val="21"/>
          <w:szCs w:val="21"/>
        </w:rPr>
        <w:t>）对同一子公司的股权在连续两个会计年度买入再卖出，或卖出再买入的应披露相关的会计</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1"/>
          <w:szCs w:val="21"/>
        </w:rPr>
        <w:t>处理方法</w:t>
      </w:r>
      <w:r>
        <w:rPr>
          <w:rFonts w:ascii="宋体" w:hAnsi="宋体" w:cs="宋体" w:eastAsia="宋体" w:hint="default"/>
          <w:sz w:val="21"/>
          <w:szCs w:val="21"/>
        </w:rPr>
      </w:r>
    </w:p>
    <w:p>
      <w:pPr>
        <w:spacing w:line="240" w:lineRule="auto" w:before="6"/>
        <w:rPr>
          <w:rFonts w:ascii="宋体" w:hAnsi="宋体" w:cs="宋体" w:eastAsia="宋体" w:hint="default"/>
          <w:b/>
          <w:bCs/>
          <w:sz w:val="24"/>
          <w:szCs w:val="24"/>
        </w:rPr>
      </w:pPr>
    </w:p>
    <w:p>
      <w:pPr>
        <w:spacing w:line="273" w:lineRule="auto" w:before="0"/>
        <w:ind w:left="558" w:right="308" w:firstLine="0"/>
        <w:jc w:val="both"/>
        <w:rPr>
          <w:rFonts w:ascii="宋体" w:hAnsi="宋体" w:cs="宋体" w:eastAsia="宋体" w:hint="default"/>
          <w:sz w:val="21"/>
          <w:szCs w:val="21"/>
        </w:rPr>
      </w:pPr>
      <w:r>
        <w:rPr>
          <w:rFonts w:ascii="宋体" w:hAnsi="宋体" w:cs="宋体" w:eastAsia="宋体" w:hint="default"/>
          <w:spacing w:val="-2"/>
          <w:sz w:val="21"/>
          <w:szCs w:val="21"/>
        </w:rPr>
        <w:t>注：如有对同一子公司的股权在连续两个会计年度买入再卖出，或卖出再买入的，应披露相关</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的会计处理方法。</w:t>
      </w:r>
    </w:p>
    <w:p>
      <w:pPr>
        <w:spacing w:line="240" w:lineRule="auto" w:before="7"/>
        <w:rPr>
          <w:rFonts w:ascii="宋体" w:hAnsi="宋体" w:cs="宋体" w:eastAsia="宋体" w:hint="default"/>
          <w:sz w:val="23"/>
          <w:szCs w:val="23"/>
        </w:rPr>
      </w:pPr>
    </w:p>
    <w:p>
      <w:pPr>
        <w:spacing w:before="0"/>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238"/>
        <w:jc w:val="both"/>
      </w:pPr>
      <w:r>
        <w:rPr/>
        <w:t>现金是指库存现金以及可以随时用于支付的存款。现金等价物，是指本公司持有的</w:t>
      </w:r>
      <w:r>
        <w:rPr>
          <w:spacing w:val="-77"/>
        </w:rPr>
        <w:t> </w:t>
      </w:r>
      <w:r>
        <w:rPr>
          <w:spacing w:val="-77"/>
        </w:rPr>
      </w:r>
      <w:r>
        <w:rPr/>
        <w:t>期限短、流动性强、易于转换为已知金额现金、价值变动风险很小的投资。</w:t>
      </w:r>
    </w:p>
    <w:p>
      <w:pPr>
        <w:spacing w:line="240" w:lineRule="auto" w:before="10"/>
        <w:rPr>
          <w:rFonts w:ascii="宋体" w:hAnsi="宋体" w:cs="宋体" w:eastAsia="宋体" w:hint="default"/>
          <w:sz w:val="22"/>
          <w:szCs w:val="22"/>
        </w:rPr>
      </w:pPr>
    </w:p>
    <w:p>
      <w:pPr>
        <w:spacing w:before="0"/>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、外币业务和外币报表折算</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）外币业务</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right="0"/>
        <w:jc w:val="both"/>
      </w:pPr>
      <w:r>
        <w:rPr/>
        <w:t>本公司发生外币业务，按交易发生日的即期汇率折算为记账本位币金额。</w:t>
      </w:r>
    </w:p>
    <w:p>
      <w:pPr>
        <w:spacing w:line="240" w:lineRule="auto" w:before="7"/>
        <w:rPr>
          <w:rFonts w:ascii="宋体" w:hAnsi="宋体" w:cs="宋体" w:eastAsia="宋体" w:hint="default"/>
          <w:sz w:val="16"/>
          <w:szCs w:val="16"/>
        </w:rPr>
      </w:pPr>
    </w:p>
    <w:p>
      <w:pPr>
        <w:pStyle w:val="BodyText"/>
        <w:spacing w:line="237" w:lineRule="auto"/>
        <w:ind w:right="113"/>
        <w:jc w:val="both"/>
      </w:pPr>
      <w:r>
        <w:rPr/>
        <w:t>资产负债表日，对外币货币性项目，采用资产负债表日即期汇率折算。因资产负债</w:t>
      </w:r>
      <w:r>
        <w:rPr>
          <w:spacing w:val="-77"/>
        </w:rPr>
        <w:t> </w:t>
      </w:r>
      <w:r>
        <w:rPr>
          <w:spacing w:val="-77"/>
        </w:rPr>
      </w:r>
      <w:r>
        <w:rPr>
          <w:spacing w:val="7"/>
        </w:rPr>
        <w:t>表日即期汇率与初始确认时或者前一资产负债表日即期汇率不同而产生的汇兑差</w:t>
      </w:r>
      <w:r>
        <w:rPr>
          <w:spacing w:val="-101"/>
        </w:rPr>
        <w:t> </w:t>
      </w:r>
      <w:r>
        <w:rPr>
          <w:spacing w:val="-101"/>
        </w:rPr>
      </w:r>
      <w:r>
        <w:rPr/>
        <w:t>额，计入当期损益；对以历史成本计量的外币非货币性项目，仍采用交易发生日的</w:t>
      </w:r>
      <w:r>
        <w:rPr>
          <w:spacing w:val="-77"/>
        </w:rPr>
        <w:t> </w:t>
      </w:r>
      <w:r>
        <w:rPr>
          <w:spacing w:val="-77"/>
        </w:rPr>
      </w:r>
      <w:r>
        <w:rPr/>
        <w:t>即期汇率折算；对以公允价值计量的外币非货币性项目，采用公允价值确定日的即</w:t>
      </w:r>
      <w:r>
        <w:rPr>
          <w:spacing w:val="-77"/>
        </w:rPr>
        <w:t> </w:t>
      </w:r>
      <w:r>
        <w:rPr>
          <w:spacing w:val="-77"/>
        </w:rPr>
      </w:r>
      <w:r>
        <w:rPr>
          <w:spacing w:val="-2"/>
        </w:rPr>
        <w:t>期汇率折算，折算后的记账本位币金额与原记账本位币金额的差额，计入当期损益。</w:t>
      </w:r>
    </w:p>
    <w:p>
      <w:pPr>
        <w:spacing w:after="0" w:line="237" w:lineRule="auto"/>
        <w:jc w:val="both"/>
        <w:sectPr>
          <w:pgSz w:w="11910" w:h="16840"/>
          <w:pgMar w:header="884" w:footer="1007" w:top="1160" w:bottom="1200" w:left="1240" w:right="1180"/>
        </w:sectPr>
      </w:pPr>
    </w:p>
    <w:p>
      <w:pPr>
        <w:spacing w:line="240" w:lineRule="auto" w:before="4"/>
        <w:rPr>
          <w:rFonts w:ascii="宋体" w:hAnsi="宋体" w:cs="宋体" w:eastAsia="宋体" w:hint="default"/>
          <w:sz w:val="16"/>
          <w:szCs w:val="16"/>
        </w:rPr>
      </w:pPr>
    </w:p>
    <w:p>
      <w:pPr>
        <w:spacing w:before="36"/>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right="0"/>
        <w:jc w:val="both"/>
      </w:pPr>
      <w:r>
        <w:rPr/>
        <w:t>利润表中的收入和费用项目，采用交易发生日的即期汇率折算。</w:t>
      </w:r>
    </w:p>
    <w:p>
      <w:pPr>
        <w:spacing w:line="240" w:lineRule="auto" w:before="9"/>
        <w:rPr>
          <w:rFonts w:ascii="宋体" w:hAnsi="宋体" w:cs="宋体" w:eastAsia="宋体" w:hint="default"/>
          <w:sz w:val="18"/>
          <w:szCs w:val="18"/>
        </w:rPr>
      </w:pPr>
    </w:p>
    <w:p>
      <w:pPr>
        <w:pStyle w:val="BodyText"/>
        <w:spacing w:line="312" w:lineRule="exact"/>
        <w:ind w:right="232"/>
        <w:jc w:val="both"/>
      </w:pPr>
      <w:r>
        <w:rPr/>
        <w:t>现金流量表所有项目均按照现金流量发生日的即期汇率折算。汇率变动对现金的影</w:t>
      </w:r>
      <w:r>
        <w:rPr>
          <w:spacing w:val="-77"/>
        </w:rPr>
        <w:t> </w:t>
      </w:r>
      <w:r>
        <w:rPr>
          <w:spacing w:val="-77"/>
        </w:rPr>
      </w:r>
      <w:r>
        <w:rPr>
          <w:spacing w:val="-2"/>
        </w:rPr>
        <w:t>响额作为调节项目，在现金流量表中单独列示</w:t>
      </w:r>
      <w:r>
        <w:rPr>
          <w:rFonts w:ascii="Calibri" w:hAnsi="Calibri" w:cs="Calibri" w:eastAsia="Calibri" w:hint="default"/>
          <w:spacing w:val="-2"/>
        </w:rPr>
        <w:t>“</w:t>
      </w:r>
      <w:r>
        <w:rPr>
          <w:spacing w:val="-2"/>
        </w:rPr>
        <w:t>汇率变动资产负债表日，本公司对境</w:t>
      </w:r>
      <w:r>
        <w:rPr>
          <w:spacing w:val="-95"/>
        </w:rPr>
        <w:t> </w:t>
      </w:r>
      <w:r>
        <w:rPr>
          <w:spacing w:val="-95"/>
        </w:rPr>
      </w:r>
      <w:r>
        <w:rPr/>
        <w:t>外子公司外币财务报表进行折算时，资产负债表中的资产和负债项目，采用资产负</w:t>
      </w:r>
      <w:r>
        <w:rPr>
          <w:spacing w:val="-77"/>
        </w:rPr>
        <w:t> </w:t>
      </w:r>
      <w:r>
        <w:rPr>
          <w:spacing w:val="-77"/>
        </w:rPr>
      </w:r>
      <w:r>
        <w:rPr>
          <w:spacing w:val="2"/>
        </w:rPr>
        <w:t>债表日的即期汇率折算，股东权益项目除</w:t>
      </w:r>
      <w:r>
        <w:rPr>
          <w:rFonts w:ascii="Calibri" w:hAnsi="Calibri" w:cs="Calibri" w:eastAsia="Calibri" w:hint="default"/>
          <w:spacing w:val="2"/>
        </w:rPr>
        <w:t>“</w:t>
      </w:r>
      <w:r>
        <w:rPr>
          <w:spacing w:val="2"/>
        </w:rPr>
        <w:t>未分配利润</w:t>
      </w:r>
      <w:r>
        <w:rPr>
          <w:rFonts w:ascii="Calibri" w:hAnsi="Calibri" w:cs="Calibri" w:eastAsia="Calibri" w:hint="default"/>
          <w:spacing w:val="2"/>
        </w:rPr>
        <w:t>”</w:t>
      </w:r>
      <w:r>
        <w:rPr>
          <w:spacing w:val="2"/>
        </w:rPr>
        <w:t>外，其他项目采用发生日的</w:t>
      </w:r>
      <w:r>
        <w:rPr>
          <w:spacing w:val="-118"/>
        </w:rPr>
        <w:t> </w:t>
      </w:r>
      <w:r>
        <w:rPr/>
        <w:t>即期汇率折算。</w:t>
      </w:r>
    </w:p>
    <w:p>
      <w:pPr>
        <w:pStyle w:val="BodyText"/>
        <w:spacing w:line="240" w:lineRule="auto" w:before="185"/>
        <w:ind w:right="0"/>
        <w:jc w:val="both"/>
      </w:pPr>
      <w:r>
        <w:rPr/>
        <w:t>对现金及现金等价物的影响</w:t>
      </w:r>
      <w:r>
        <w:rPr>
          <w:rFonts w:ascii="Calibri" w:hAnsi="Calibri" w:cs="Calibri" w:eastAsia="Calibri" w:hint="default"/>
        </w:rPr>
        <w:t>”</w:t>
      </w:r>
      <w:r>
        <w:rPr/>
        <w:t>项目反映。</w:t>
      </w:r>
    </w:p>
    <w:p>
      <w:pPr>
        <w:pStyle w:val="BodyText"/>
        <w:spacing w:line="312" w:lineRule="exact" w:before="214"/>
        <w:ind w:right="102"/>
        <w:jc w:val="left"/>
      </w:pPr>
      <w:r>
        <w:rPr>
          <w:spacing w:val="-2"/>
        </w:rPr>
        <w:t>由于财务报表折算而产生的差额，在资产负债表股东权益项目下单独列示</w:t>
      </w:r>
      <w:r>
        <w:rPr>
          <w:rFonts w:ascii="Calibri" w:hAnsi="Calibri" w:cs="Calibri" w:eastAsia="Calibri" w:hint="default"/>
          <w:spacing w:val="-2"/>
        </w:rPr>
        <w:t>“</w:t>
      </w:r>
      <w:r>
        <w:rPr>
          <w:spacing w:val="-2"/>
        </w:rPr>
        <w:t>外币报表</w:t>
      </w:r>
      <w:r>
        <w:rPr>
          <w:spacing w:val="-97"/>
        </w:rPr>
        <w:t> </w:t>
      </w:r>
      <w:r>
        <w:rPr/>
        <w:t>折算差额</w:t>
      </w:r>
      <w:r>
        <w:rPr>
          <w:rFonts w:ascii="Calibri" w:hAnsi="Calibri" w:cs="Calibri" w:eastAsia="Calibri" w:hint="default"/>
        </w:rPr>
        <w:t>”</w:t>
      </w:r>
      <w:r>
        <w:rPr/>
        <w:t>项目反映。</w:t>
      </w:r>
    </w:p>
    <w:p>
      <w:pPr>
        <w:pStyle w:val="BodyText"/>
        <w:spacing w:line="312" w:lineRule="exact" w:before="216"/>
        <w:ind w:right="238"/>
        <w:jc w:val="both"/>
      </w:pPr>
      <w:r>
        <w:rPr/>
        <w:t>处置境外经营并丧失控制权时，将资产负债表中所有者权益项目下列示的、与该境</w:t>
      </w:r>
      <w:r>
        <w:rPr>
          <w:spacing w:val="-77"/>
        </w:rPr>
        <w:t> </w:t>
      </w:r>
      <w:r>
        <w:rPr>
          <w:spacing w:val="-77"/>
        </w:rPr>
      </w:r>
      <w:r>
        <w:rPr/>
        <w:t>外经营相关的外币报表折算差额，全部或按处置该境外经营的比例转入处置当期损</w:t>
      </w:r>
      <w:r>
        <w:rPr>
          <w:spacing w:val="-77"/>
        </w:rPr>
        <w:t> </w:t>
      </w:r>
      <w:r>
        <w:rPr>
          <w:spacing w:val="-77"/>
        </w:rPr>
      </w:r>
      <w:r>
        <w:rPr/>
        <w:t>益。</w:t>
      </w:r>
    </w:p>
    <w:p>
      <w:pPr>
        <w:spacing w:line="273" w:lineRule="auto" w:before="213"/>
        <w:ind w:left="558" w:right="102" w:firstLine="0"/>
        <w:jc w:val="left"/>
        <w:rPr>
          <w:rFonts w:ascii="宋体" w:hAnsi="宋体" w:cs="宋体" w:eastAsia="宋体" w:hint="default"/>
          <w:sz w:val="21"/>
          <w:szCs w:val="21"/>
        </w:rPr>
      </w:pPr>
      <w:r>
        <w:rPr>
          <w:rFonts w:ascii="宋体" w:hAnsi="宋体" w:cs="宋体" w:eastAsia="宋体" w:hint="default"/>
          <w:spacing w:val="-2"/>
          <w:sz w:val="21"/>
          <w:szCs w:val="21"/>
        </w:rPr>
        <w:t>注：说明发生外币交易时折算汇率的确定、在资产负债表日外币项目采用的折算方法、汇兑损</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益的处理方法、外币报表折算的会计处理方法。</w:t>
      </w:r>
    </w:p>
    <w:p>
      <w:pPr>
        <w:spacing w:line="240" w:lineRule="auto" w:before="7"/>
        <w:rPr>
          <w:rFonts w:ascii="宋体" w:hAnsi="宋体" w:cs="宋体" w:eastAsia="宋体" w:hint="default"/>
          <w:sz w:val="23"/>
          <w:szCs w:val="23"/>
        </w:rPr>
      </w:pPr>
    </w:p>
    <w:p>
      <w:pPr>
        <w:spacing w:before="0"/>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、金融工具</w:t>
      </w:r>
      <w:r>
        <w:rPr>
          <w:rFonts w:ascii="宋体" w:hAnsi="宋体" w:cs="宋体" w:eastAsia="宋体" w:hint="default"/>
          <w:sz w:val="21"/>
          <w:szCs w:val="21"/>
        </w:rPr>
      </w:r>
    </w:p>
    <w:p>
      <w:pPr>
        <w:spacing w:line="240" w:lineRule="auto" w:before="11"/>
        <w:rPr>
          <w:rFonts w:ascii="宋体" w:hAnsi="宋体" w:cs="宋体" w:eastAsia="宋体" w:hint="default"/>
          <w:b/>
          <w:bCs/>
          <w:sz w:val="24"/>
          <w:szCs w:val="24"/>
        </w:rPr>
      </w:pPr>
    </w:p>
    <w:p>
      <w:pPr>
        <w:pStyle w:val="BodyText"/>
        <w:spacing w:line="312" w:lineRule="exact"/>
        <w:ind w:right="102"/>
        <w:jc w:val="left"/>
      </w:pPr>
      <w:r>
        <w:rPr/>
        <w:t>金融工具是指形成一个企业的金融资产，并形成其他单位的金融负债或权益工具的</w:t>
      </w:r>
      <w:r>
        <w:rPr>
          <w:spacing w:val="-77"/>
        </w:rPr>
        <w:t> </w:t>
      </w:r>
      <w:r>
        <w:rPr>
          <w:spacing w:val="-77"/>
        </w:rPr>
      </w:r>
      <w:r>
        <w:rPr/>
        <w:t>合同。</w:t>
      </w:r>
    </w:p>
    <w:p>
      <w:pPr>
        <w:spacing w:line="273" w:lineRule="auto" w:before="213"/>
        <w:ind w:left="558" w:right="308" w:firstLine="0"/>
        <w:jc w:val="both"/>
        <w:rPr>
          <w:rFonts w:ascii="宋体" w:hAnsi="宋体" w:cs="宋体" w:eastAsia="宋体" w:hint="default"/>
          <w:sz w:val="21"/>
          <w:szCs w:val="21"/>
        </w:rPr>
      </w:pPr>
      <w:r>
        <w:rPr>
          <w:rFonts w:ascii="宋体" w:hAnsi="宋体" w:cs="宋体" w:eastAsia="宋体" w:hint="default"/>
          <w:spacing w:val="-2"/>
          <w:sz w:val="21"/>
          <w:szCs w:val="21"/>
        </w:rPr>
        <w:t>注：说明金融工具的分类、确认依据和计量方法；金融资产转移的确认依据和计量方法；金融</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负债终止确认条件；金融资产和金融负债的公允价值确定方法，包括因继续涉入形成的金融资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产和金融负债的公允价值确定方法；金融资产（此处不含应收款项）减值测试方法、减值准备</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计提方法。</w:t>
      </w:r>
    </w:p>
    <w:p>
      <w:pPr>
        <w:spacing w:line="240" w:lineRule="auto" w:before="7"/>
        <w:rPr>
          <w:rFonts w:ascii="宋体" w:hAnsi="宋体" w:cs="宋体" w:eastAsia="宋体" w:hint="default"/>
          <w:sz w:val="23"/>
          <w:szCs w:val="23"/>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）金融工具的确认依据和计量方法</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403" w:lineRule="auto"/>
        <w:ind w:right="1708"/>
        <w:jc w:val="left"/>
      </w:pPr>
      <w:r>
        <w:rPr/>
        <w:t>本公司于成为金融工具合同的一方时确认一项金融资产或金融负债。 金融资产满足下列条件之一的，终止确认：</w:t>
      </w:r>
    </w:p>
    <w:p>
      <w:pPr>
        <w:pStyle w:val="BodyText"/>
        <w:spacing w:line="240" w:lineRule="auto" w:before="50"/>
        <w:ind w:right="0"/>
        <w:jc w:val="both"/>
      </w:pPr>
      <w:r>
        <w:rPr/>
        <w:t>①</w:t>
      </w:r>
      <w:r>
        <w:rPr>
          <w:spacing w:val="-1"/>
        </w:rPr>
        <w:t> </w:t>
      </w:r>
      <w:r>
        <w:rPr/>
        <w:t>收取该金融资产现金流量的合同权利终止；</w:t>
      </w:r>
    </w:p>
    <w:p>
      <w:pPr>
        <w:pStyle w:val="BodyText"/>
        <w:spacing w:line="240" w:lineRule="auto" w:before="214"/>
        <w:ind w:right="0"/>
        <w:jc w:val="both"/>
      </w:pPr>
      <w:r>
        <w:rPr/>
        <w:t>②</w:t>
      </w:r>
      <w:r>
        <w:rPr>
          <w:spacing w:val="-1"/>
        </w:rPr>
        <w:t> </w:t>
      </w:r>
      <w:r>
        <w:rPr/>
        <w:t>该金融资产已转移，且符合下述金融资产转移的终止确认条件。</w:t>
      </w:r>
    </w:p>
    <w:p>
      <w:pPr>
        <w:spacing w:line="240" w:lineRule="auto" w:before="7"/>
        <w:rPr>
          <w:rFonts w:ascii="宋体" w:hAnsi="宋体" w:cs="宋体" w:eastAsia="宋体" w:hint="default"/>
          <w:sz w:val="16"/>
          <w:szCs w:val="16"/>
        </w:rPr>
      </w:pPr>
    </w:p>
    <w:p>
      <w:pPr>
        <w:pStyle w:val="BodyText"/>
        <w:spacing w:line="237" w:lineRule="auto"/>
        <w:ind w:right="102"/>
        <w:jc w:val="left"/>
      </w:pPr>
      <w:r>
        <w:rPr/>
        <w:t>金融负债的现时义务全部或部分已经解除的，终止确认该金融负债或其一部分。本</w:t>
      </w:r>
      <w:r>
        <w:rPr>
          <w:spacing w:val="-77"/>
        </w:rPr>
        <w:t> </w:t>
      </w:r>
      <w:r>
        <w:rPr>
          <w:spacing w:val="-77"/>
        </w:rPr>
      </w:r>
      <w:r>
        <w:rPr>
          <w:spacing w:val="-2"/>
        </w:rPr>
        <w:t>公司（债务人）与债权人之间签订协议，以承担新金融负债方式替换现存金融负债，</w:t>
      </w:r>
      <w:r>
        <w:rPr>
          <w:spacing w:val="-116"/>
        </w:rPr>
        <w:t> </w:t>
      </w:r>
      <w:r>
        <w:rPr>
          <w:spacing w:val="-116"/>
        </w:rPr>
      </w:r>
      <w:r>
        <w:rPr/>
        <w:t>且新金融负债与现存金融负债的合同条款实质上不同的，终止确认现存金融负债，</w:t>
      </w:r>
      <w:r>
        <w:rPr>
          <w:spacing w:val="-77"/>
        </w:rPr>
        <w:t> </w:t>
      </w:r>
      <w:r>
        <w:rPr>
          <w:spacing w:val="-77"/>
        </w:rPr>
      </w:r>
      <w:r>
        <w:rPr/>
        <w:t>并同时确认新金融负债。</w:t>
      </w:r>
    </w:p>
    <w:p>
      <w:pPr>
        <w:spacing w:after="0" w:line="237" w:lineRule="auto"/>
        <w:jc w:val="left"/>
        <w:sectPr>
          <w:pgSz w:w="11910" w:h="16840"/>
          <w:pgMar w:header="884" w:footer="1007" w:top="1160" w:bottom="1200" w:left="1240" w:right="1180"/>
        </w:sectPr>
      </w:pPr>
    </w:p>
    <w:p>
      <w:pPr>
        <w:spacing w:line="240" w:lineRule="auto" w:before="13"/>
        <w:rPr>
          <w:rFonts w:ascii="宋体" w:hAnsi="宋体" w:cs="宋体" w:eastAsia="宋体" w:hint="default"/>
          <w:sz w:val="14"/>
          <w:szCs w:val="14"/>
        </w:rPr>
      </w:pPr>
    </w:p>
    <w:p>
      <w:pPr>
        <w:pStyle w:val="BodyText"/>
        <w:spacing w:line="240" w:lineRule="auto" w:before="26"/>
        <w:ind w:right="102"/>
        <w:jc w:val="left"/>
      </w:pPr>
      <w:r>
        <w:rPr/>
        <w:t>以常规方式买卖金融资产，按交易日进行会计确认和终止确认。</w:t>
      </w:r>
    </w:p>
    <w:p>
      <w:pPr>
        <w:spacing w:line="240" w:lineRule="auto" w:before="12"/>
        <w:rPr>
          <w:rFonts w:ascii="宋体" w:hAnsi="宋体" w:cs="宋体" w:eastAsia="宋体" w:hint="default"/>
          <w:sz w:val="24"/>
          <w:szCs w:val="24"/>
        </w:rPr>
      </w:pPr>
    </w:p>
    <w:p>
      <w:pPr>
        <w:spacing w:before="0"/>
        <w:ind w:left="558"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238"/>
        <w:jc w:val="both"/>
      </w:pPr>
      <w:r>
        <w:rPr/>
        <w:t>本公司的金融资产于初始确认时分为以下四类：以公允价值计量且其变动计入当期</w:t>
      </w:r>
      <w:r>
        <w:rPr>
          <w:spacing w:val="-78"/>
        </w:rPr>
        <w:t> </w:t>
      </w:r>
      <w:r>
        <w:rPr>
          <w:spacing w:val="-78"/>
        </w:rPr>
      </w:r>
      <w:r>
        <w:rPr/>
        <w:t>损益的金融资产、持有至到期投资、贷款和应收款项、可供出售金融资产。金融资</w:t>
      </w:r>
      <w:r>
        <w:rPr>
          <w:spacing w:val="-77"/>
        </w:rPr>
        <w:t> </w:t>
      </w:r>
      <w:r>
        <w:rPr>
          <w:spacing w:val="-77"/>
        </w:rPr>
      </w:r>
      <w:r>
        <w:rPr/>
        <w:t>产在初始确认时以公允价值计量。对于以公允价值计量且其变动计入当期损益的金</w:t>
      </w:r>
      <w:r>
        <w:rPr>
          <w:spacing w:val="-77"/>
        </w:rPr>
        <w:t> </w:t>
      </w:r>
      <w:r>
        <w:rPr>
          <w:spacing w:val="-77"/>
        </w:rPr>
      </w:r>
      <w:r>
        <w:rPr/>
        <w:t>融资产，相关交易费用直接计入当期损益，其他类别的金融资产相关交易费用计入</w:t>
      </w:r>
      <w:r>
        <w:rPr>
          <w:spacing w:val="-77"/>
        </w:rPr>
        <w:t> </w:t>
      </w:r>
      <w:r>
        <w:rPr>
          <w:spacing w:val="-77"/>
        </w:rPr>
      </w:r>
      <w:r>
        <w:rPr/>
        <w:t>其初始确认金额。</w:t>
      </w:r>
    </w:p>
    <w:p>
      <w:pPr>
        <w:pStyle w:val="BodyText"/>
        <w:spacing w:line="240" w:lineRule="auto" w:before="185"/>
        <w:ind w:right="102"/>
        <w:jc w:val="left"/>
      </w:pPr>
      <w:r>
        <w:rPr/>
        <w:t>以公允价值计量且其变动计入当期损益的金融资产</w:t>
      </w:r>
    </w:p>
    <w:p>
      <w:pPr>
        <w:spacing w:line="240" w:lineRule="auto" w:before="10"/>
        <w:rPr>
          <w:rFonts w:ascii="宋体" w:hAnsi="宋体" w:cs="宋体" w:eastAsia="宋体" w:hint="default"/>
          <w:sz w:val="18"/>
          <w:szCs w:val="18"/>
        </w:rPr>
      </w:pPr>
    </w:p>
    <w:p>
      <w:pPr>
        <w:pStyle w:val="BodyText"/>
        <w:spacing w:line="312" w:lineRule="exact"/>
        <w:ind w:right="102"/>
        <w:jc w:val="left"/>
      </w:pPr>
      <w:r>
        <w:rPr/>
        <w:t>以公允价值计量且其变动计入当期损益的金融资产，包括交易性金融资产和初始确</w:t>
      </w:r>
      <w:r>
        <w:rPr>
          <w:spacing w:val="-77"/>
        </w:rPr>
        <w:t> </w:t>
      </w:r>
      <w:r>
        <w:rPr>
          <w:spacing w:val="-77"/>
        </w:rPr>
      </w:r>
      <w:r>
        <w:rPr>
          <w:spacing w:val="-2"/>
        </w:rPr>
        <w:t>认时指定为以公允价值计量且其变动计入当期损益的金融资产。对于此类金融资产，</w:t>
      </w:r>
      <w:r>
        <w:rPr>
          <w:spacing w:val="-116"/>
        </w:rPr>
        <w:t> </w:t>
      </w:r>
      <w:r>
        <w:rPr>
          <w:spacing w:val="-116"/>
        </w:rPr>
      </w:r>
      <w:r>
        <w:rPr/>
        <w:t>采用公允价值进行后续计量，公允价值变动形成的利得或损失以及与该等金融资产</w:t>
      </w:r>
      <w:r>
        <w:rPr>
          <w:spacing w:val="-76"/>
        </w:rPr>
        <w:t> </w:t>
      </w:r>
      <w:r>
        <w:rPr>
          <w:spacing w:val="-76"/>
        </w:rPr>
      </w:r>
      <w:r>
        <w:rPr/>
        <w:t>相关的股利和利息收入计入当期损益。</w:t>
      </w:r>
    </w:p>
    <w:p>
      <w:pPr>
        <w:pStyle w:val="BodyText"/>
        <w:spacing w:line="240" w:lineRule="auto" w:before="185"/>
        <w:ind w:right="102"/>
        <w:jc w:val="left"/>
      </w:pPr>
      <w:r>
        <w:rPr/>
        <w:t>持有至到期投资</w:t>
      </w:r>
    </w:p>
    <w:p>
      <w:pPr>
        <w:spacing w:line="240" w:lineRule="auto" w:before="9"/>
        <w:rPr>
          <w:rFonts w:ascii="宋体" w:hAnsi="宋体" w:cs="宋体" w:eastAsia="宋体" w:hint="default"/>
          <w:sz w:val="18"/>
          <w:szCs w:val="18"/>
        </w:rPr>
      </w:pPr>
    </w:p>
    <w:p>
      <w:pPr>
        <w:pStyle w:val="BodyText"/>
        <w:spacing w:line="312" w:lineRule="exact"/>
        <w:ind w:right="238"/>
        <w:jc w:val="both"/>
      </w:pPr>
      <w:r>
        <w:rPr/>
        <w:t>持有至到期投资，是指到期日固定、回收金额固定或可确定，且本公司有明确意图</w:t>
      </w:r>
      <w:r>
        <w:rPr>
          <w:spacing w:val="-77"/>
        </w:rPr>
        <w:t> </w:t>
      </w:r>
      <w:r>
        <w:rPr>
          <w:spacing w:val="-77"/>
        </w:rPr>
      </w:r>
      <w:r>
        <w:rPr/>
        <w:t>和能力持有至到期的非衍生金融资产。持有至到期投资采用实际利率法，按照摊余</w:t>
      </w:r>
      <w:r>
        <w:rPr>
          <w:spacing w:val="-77"/>
        </w:rPr>
        <w:t> </w:t>
      </w:r>
      <w:r>
        <w:rPr>
          <w:spacing w:val="-77"/>
        </w:rPr>
      </w:r>
      <w:r>
        <w:rPr/>
        <w:t>成本进行后续计量，其终止确认、发生减值或摊销产生的利得或损失，均计入当期</w:t>
      </w:r>
      <w:r>
        <w:rPr>
          <w:spacing w:val="-77"/>
        </w:rPr>
        <w:t> </w:t>
      </w:r>
      <w:r>
        <w:rPr>
          <w:spacing w:val="-77"/>
        </w:rPr>
      </w:r>
      <w:r>
        <w:rPr/>
        <w:t>损益。</w:t>
      </w:r>
    </w:p>
    <w:p>
      <w:pPr>
        <w:pStyle w:val="BodyText"/>
        <w:spacing w:line="240" w:lineRule="auto" w:before="185"/>
        <w:ind w:right="102"/>
        <w:jc w:val="left"/>
      </w:pPr>
      <w:r>
        <w:rPr/>
        <w:t>应收款项</w:t>
      </w:r>
    </w:p>
    <w:p>
      <w:pPr>
        <w:spacing w:line="240" w:lineRule="auto" w:before="9"/>
        <w:rPr>
          <w:rFonts w:ascii="宋体" w:hAnsi="宋体" w:cs="宋体" w:eastAsia="宋体" w:hint="default"/>
          <w:sz w:val="18"/>
          <w:szCs w:val="18"/>
        </w:rPr>
      </w:pPr>
    </w:p>
    <w:p>
      <w:pPr>
        <w:pStyle w:val="BodyText"/>
        <w:spacing w:line="312" w:lineRule="exact"/>
        <w:ind w:right="102"/>
        <w:jc w:val="left"/>
      </w:pPr>
      <w:r>
        <w:rPr>
          <w:spacing w:val="-2"/>
        </w:rPr>
        <w:t>应收款项，是指在活跃市场中没有报价、回收金额固定或可确定的非衍生金融资产，</w:t>
      </w:r>
      <w:r>
        <w:rPr>
          <w:spacing w:val="-114"/>
        </w:rPr>
        <w:t> </w:t>
      </w:r>
      <w:r>
        <w:rPr>
          <w:spacing w:val="-114"/>
        </w:rPr>
      </w:r>
      <w:r>
        <w:rPr/>
        <w:t>包括应收账款和其他应收款等（附注二、</w:t>
      </w:r>
      <w:r>
        <w:rPr>
          <w:rFonts w:ascii="Calibri" w:hAnsi="Calibri" w:cs="Calibri" w:eastAsia="Calibri" w:hint="default"/>
        </w:rPr>
        <w:t>10</w:t>
      </w:r>
      <w:r>
        <w:rPr/>
        <w:t>）。应收款项采用实际利率法，按摊余</w:t>
      </w:r>
      <w:r>
        <w:rPr>
          <w:spacing w:val="-75"/>
        </w:rPr>
        <w:t> </w:t>
      </w:r>
      <w:r>
        <w:rPr>
          <w:spacing w:val="-75"/>
        </w:rPr>
      </w:r>
      <w:r>
        <w:rPr/>
        <w:t>成本进行后续计量，在终止确认、发生减值或摊销时产生的利得或损失，计入当期</w:t>
      </w:r>
      <w:r>
        <w:rPr>
          <w:spacing w:val="-75"/>
        </w:rPr>
        <w:t> </w:t>
      </w:r>
      <w:r>
        <w:rPr>
          <w:spacing w:val="-75"/>
        </w:rPr>
      </w:r>
      <w:r>
        <w:rPr/>
        <w:t>损益。</w:t>
      </w:r>
    </w:p>
    <w:p>
      <w:pPr>
        <w:pStyle w:val="BodyText"/>
        <w:spacing w:line="240" w:lineRule="auto" w:before="185"/>
        <w:ind w:right="102"/>
        <w:jc w:val="left"/>
      </w:pPr>
      <w:r>
        <w:rPr/>
        <w:t>可供出售金融资产</w:t>
      </w:r>
    </w:p>
    <w:p>
      <w:pPr>
        <w:spacing w:line="240" w:lineRule="auto" w:before="7"/>
        <w:rPr>
          <w:rFonts w:ascii="宋体" w:hAnsi="宋体" w:cs="宋体" w:eastAsia="宋体" w:hint="default"/>
          <w:sz w:val="16"/>
          <w:szCs w:val="16"/>
        </w:rPr>
      </w:pPr>
    </w:p>
    <w:p>
      <w:pPr>
        <w:pStyle w:val="BodyText"/>
        <w:spacing w:line="237" w:lineRule="auto"/>
        <w:ind w:right="102"/>
        <w:jc w:val="left"/>
      </w:pPr>
      <w:r>
        <w:rPr/>
        <w:t>可供出售金融资产，是指初始确认时即指定为可供出售的非衍生金融资产，以及除</w:t>
      </w:r>
      <w:r>
        <w:rPr>
          <w:spacing w:val="-77"/>
        </w:rPr>
        <w:t> </w:t>
      </w:r>
      <w:r>
        <w:rPr>
          <w:spacing w:val="-77"/>
        </w:rPr>
      </w:r>
      <w:r>
        <w:rPr>
          <w:spacing w:val="-2"/>
        </w:rPr>
        <w:t>上述金融资产类别以外的金融资产。可供出售金融资产采用公允价值进行后续计量，</w:t>
      </w:r>
      <w:r>
        <w:rPr>
          <w:spacing w:val="-116"/>
        </w:rPr>
        <w:t> </w:t>
      </w:r>
      <w:r>
        <w:rPr>
          <w:spacing w:val="-116"/>
        </w:rPr>
      </w:r>
      <w:r>
        <w:rPr/>
        <w:t>其折溢价采用实际利率法摊销并确认为利息收入。除减值损失及外币货币性金融资</w:t>
      </w:r>
      <w:r>
        <w:rPr>
          <w:spacing w:val="-77"/>
        </w:rPr>
        <w:t> </w:t>
      </w:r>
      <w:r>
        <w:rPr>
          <w:spacing w:val="-77"/>
        </w:rPr>
      </w:r>
      <w:r>
        <w:rPr/>
        <w:t>产的汇兑差额确认为当期损益外，可供出售金融资产的公允价值变动确认为其他综</w:t>
      </w:r>
      <w:r>
        <w:rPr>
          <w:spacing w:val="-77"/>
        </w:rPr>
        <w:t> </w:t>
      </w:r>
      <w:r>
        <w:rPr>
          <w:spacing w:val="-77"/>
        </w:rPr>
      </w:r>
      <w:r>
        <w:rPr/>
        <w:t>合收益并计入资本公积，在该金融资产终止确认时转出，计入当期损益。与可供出</w:t>
      </w:r>
      <w:r>
        <w:rPr>
          <w:spacing w:val="-77"/>
        </w:rPr>
        <w:t> </w:t>
      </w:r>
      <w:r>
        <w:rPr>
          <w:spacing w:val="-77"/>
        </w:rPr>
      </w:r>
      <w:r>
        <w:rPr/>
        <w:t>售金融资产相关的股利或利息收入，计入当期损益。</w:t>
      </w:r>
    </w:p>
    <w:p>
      <w:pPr>
        <w:spacing w:line="240" w:lineRule="auto" w:before="12"/>
        <w:rPr>
          <w:rFonts w:ascii="宋体" w:hAnsi="宋体" w:cs="宋体" w:eastAsia="宋体" w:hint="default"/>
          <w:sz w:val="24"/>
          <w:szCs w:val="24"/>
        </w:rPr>
      </w:pPr>
    </w:p>
    <w:p>
      <w:pPr>
        <w:spacing w:before="0"/>
        <w:ind w:left="558"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238"/>
        <w:jc w:val="both"/>
      </w:pPr>
      <w:r>
        <w:rPr/>
        <w:t>本公司的金融负债于初始确认时分类为：以公允价值计量且其变动计入当期损益的</w:t>
      </w:r>
      <w:r>
        <w:rPr>
          <w:spacing w:val="-77"/>
        </w:rPr>
        <w:t> </w:t>
      </w:r>
      <w:r>
        <w:rPr>
          <w:spacing w:val="-77"/>
        </w:rPr>
      </w:r>
      <w:r>
        <w:rPr/>
        <w:t>金融负债、其他金融负债。对于未划分为以公允价值计量且其变动计入当期损益的</w:t>
      </w:r>
      <w:r>
        <w:rPr>
          <w:spacing w:val="-77"/>
        </w:rPr>
        <w:t> </w:t>
      </w:r>
      <w:r>
        <w:rPr>
          <w:spacing w:val="-77"/>
        </w:rPr>
      </w:r>
      <w:r>
        <w:rPr/>
        <w:t>金融负债的，相关交易费用计入其初始确认金额。</w:t>
      </w:r>
    </w:p>
    <w:p>
      <w:pPr>
        <w:spacing w:after="0" w:line="312" w:lineRule="exact"/>
        <w:jc w:val="both"/>
        <w:sectPr>
          <w:pgSz w:w="11910" w:h="16840"/>
          <w:pgMar w:header="884" w:footer="1007" w:top="1160" w:bottom="1200" w:left="1240" w:right="1180"/>
        </w:sectPr>
      </w:pPr>
    </w:p>
    <w:p>
      <w:pPr>
        <w:spacing w:line="240" w:lineRule="auto" w:before="4"/>
        <w:rPr>
          <w:rFonts w:ascii="宋体" w:hAnsi="宋体" w:cs="宋体" w:eastAsia="宋体" w:hint="default"/>
          <w:sz w:val="16"/>
          <w:szCs w:val="16"/>
        </w:rPr>
      </w:pPr>
    </w:p>
    <w:p>
      <w:pPr>
        <w:spacing w:before="36"/>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right="0"/>
        <w:jc w:val="both"/>
      </w:pPr>
      <w:r>
        <w:rPr/>
        <w:t>以公允价值计量且其变动计入当期损益的金融负债</w:t>
      </w:r>
    </w:p>
    <w:p>
      <w:pPr>
        <w:spacing w:line="240" w:lineRule="auto" w:before="9"/>
        <w:rPr>
          <w:rFonts w:ascii="宋体" w:hAnsi="宋体" w:cs="宋体" w:eastAsia="宋体" w:hint="default"/>
          <w:sz w:val="18"/>
          <w:szCs w:val="18"/>
        </w:rPr>
      </w:pPr>
    </w:p>
    <w:p>
      <w:pPr>
        <w:pStyle w:val="BodyText"/>
        <w:spacing w:line="312" w:lineRule="exact"/>
        <w:ind w:right="102"/>
        <w:jc w:val="left"/>
      </w:pPr>
      <w:r>
        <w:rPr/>
        <w:t>以公允价值计量且其变动计入当期损益的金融负债，包括交易性金融负债和初始确</w:t>
      </w:r>
      <w:r>
        <w:rPr>
          <w:spacing w:val="-77"/>
        </w:rPr>
        <w:t> </w:t>
      </w:r>
      <w:r>
        <w:rPr>
          <w:spacing w:val="-77"/>
        </w:rPr>
      </w:r>
      <w:r>
        <w:rPr>
          <w:spacing w:val="-2"/>
        </w:rPr>
        <w:t>认时指定为以公允价值计量且其变动计入当期损益的金融负债。对于此类金融负债，</w:t>
      </w:r>
      <w:r>
        <w:rPr>
          <w:spacing w:val="-116"/>
        </w:rPr>
        <w:t> </w:t>
      </w:r>
      <w:r>
        <w:rPr>
          <w:spacing w:val="-116"/>
        </w:rPr>
      </w:r>
      <w:r>
        <w:rPr/>
        <w:t>按照公允价值进行后续计量，公允价值变动形成的利得或损失以及与该等金融负债</w:t>
      </w:r>
      <w:r>
        <w:rPr>
          <w:spacing w:val="-77"/>
        </w:rPr>
        <w:t> </w:t>
      </w:r>
      <w:r>
        <w:rPr>
          <w:spacing w:val="-77"/>
        </w:rPr>
      </w:r>
      <w:r>
        <w:rPr/>
        <w:t>相关的股利和利息支出计入当期损益。</w:t>
      </w:r>
    </w:p>
    <w:p>
      <w:pPr>
        <w:pStyle w:val="BodyText"/>
        <w:spacing w:line="240" w:lineRule="auto" w:before="185"/>
        <w:ind w:right="0"/>
        <w:jc w:val="both"/>
      </w:pPr>
      <w:r>
        <w:rPr/>
        <w:t>其他金融负债</w:t>
      </w:r>
    </w:p>
    <w:p>
      <w:pPr>
        <w:spacing w:line="240" w:lineRule="auto" w:before="7"/>
        <w:rPr>
          <w:rFonts w:ascii="宋体" w:hAnsi="宋体" w:cs="宋体" w:eastAsia="宋体" w:hint="default"/>
          <w:sz w:val="16"/>
          <w:szCs w:val="16"/>
        </w:rPr>
      </w:pPr>
    </w:p>
    <w:p>
      <w:pPr>
        <w:pStyle w:val="BodyText"/>
        <w:spacing w:line="237" w:lineRule="auto"/>
        <w:ind w:right="113"/>
        <w:jc w:val="both"/>
      </w:pPr>
      <w:r>
        <w:rPr/>
        <w:t>与在活跃市场中没有报价、公允价值不能可靠计量的权益工具挂钩并须通过交付该</w:t>
      </w:r>
      <w:r>
        <w:rPr>
          <w:spacing w:val="-77"/>
        </w:rPr>
        <w:t> </w:t>
      </w:r>
      <w:r>
        <w:rPr>
          <w:spacing w:val="-77"/>
        </w:rPr>
      </w:r>
      <w:r>
        <w:rPr/>
        <w:t>权益工具结算的衍生金融负债，按照成本进行后续计量。其他金融负债采用实际利</w:t>
      </w:r>
      <w:r>
        <w:rPr>
          <w:spacing w:val="-77"/>
        </w:rPr>
        <w:t> </w:t>
      </w:r>
      <w:r>
        <w:rPr>
          <w:spacing w:val="-77"/>
        </w:rPr>
      </w:r>
      <w:r>
        <w:rPr>
          <w:spacing w:val="-2"/>
        </w:rPr>
        <w:t>率法，按摊余成本进行后续计量，终止确认或摊销产生的利得或损失计入当期损益。</w:t>
      </w:r>
    </w:p>
    <w:p>
      <w:pPr>
        <w:spacing w:line="240" w:lineRule="auto" w:before="7"/>
        <w:rPr>
          <w:rFonts w:ascii="宋体" w:hAnsi="宋体" w:cs="宋体" w:eastAsia="宋体" w:hint="default"/>
          <w:sz w:val="18"/>
          <w:szCs w:val="18"/>
        </w:rPr>
      </w:pPr>
    </w:p>
    <w:p>
      <w:pPr>
        <w:spacing w:line="273" w:lineRule="auto" w:before="0"/>
        <w:ind w:left="558" w:right="308" w:firstLine="0"/>
        <w:jc w:val="both"/>
        <w:rPr>
          <w:rFonts w:ascii="宋体" w:hAnsi="宋体" w:cs="宋体" w:eastAsia="宋体" w:hint="default"/>
          <w:sz w:val="21"/>
          <w:szCs w:val="21"/>
        </w:rPr>
      </w:pPr>
      <w:r>
        <w:rPr>
          <w:rFonts w:ascii="宋体" w:hAnsi="宋体" w:cs="宋体" w:eastAsia="宋体" w:hint="default"/>
          <w:spacing w:val="-2"/>
          <w:sz w:val="21"/>
          <w:szCs w:val="21"/>
        </w:rPr>
        <w:t>注：金融资产和金融负债的公允价值确定方法，包括因继续涉入形成的金融资产和金融负债的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公允价值确定方法。</w:t>
      </w:r>
    </w:p>
    <w:p>
      <w:pPr>
        <w:spacing w:line="240" w:lineRule="auto" w:before="7"/>
        <w:rPr>
          <w:rFonts w:ascii="宋体" w:hAnsi="宋体" w:cs="宋体" w:eastAsia="宋体" w:hint="default"/>
          <w:sz w:val="23"/>
          <w:szCs w:val="23"/>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37" w:lineRule="auto"/>
        <w:ind w:right="236"/>
        <w:jc w:val="both"/>
      </w:pPr>
      <w:r>
        <w:rPr/>
        <w:t>本公司于资产负债表日对金融资产的账面价值进行检查，有客观证据表明该金融资</w:t>
      </w:r>
      <w:r>
        <w:rPr>
          <w:spacing w:val="-77"/>
        </w:rPr>
        <w:t> </w:t>
      </w:r>
      <w:r>
        <w:rPr>
          <w:spacing w:val="-77"/>
        </w:rPr>
      </w:r>
      <w:r>
        <w:rPr/>
        <w:t>产发生减值的，计提减值准备。表明金融资产发生减值的客观证据，是指金融资产</w:t>
      </w:r>
      <w:r>
        <w:rPr>
          <w:spacing w:val="-76"/>
        </w:rPr>
        <w:t> </w:t>
      </w:r>
      <w:r>
        <w:rPr>
          <w:spacing w:val="-76"/>
        </w:rPr>
      </w:r>
      <w:r>
        <w:rPr/>
        <w:t>初始确认后实际发生的、对该金融资产的预计未来现金流量有影响，且企业能够对</w:t>
      </w:r>
      <w:r>
        <w:rPr>
          <w:spacing w:val="-77"/>
        </w:rPr>
        <w:t> </w:t>
      </w:r>
      <w:r>
        <w:rPr>
          <w:spacing w:val="-77"/>
        </w:rPr>
      </w:r>
      <w:r>
        <w:rPr/>
        <w:t>该影响进行可靠计量的事项。</w:t>
      </w:r>
    </w:p>
    <w:p>
      <w:pPr>
        <w:pStyle w:val="BodyText"/>
        <w:spacing w:line="240" w:lineRule="auto" w:before="214"/>
        <w:ind w:right="0"/>
        <w:jc w:val="both"/>
      </w:pPr>
      <w:r>
        <w:rPr/>
        <w:t>以摊余成本计量的金融资产</w:t>
      </w:r>
    </w:p>
    <w:p>
      <w:pPr>
        <w:spacing w:line="240" w:lineRule="auto" w:before="9"/>
        <w:rPr>
          <w:rFonts w:ascii="宋体" w:hAnsi="宋体" w:cs="宋体" w:eastAsia="宋体" w:hint="default"/>
          <w:sz w:val="18"/>
          <w:szCs w:val="18"/>
        </w:rPr>
      </w:pPr>
    </w:p>
    <w:p>
      <w:pPr>
        <w:pStyle w:val="BodyText"/>
        <w:spacing w:line="312" w:lineRule="exact"/>
        <w:ind w:right="238"/>
        <w:jc w:val="both"/>
      </w:pPr>
      <w:r>
        <w:rPr/>
        <w:t>如果有客观证据表明该金融资产发生减值，则将该金融资产的账面价值减记至预计</w:t>
      </w:r>
      <w:r>
        <w:rPr>
          <w:spacing w:val="-77"/>
        </w:rPr>
        <w:t> </w:t>
      </w:r>
      <w:r>
        <w:rPr>
          <w:spacing w:val="-77"/>
        </w:rPr>
      </w:r>
      <w:r>
        <w:rPr/>
        <w:t>未来现金流量（不包括尚未发生的未来信用损失）现值，减记金额计入当期损益。</w:t>
      </w:r>
      <w:r>
        <w:rPr>
          <w:spacing w:val="-77"/>
        </w:rPr>
        <w:t> </w:t>
      </w:r>
      <w:r>
        <w:rPr>
          <w:spacing w:val="-77"/>
        </w:rPr>
      </w:r>
      <w:r>
        <w:rPr/>
        <w:t>预计未来现金流量现值，按照该金融资产原实际利率折现确定，并考虑相关担保物</w:t>
      </w:r>
      <w:r>
        <w:rPr>
          <w:spacing w:val="-77"/>
        </w:rPr>
        <w:t> </w:t>
      </w:r>
      <w:r>
        <w:rPr>
          <w:spacing w:val="-77"/>
        </w:rPr>
      </w:r>
      <w:r>
        <w:rPr/>
        <w:t>的价值。</w:t>
      </w:r>
    </w:p>
    <w:p>
      <w:pPr>
        <w:pStyle w:val="BodyText"/>
        <w:spacing w:line="237" w:lineRule="auto" w:before="188"/>
        <w:ind w:right="235"/>
        <w:jc w:val="both"/>
      </w:pPr>
      <w:r>
        <w:rPr/>
        <w:t>对单项金额重大的金融资产单独进行减值测试，如有客观证据表明其已发生减值，</w:t>
      </w:r>
      <w:r>
        <w:rPr>
          <w:spacing w:val="-77"/>
        </w:rPr>
        <w:t> </w:t>
      </w:r>
      <w:r>
        <w:rPr>
          <w:spacing w:val="-77"/>
        </w:rPr>
      </w:r>
      <w:r>
        <w:rPr/>
        <w:t>确认减值损失，计入当期损益。对单项金额不重大的金融资产，包括在具有类似信</w:t>
      </w:r>
      <w:r>
        <w:rPr>
          <w:spacing w:val="-74"/>
        </w:rPr>
        <w:t> </w:t>
      </w:r>
      <w:r>
        <w:rPr>
          <w:spacing w:val="-74"/>
        </w:rPr>
      </w:r>
      <w:r>
        <w:rPr/>
        <w:t>用风险特征的金融资产组合中进行减值测试。单独测试未发生减值的金融资产（包</w:t>
      </w:r>
      <w:r>
        <w:rPr>
          <w:spacing w:val="-77"/>
        </w:rPr>
        <w:t> </w:t>
      </w:r>
      <w:r>
        <w:rPr>
          <w:spacing w:val="-77"/>
        </w:rPr>
      </w:r>
      <w:r>
        <w:rPr/>
        <w:t>括单项金额重大和不重大的金融资产），包括在具有类似信用风险特征的金融资产</w:t>
      </w:r>
      <w:r>
        <w:rPr>
          <w:spacing w:val="-77"/>
        </w:rPr>
        <w:t> </w:t>
      </w:r>
      <w:r>
        <w:rPr>
          <w:spacing w:val="-77"/>
        </w:rPr>
      </w:r>
      <w:r>
        <w:rPr/>
        <w:t>组合中再进行减值测试。已单项确认减值损失的金融资产，不包括在具有类似信用</w:t>
      </w:r>
      <w:r>
        <w:rPr>
          <w:spacing w:val="-77"/>
        </w:rPr>
        <w:t> </w:t>
      </w:r>
      <w:r>
        <w:rPr>
          <w:spacing w:val="-77"/>
        </w:rPr>
      </w:r>
      <w:r>
        <w:rPr/>
        <w:t>风险特征的金融资产组合中进行减值测试。</w:t>
      </w:r>
    </w:p>
    <w:p>
      <w:pPr>
        <w:spacing w:line="240" w:lineRule="auto" w:before="9"/>
        <w:rPr>
          <w:rFonts w:ascii="宋体" w:hAnsi="宋体" w:cs="宋体" w:eastAsia="宋体" w:hint="default"/>
          <w:sz w:val="18"/>
          <w:szCs w:val="18"/>
        </w:rPr>
      </w:pPr>
    </w:p>
    <w:p>
      <w:pPr>
        <w:pStyle w:val="BodyText"/>
        <w:spacing w:line="312" w:lineRule="exact"/>
        <w:ind w:right="238"/>
        <w:jc w:val="both"/>
      </w:pPr>
      <w:r>
        <w:rPr/>
        <w:t>本公司对以摊余成本计量的金融资产确认减值损失后，如有客观证据表明该金融资</w:t>
      </w:r>
      <w:r>
        <w:rPr>
          <w:spacing w:val="-77"/>
        </w:rPr>
        <w:t> </w:t>
      </w:r>
      <w:r>
        <w:rPr>
          <w:spacing w:val="-77"/>
        </w:rPr>
      </w:r>
      <w:r>
        <w:rPr/>
        <w:t>产价值已恢复，且客观上与确认该损失后发生的事项有关，原确认的减值损失予以</w:t>
      </w:r>
      <w:r>
        <w:rPr>
          <w:spacing w:val="-77"/>
        </w:rPr>
        <w:t> </w:t>
      </w:r>
      <w:r>
        <w:rPr>
          <w:spacing w:val="-77"/>
        </w:rPr>
      </w:r>
      <w:r>
        <w:rPr/>
        <w:t>转回，计入当期损益。但是，该转回后的账面价值不超过假定不计提减值准备情况</w:t>
      </w:r>
      <w:r>
        <w:rPr>
          <w:spacing w:val="-77"/>
        </w:rPr>
        <w:t> </w:t>
      </w:r>
      <w:r>
        <w:rPr>
          <w:spacing w:val="-77"/>
        </w:rPr>
      </w:r>
      <w:r>
        <w:rPr/>
        <w:t>下该金融资产在转回日的摊余成本。</w:t>
      </w:r>
    </w:p>
    <w:p>
      <w:pPr>
        <w:pStyle w:val="BodyText"/>
        <w:spacing w:line="403" w:lineRule="auto" w:before="185"/>
        <w:ind w:right="238"/>
        <w:jc w:val="both"/>
      </w:pPr>
      <w:r>
        <w:rPr/>
        <w:t>可供出售金融资产 如果有客观证据表明该金融资产发生减值，原直接计入资本公积的因公允价值下降</w:t>
      </w:r>
    </w:p>
    <w:p>
      <w:pPr>
        <w:spacing w:after="0" w:line="403" w:lineRule="auto"/>
        <w:jc w:val="both"/>
        <w:sectPr>
          <w:footerReference w:type="default" r:id="rId43"/>
          <w:pgSz w:w="11910" w:h="16840"/>
          <w:pgMar w:footer="1007" w:header="884" w:top="1160" w:bottom="1200" w:left="1240" w:right="1180"/>
          <w:pgNumType w:start="100"/>
        </w:sectPr>
      </w:pPr>
    </w:p>
    <w:p>
      <w:pPr>
        <w:spacing w:line="240" w:lineRule="auto" w:before="13"/>
        <w:rPr>
          <w:rFonts w:ascii="宋体" w:hAnsi="宋体" w:cs="宋体" w:eastAsia="宋体" w:hint="default"/>
          <w:sz w:val="14"/>
          <w:szCs w:val="14"/>
        </w:rPr>
      </w:pPr>
    </w:p>
    <w:p>
      <w:pPr>
        <w:pStyle w:val="BodyText"/>
        <w:spacing w:line="312" w:lineRule="exact" w:before="56"/>
        <w:ind w:right="238"/>
        <w:jc w:val="both"/>
      </w:pPr>
      <w:r>
        <w:rPr/>
        <w:t>形成的累计损失，予以转出，计入当期损益。该转出的累计损失，为可供出售金融</w:t>
      </w:r>
      <w:r>
        <w:rPr>
          <w:spacing w:val="-77"/>
        </w:rPr>
        <w:t> </w:t>
      </w:r>
      <w:r>
        <w:rPr>
          <w:spacing w:val="-77"/>
        </w:rPr>
      </w:r>
      <w:r>
        <w:rPr/>
        <w:t>资产的初始取得成本扣除已收回本金和已摊销金额、当前公允价值和原已计入损益</w:t>
      </w:r>
      <w:r>
        <w:rPr>
          <w:spacing w:val="-77"/>
        </w:rPr>
        <w:t> </w:t>
      </w:r>
      <w:r>
        <w:rPr>
          <w:spacing w:val="-77"/>
        </w:rPr>
      </w:r>
      <w:r>
        <w:rPr/>
        <w:t>的减值损失后的余额。</w:t>
      </w:r>
    </w:p>
    <w:p>
      <w:pPr>
        <w:spacing w:line="240" w:lineRule="auto" w:before="7"/>
        <w:rPr>
          <w:rFonts w:ascii="宋体" w:hAnsi="宋体" w:cs="宋体" w:eastAsia="宋体" w:hint="default"/>
          <w:sz w:val="16"/>
          <w:szCs w:val="16"/>
        </w:rPr>
      </w:pPr>
    </w:p>
    <w:p>
      <w:pPr>
        <w:pStyle w:val="BodyText"/>
        <w:spacing w:line="312" w:lineRule="exact"/>
        <w:ind w:right="237"/>
        <w:jc w:val="both"/>
      </w:pPr>
      <w:r>
        <w:rPr/>
        <w:t>对于已确认减值损失的可供出售债务工具，在随后的会计期间公允价值已上升且客</w:t>
      </w:r>
      <w:r>
        <w:rPr>
          <w:spacing w:val="-77"/>
        </w:rPr>
        <w:t> </w:t>
      </w:r>
      <w:r>
        <w:rPr>
          <w:spacing w:val="-77"/>
        </w:rPr>
      </w:r>
      <w:r>
        <w:rPr/>
        <w:t>观上与确认原减值损失确认后发生的事项有关的，原确认的减值损失予以转回，计</w:t>
      </w:r>
      <w:r>
        <w:rPr>
          <w:spacing w:val="-77"/>
        </w:rPr>
        <w:t> </w:t>
      </w:r>
      <w:r>
        <w:rPr>
          <w:spacing w:val="-77"/>
        </w:rPr>
      </w:r>
      <w:r>
        <w:rPr/>
        <w:t>入当期损益。可供出售权益工具投资发生的减值损失，不通过损益转回。</w:t>
      </w:r>
    </w:p>
    <w:p>
      <w:pPr>
        <w:pStyle w:val="BodyText"/>
        <w:spacing w:line="312" w:lineRule="exact" w:before="216"/>
        <w:ind w:right="114"/>
        <w:jc w:val="both"/>
      </w:pPr>
      <w:r>
        <w:rPr/>
        <w:t>如果可供出售金融资产的发行人或债务人发生严重财务困难，很可能倒闭或进行财</w:t>
      </w:r>
      <w:r>
        <w:rPr>
          <w:spacing w:val="-76"/>
        </w:rPr>
        <w:t> </w:t>
      </w:r>
      <w:r>
        <w:rPr>
          <w:spacing w:val="-76"/>
        </w:rPr>
      </w:r>
      <w:r>
        <w:rPr/>
        <w:t>务重组等导致公允价值持续下降，预期这种下降趋势属于非暂时性的，可以认定该</w:t>
      </w:r>
      <w:r>
        <w:rPr>
          <w:spacing w:val="-77"/>
        </w:rPr>
        <w:t> </w:t>
      </w:r>
      <w:r>
        <w:rPr>
          <w:spacing w:val="-77"/>
        </w:rPr>
      </w:r>
      <w:r>
        <w:rPr/>
        <w:t>可供出售金融资产已发生减值，应计提减值准备，确认减值损失。</w:t>
      </w:r>
    </w:p>
    <w:p>
      <w:pPr>
        <w:spacing w:line="240" w:lineRule="auto" w:before="7"/>
        <w:rPr>
          <w:rFonts w:ascii="宋体" w:hAnsi="宋体" w:cs="宋体" w:eastAsia="宋体" w:hint="default"/>
          <w:sz w:val="16"/>
          <w:szCs w:val="16"/>
        </w:rPr>
      </w:pPr>
    </w:p>
    <w:p>
      <w:pPr>
        <w:pStyle w:val="BodyText"/>
        <w:spacing w:line="312" w:lineRule="exact"/>
        <w:ind w:right="93"/>
        <w:jc w:val="left"/>
      </w:pPr>
      <w:r>
        <w:rPr/>
        <w:t>如果单项可供出售金融资产的公允价值出现较大幅度下降，超过其持有成本的</w:t>
      </w:r>
      <w:r>
        <w:rPr>
          <w:rFonts w:ascii="Calibri" w:hAnsi="Calibri" w:cs="Calibri" w:eastAsia="Calibri" w:hint="default"/>
        </w:rPr>
        <w:t>50%</w:t>
      </w:r>
      <w:r>
        <w:rPr/>
        <w:t>， 预期这种下降趋势属于非暂时性的，且在整个持有期间得不到根本改变时，也可以</w:t>
      </w:r>
      <w:r>
        <w:rPr>
          <w:spacing w:val="-77"/>
        </w:rPr>
        <w:t> </w:t>
      </w:r>
      <w:r>
        <w:rPr>
          <w:spacing w:val="-77"/>
        </w:rPr>
      </w:r>
      <w:r>
        <w:rPr/>
        <w:t>认定该可供出售金融资产已发生减值，应计提减值准备，确认减值损失。</w:t>
      </w:r>
    </w:p>
    <w:p>
      <w:pPr>
        <w:pStyle w:val="BodyText"/>
        <w:spacing w:line="240" w:lineRule="auto" w:before="185"/>
        <w:ind w:right="0"/>
        <w:jc w:val="both"/>
      </w:pPr>
      <w:r>
        <w:rPr/>
        <w:t>以成本计量的金融资产</w:t>
      </w:r>
    </w:p>
    <w:p>
      <w:pPr>
        <w:spacing w:line="240" w:lineRule="auto" w:before="9"/>
        <w:rPr>
          <w:rFonts w:ascii="宋体" w:hAnsi="宋体" w:cs="宋体" w:eastAsia="宋体" w:hint="default"/>
          <w:sz w:val="18"/>
          <w:szCs w:val="18"/>
        </w:rPr>
      </w:pPr>
    </w:p>
    <w:p>
      <w:pPr>
        <w:pStyle w:val="BodyText"/>
        <w:spacing w:line="312" w:lineRule="exact"/>
        <w:ind w:right="113"/>
        <w:jc w:val="both"/>
      </w:pPr>
      <w:r>
        <w:rPr/>
        <w:t>在活跃市场中没有报价且其公允价值不能可靠计量的权益工具投资，或与该权益工</w:t>
      </w:r>
      <w:r>
        <w:rPr>
          <w:spacing w:val="-77"/>
        </w:rPr>
        <w:t> </w:t>
      </w:r>
      <w:r>
        <w:rPr>
          <w:spacing w:val="-77"/>
        </w:rPr>
      </w:r>
      <w:r>
        <w:rPr/>
        <w:t>具挂钩并须通过交付该权益工具结算的衍生金融资产发生减值时，将该金融资产的</w:t>
      </w:r>
      <w:r>
        <w:rPr>
          <w:spacing w:val="-76"/>
        </w:rPr>
        <w:t> </w:t>
      </w:r>
      <w:r>
        <w:rPr>
          <w:spacing w:val="-76"/>
        </w:rPr>
      </w:r>
      <w:r>
        <w:rPr/>
        <w:t>账面价值，与按照类似金融资产当时市场收益率对未来现金流量折现确定的现值之</w:t>
      </w:r>
      <w:r>
        <w:rPr>
          <w:spacing w:val="-77"/>
        </w:rPr>
        <w:t> </w:t>
      </w:r>
      <w:r>
        <w:rPr>
          <w:spacing w:val="-77"/>
        </w:rPr>
      </w:r>
      <w:r>
        <w:rPr>
          <w:spacing w:val="-2"/>
        </w:rPr>
        <w:t>间的差额，确认为减值损失，计入当期损益。发生的减值损失一经确认，不得转回。</w:t>
      </w:r>
    </w:p>
    <w:p>
      <w:pPr>
        <w:spacing w:line="240" w:lineRule="auto" w:before="10"/>
        <w:rPr>
          <w:rFonts w:ascii="宋体" w:hAnsi="宋体" w:cs="宋体" w:eastAsia="宋体" w:hint="default"/>
          <w:sz w:val="22"/>
          <w:szCs w:val="22"/>
        </w:rPr>
      </w:pPr>
    </w:p>
    <w:p>
      <w:pPr>
        <w:spacing w:line="259" w:lineRule="auto" w:before="0"/>
        <w:ind w:left="558" w:right="234" w:firstLine="0"/>
        <w:jc w:val="both"/>
        <w:rPr>
          <w:rFonts w:ascii="宋体" w:hAnsi="宋体" w:cs="宋体" w:eastAsia="宋体" w:hint="default"/>
          <w:sz w:val="21"/>
          <w:szCs w:val="21"/>
        </w:rPr>
      </w:pPr>
      <w:r>
        <w:rPr>
          <w:rFonts w:ascii="宋体" w:hAnsi="宋体" w:cs="宋体" w:eastAsia="宋体" w:hint="default"/>
          <w:b/>
          <w:bCs/>
          <w:spacing w:val="-2"/>
          <w:sz w:val="21"/>
          <w:szCs w:val="21"/>
        </w:rPr>
        <w:t>（</w:t>
      </w:r>
      <w:r>
        <w:rPr>
          <w:rFonts w:ascii="Times New Roman" w:hAnsi="Times New Roman" w:cs="Times New Roman" w:eastAsia="Times New Roman" w:hint="default"/>
          <w:b/>
          <w:bCs/>
          <w:spacing w:val="-2"/>
          <w:sz w:val="21"/>
          <w:szCs w:val="21"/>
        </w:rPr>
        <w:t>7</w:t>
      </w:r>
      <w:r>
        <w:rPr>
          <w:rFonts w:ascii="宋体" w:hAnsi="宋体" w:cs="宋体" w:eastAsia="宋体" w:hint="default"/>
          <w:b/>
          <w:bCs/>
          <w:spacing w:val="-2"/>
          <w:sz w:val="21"/>
          <w:szCs w:val="21"/>
        </w:rPr>
        <w:t>）将尚未到期的持有至到期投资重分类为可供出售金融资产的，说明持有意图或能力发生改</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1"/>
          <w:szCs w:val="21"/>
        </w:rPr>
        <w:t>变的依据</w:t>
      </w:r>
      <w:r>
        <w:rPr>
          <w:rFonts w:ascii="宋体" w:hAnsi="宋体" w:cs="宋体" w:eastAsia="宋体" w:hint="default"/>
          <w:sz w:val="21"/>
          <w:szCs w:val="21"/>
        </w:rPr>
      </w:r>
    </w:p>
    <w:p>
      <w:pPr>
        <w:spacing w:line="240" w:lineRule="auto" w:before="9"/>
        <w:rPr>
          <w:rFonts w:ascii="宋体" w:hAnsi="宋体" w:cs="宋体" w:eastAsia="宋体" w:hint="default"/>
          <w:b/>
          <w:bCs/>
          <w:sz w:val="24"/>
          <w:szCs w:val="24"/>
        </w:rPr>
      </w:pPr>
    </w:p>
    <w:p>
      <w:pPr>
        <w:pStyle w:val="BodyText"/>
        <w:spacing w:line="312" w:lineRule="exact"/>
        <w:ind w:right="238"/>
        <w:jc w:val="both"/>
      </w:pPr>
      <w:r>
        <w:rPr/>
        <w:t>金融资产转移，是指将金融资产让与或交付给该金融资产发行方以外的另一方（转</w:t>
      </w:r>
      <w:r>
        <w:rPr>
          <w:spacing w:val="-77"/>
        </w:rPr>
        <w:t> </w:t>
      </w:r>
      <w:r>
        <w:rPr>
          <w:spacing w:val="-77"/>
        </w:rPr>
      </w:r>
      <w:r>
        <w:rPr/>
        <w:t>入方）。</w:t>
      </w:r>
    </w:p>
    <w:p>
      <w:pPr>
        <w:spacing w:line="240" w:lineRule="auto" w:before="7"/>
        <w:rPr>
          <w:rFonts w:ascii="宋体" w:hAnsi="宋体" w:cs="宋体" w:eastAsia="宋体" w:hint="default"/>
          <w:sz w:val="16"/>
          <w:szCs w:val="16"/>
        </w:rPr>
      </w:pPr>
    </w:p>
    <w:p>
      <w:pPr>
        <w:pStyle w:val="BodyText"/>
        <w:spacing w:line="312" w:lineRule="exact"/>
        <w:ind w:right="232"/>
        <w:jc w:val="both"/>
      </w:pPr>
      <w:r>
        <w:rPr/>
        <w:t>本公司已将金融资产所有权上几乎所有的风险和报酬转移给转入方的，终止确认该</w:t>
      </w:r>
      <w:r>
        <w:rPr>
          <w:spacing w:val="-77"/>
        </w:rPr>
        <w:t> </w:t>
      </w:r>
      <w:r>
        <w:rPr>
          <w:spacing w:val="-77"/>
        </w:rPr>
      </w:r>
      <w:r>
        <w:rPr/>
        <w:t>金融资产；保留了金融资产所有权上几乎所有的风险和报酬的，不终止确认该金融</w:t>
      </w:r>
      <w:r>
        <w:rPr>
          <w:spacing w:val="-72"/>
        </w:rPr>
        <w:t> </w:t>
      </w:r>
      <w:r>
        <w:rPr>
          <w:spacing w:val="-72"/>
        </w:rPr>
      </w:r>
      <w:r>
        <w:rPr/>
        <w:t>资产。</w:t>
      </w:r>
    </w:p>
    <w:p>
      <w:pPr>
        <w:pStyle w:val="BodyText"/>
        <w:spacing w:line="237" w:lineRule="auto" w:before="188"/>
        <w:ind w:right="238"/>
        <w:jc w:val="both"/>
      </w:pPr>
      <w:r>
        <w:rPr/>
        <w:t>本公司既没有转移也没有保留金融资产所有权上几乎所有的风险和报酬的，分别下</w:t>
      </w:r>
      <w:r>
        <w:rPr>
          <w:spacing w:val="-77"/>
        </w:rPr>
        <w:t> </w:t>
      </w:r>
      <w:r>
        <w:rPr>
          <w:spacing w:val="-77"/>
        </w:rPr>
      </w:r>
      <w:r>
        <w:rPr/>
        <w:t>列情况处理：放弃了对该金融资产控制的，终止确认该金融资产并确认产生的资产</w:t>
      </w:r>
      <w:r>
        <w:rPr>
          <w:spacing w:val="-77"/>
        </w:rPr>
        <w:t> </w:t>
      </w:r>
      <w:r>
        <w:rPr>
          <w:spacing w:val="-77"/>
        </w:rPr>
      </w:r>
      <w:r>
        <w:rPr/>
        <w:t>和负债；未放弃对该金融资产控制的，按照其继续涉入所转移金融资产的程度确认</w:t>
      </w:r>
      <w:r>
        <w:rPr>
          <w:spacing w:val="-77"/>
        </w:rPr>
        <w:t> </w:t>
      </w:r>
      <w:r>
        <w:rPr>
          <w:spacing w:val="-77"/>
        </w:rPr>
      </w:r>
      <w:r>
        <w:rPr/>
        <w:t>有关金融资产，并相应确认有关负债。</w:t>
      </w:r>
    </w:p>
    <w:p>
      <w:pPr>
        <w:spacing w:line="240" w:lineRule="auto" w:before="12"/>
        <w:rPr>
          <w:rFonts w:ascii="宋体" w:hAnsi="宋体" w:cs="宋体" w:eastAsia="宋体" w:hint="default"/>
          <w:sz w:val="24"/>
          <w:szCs w:val="24"/>
        </w:rPr>
      </w:pPr>
    </w:p>
    <w:p>
      <w:pPr>
        <w:spacing w:before="0"/>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、应收款项坏账准备的确认标准和计提方法</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right="0"/>
        <w:jc w:val="both"/>
      </w:pPr>
      <w:r>
        <w:rPr/>
        <w:t>应收款项包括应收账款、其他应收款、长期应收款</w:t>
      </w:r>
    </w:p>
    <w:p>
      <w:pPr>
        <w:spacing w:line="240" w:lineRule="auto" w:before="12"/>
        <w:rPr>
          <w:rFonts w:ascii="宋体" w:hAnsi="宋体" w:cs="宋体" w:eastAsia="宋体" w:hint="default"/>
          <w:sz w:val="24"/>
          <w:szCs w:val="24"/>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）单项金额重大的应收款项坏账准备</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524" w:type="dxa"/>
        <w:tblLayout w:type="fixed"/>
        <w:tblCellMar>
          <w:top w:w="0" w:type="dxa"/>
          <w:left w:w="0" w:type="dxa"/>
          <w:bottom w:w="0" w:type="dxa"/>
          <w:right w:w="0" w:type="dxa"/>
        </w:tblCellMar>
        <w:tblLook w:val="01E0"/>
      </w:tblPr>
      <w:tblGrid>
        <w:gridCol w:w="4623"/>
        <w:gridCol w:w="4126"/>
      </w:tblGrid>
      <w:tr>
        <w:trPr>
          <w:trHeight w:val="946"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3" w:right="89"/>
              <w:jc w:val="both"/>
              <w:rPr>
                <w:rFonts w:ascii="宋体" w:hAnsi="宋体" w:cs="宋体" w:eastAsia="宋体" w:hint="default"/>
                <w:sz w:val="21"/>
                <w:szCs w:val="21"/>
              </w:rPr>
            </w:pPr>
            <w:r>
              <w:rPr>
                <w:rFonts w:ascii="宋体" w:hAnsi="宋体" w:cs="宋体" w:eastAsia="宋体" w:hint="default"/>
                <w:spacing w:val="-2"/>
                <w:sz w:val="21"/>
                <w:szCs w:val="21"/>
              </w:rPr>
              <w:t>单项金额重大的判断依据或金额标准：期末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余额达到</w:t>
            </w:r>
            <w:r>
              <w:rPr>
                <w:rFonts w:ascii="宋体" w:hAnsi="宋体" w:cs="宋体" w:eastAsia="宋体" w:hint="default"/>
                <w:spacing w:val="-56"/>
                <w:sz w:val="21"/>
                <w:szCs w:val="21"/>
              </w:rPr>
              <w:t> </w:t>
            </w:r>
            <w:r>
              <w:rPr>
                <w:rFonts w:ascii="Calibri" w:hAnsi="Calibri" w:cs="Calibri" w:eastAsia="Calibri" w:hint="default"/>
                <w:sz w:val="21"/>
                <w:szCs w:val="21"/>
              </w:rPr>
              <w:t>500</w:t>
            </w:r>
            <w:r>
              <w:rPr>
                <w:rFonts w:ascii="Calibri" w:hAnsi="Calibri" w:cs="Calibri" w:eastAsia="Calibri" w:hint="default"/>
                <w:spacing w:val="3"/>
                <w:sz w:val="21"/>
                <w:szCs w:val="21"/>
              </w:rPr>
              <w:t> </w:t>
            </w:r>
            <w:r>
              <w:rPr>
                <w:rFonts w:ascii="宋体" w:hAnsi="宋体" w:cs="宋体" w:eastAsia="宋体" w:hint="default"/>
                <w:sz w:val="21"/>
                <w:szCs w:val="21"/>
              </w:rPr>
              <w:t>万元（含</w:t>
            </w:r>
            <w:r>
              <w:rPr>
                <w:rFonts w:ascii="宋体" w:hAnsi="宋体" w:cs="宋体" w:eastAsia="宋体" w:hint="default"/>
                <w:spacing w:val="-56"/>
                <w:sz w:val="21"/>
                <w:szCs w:val="21"/>
              </w:rPr>
              <w:t> </w:t>
            </w:r>
            <w:r>
              <w:rPr>
                <w:rFonts w:ascii="Calibri" w:hAnsi="Calibri" w:cs="Calibri" w:eastAsia="Calibri" w:hint="default"/>
                <w:sz w:val="21"/>
                <w:szCs w:val="21"/>
              </w:rPr>
              <w:t>500</w:t>
            </w:r>
            <w:r>
              <w:rPr>
                <w:rFonts w:ascii="Calibri" w:hAnsi="Calibri" w:cs="Calibri" w:eastAsia="Calibri" w:hint="default"/>
                <w:spacing w:val="5"/>
                <w:sz w:val="21"/>
                <w:szCs w:val="21"/>
              </w:rPr>
              <w:t> </w:t>
            </w:r>
            <w:r>
              <w:rPr>
                <w:rFonts w:ascii="宋体" w:hAnsi="宋体" w:cs="宋体" w:eastAsia="宋体" w:hint="default"/>
                <w:sz w:val="21"/>
                <w:szCs w:val="21"/>
              </w:rPr>
              <w:t>万元）以上的应</w:t>
            </w:r>
            <w:r>
              <w:rPr>
                <w:rFonts w:ascii="宋体" w:hAnsi="宋体" w:cs="宋体" w:eastAsia="宋体" w:hint="default"/>
                <w:w w:val="100"/>
                <w:sz w:val="21"/>
                <w:szCs w:val="21"/>
              </w:rPr>
              <w:t> </w:t>
            </w:r>
            <w:r>
              <w:rPr>
                <w:rFonts w:ascii="宋体" w:hAnsi="宋体" w:cs="宋体" w:eastAsia="宋体" w:hint="default"/>
                <w:sz w:val="21"/>
                <w:szCs w:val="21"/>
              </w:rPr>
              <w:t>收款项为单项金额重大的应收款项。</w:t>
            </w:r>
          </w:p>
        </w:tc>
      </w:tr>
    </w:tbl>
    <w:p>
      <w:pPr>
        <w:spacing w:after="0" w:line="261" w:lineRule="auto"/>
        <w:jc w:val="both"/>
        <w:rPr>
          <w:rFonts w:ascii="宋体" w:hAnsi="宋体" w:cs="宋体" w:eastAsia="宋体" w:hint="default"/>
          <w:sz w:val="21"/>
          <w:szCs w:val="21"/>
        </w:rPr>
        <w:sectPr>
          <w:pgSz w:w="11910" w:h="16840"/>
          <w:pgMar w:header="884" w:footer="1007" w:top="1160" w:bottom="1200" w:left="1240" w:right="1180"/>
        </w:sectPr>
      </w:pPr>
    </w:p>
    <w:p>
      <w:pPr>
        <w:spacing w:line="240" w:lineRule="auto" w:before="13"/>
        <w:rPr>
          <w:rFonts w:ascii="宋体" w:hAnsi="宋体" w:cs="宋体" w:eastAsia="宋体" w:hint="default"/>
          <w:b/>
          <w:bCs/>
          <w:sz w:val="19"/>
          <w:szCs w:val="19"/>
        </w:rPr>
      </w:pPr>
    </w:p>
    <w:tbl>
      <w:tblPr>
        <w:tblW w:w="0" w:type="auto"/>
        <w:jc w:val="left"/>
        <w:tblInd w:w="524" w:type="dxa"/>
        <w:tblLayout w:type="fixed"/>
        <w:tblCellMar>
          <w:top w:w="0" w:type="dxa"/>
          <w:left w:w="0" w:type="dxa"/>
          <w:bottom w:w="0" w:type="dxa"/>
          <w:right w:w="0" w:type="dxa"/>
        </w:tblCellMar>
        <w:tblLook w:val="01E0"/>
      </w:tblPr>
      <w:tblGrid>
        <w:gridCol w:w="4623"/>
        <w:gridCol w:w="4126"/>
      </w:tblGrid>
      <w:tr>
        <w:trPr>
          <w:trHeight w:val="1570" w:hRule="exact"/>
        </w:trPr>
        <w:tc>
          <w:tcPr>
            <w:tcW w:w="4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12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96"/>
              <w:jc w:val="both"/>
              <w:rPr>
                <w:rFonts w:ascii="宋体" w:hAnsi="宋体" w:cs="宋体" w:eastAsia="宋体" w:hint="default"/>
                <w:sz w:val="21"/>
                <w:szCs w:val="21"/>
              </w:rPr>
            </w:pPr>
            <w:r>
              <w:rPr>
                <w:rFonts w:ascii="宋体" w:hAnsi="宋体" w:cs="宋体" w:eastAsia="宋体" w:hint="default"/>
                <w:spacing w:val="-2"/>
                <w:sz w:val="21"/>
                <w:szCs w:val="21"/>
              </w:rPr>
              <w:t>单项金额重大并单项计提坏账准备的计提方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法：对于单项金额重大的应收款项单独进行</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减值测试，有客观证据表明发生了减值，根</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据其未来现金流量现值低于其账面价值的差</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额计提坏账准备。</w:t>
            </w:r>
          </w:p>
        </w:tc>
      </w:tr>
    </w:tbl>
    <w:p>
      <w:pPr>
        <w:spacing w:line="240" w:lineRule="auto" w:before="3"/>
        <w:rPr>
          <w:rFonts w:ascii="宋体" w:hAnsi="宋体" w:cs="宋体" w:eastAsia="宋体" w:hint="default"/>
          <w:b/>
          <w:bCs/>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）按组合计提坏账准备的应收款项</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524" w:type="dxa"/>
        <w:tblLayout w:type="fixed"/>
        <w:tblCellMar>
          <w:top w:w="0" w:type="dxa"/>
          <w:left w:w="0" w:type="dxa"/>
          <w:bottom w:w="0" w:type="dxa"/>
          <w:right w:w="0" w:type="dxa"/>
        </w:tblCellMar>
        <w:tblLook w:val="01E0"/>
      </w:tblPr>
      <w:tblGrid>
        <w:gridCol w:w="2379"/>
        <w:gridCol w:w="1997"/>
        <w:gridCol w:w="4374"/>
      </w:tblGrid>
      <w:tr>
        <w:trPr>
          <w:trHeight w:val="634"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763"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65" w:right="45" w:hanging="420"/>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w w:val="100"/>
                <w:sz w:val="21"/>
                <w:szCs w:val="21"/>
              </w:rPr>
              <w:t> </w:t>
            </w:r>
            <w:r>
              <w:rPr>
                <w:rFonts w:ascii="宋体" w:hAnsi="宋体" w:cs="宋体" w:eastAsia="宋体" w:hint="default"/>
                <w:sz w:val="21"/>
                <w:szCs w:val="21"/>
              </w:rPr>
              <w:t>的计提方法</w:t>
            </w:r>
          </w:p>
        </w:tc>
        <w:tc>
          <w:tcPr>
            <w:tcW w:w="4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1445"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r>
      <w:tr>
        <w:trPr>
          <w:trHeight w:val="322"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账龄分析法</w:t>
            </w:r>
          </w:p>
        </w:tc>
        <w:tc>
          <w:tcPr>
            <w:tcW w:w="43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账龄状态</w:t>
            </w:r>
          </w:p>
        </w:tc>
      </w:tr>
    </w:tbl>
    <w:p>
      <w:pPr>
        <w:spacing w:line="263"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注：按具体组合的名称，分别填写确定组合的依据和采用的坏账准备计提方法。</w:t>
      </w:r>
    </w:p>
    <w:p>
      <w:pPr>
        <w:pStyle w:val="BodyText"/>
        <w:spacing w:line="313" w:lineRule="exact" w:before="9"/>
        <w:ind w:right="0"/>
        <w:jc w:val="left"/>
      </w:pPr>
      <w:r>
        <w:rPr/>
        <w:t>组合中，采用账龄分析法计提坏账准备的</w:t>
      </w:r>
    </w:p>
    <w:p>
      <w:pPr>
        <w:pStyle w:val="BodyText"/>
        <w:spacing w:line="313" w:lineRule="exact"/>
        <w:ind w:right="0"/>
        <w:jc w:val="left"/>
      </w:pPr>
      <w:r>
        <w:rPr/>
        <w:t>√ 适用 □</w:t>
      </w:r>
      <w:r>
        <w:rPr>
          <w:spacing w:val="-1"/>
        </w:rPr>
        <w:t> </w:t>
      </w:r>
      <w:r>
        <w:rPr/>
        <w:t>不适用</w:t>
      </w:r>
    </w:p>
    <w:p>
      <w:pPr>
        <w:spacing w:line="240" w:lineRule="auto" w:before="12"/>
        <w:rPr>
          <w:rFonts w:ascii="宋体" w:hAnsi="宋体" w:cs="宋体" w:eastAsia="宋体" w:hint="default"/>
          <w:sz w:val="2"/>
          <w:szCs w:val="2"/>
        </w:rPr>
      </w:pPr>
    </w:p>
    <w:tbl>
      <w:tblPr>
        <w:tblW w:w="0" w:type="auto"/>
        <w:jc w:val="left"/>
        <w:tblInd w:w="536" w:type="dxa"/>
        <w:tblLayout w:type="fixed"/>
        <w:tblCellMar>
          <w:top w:w="0" w:type="dxa"/>
          <w:left w:w="0" w:type="dxa"/>
          <w:bottom w:w="0" w:type="dxa"/>
          <w:right w:w="0" w:type="dxa"/>
        </w:tblCellMar>
        <w:tblLook w:val="01E0"/>
      </w:tblPr>
      <w:tblGrid>
        <w:gridCol w:w="2352"/>
        <w:gridCol w:w="2734"/>
        <w:gridCol w:w="3651"/>
      </w:tblGrid>
      <w:tr>
        <w:trPr>
          <w:trHeight w:val="324"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381" w:right="0"/>
              <w:jc w:val="left"/>
              <w:rPr>
                <w:rFonts w:ascii="Calibri" w:hAnsi="Calibri" w:cs="Calibri" w:eastAsia="Calibri" w:hint="default"/>
                <w:sz w:val="21"/>
                <w:szCs w:val="21"/>
              </w:rPr>
            </w:pPr>
            <w:r>
              <w:rPr>
                <w:rFonts w:ascii="宋体" w:hAnsi="宋体" w:cs="宋体" w:eastAsia="宋体" w:hint="default"/>
                <w:b/>
                <w:bCs/>
                <w:sz w:val="21"/>
                <w:szCs w:val="21"/>
              </w:rPr>
              <w:t>应收账款计提比例</w:t>
            </w:r>
            <w:r>
              <w:rPr>
                <w:rFonts w:ascii="Calibri" w:hAnsi="Calibri" w:cs="Calibri" w:eastAsia="Calibri" w:hint="default"/>
                <w:b/>
                <w:bCs/>
                <w:sz w:val="21"/>
                <w:szCs w:val="21"/>
              </w:rPr>
              <w:t>(%)</w:t>
            </w:r>
            <w:r>
              <w:rPr>
                <w:rFonts w:ascii="Calibri" w:hAnsi="Calibri" w:cs="Calibri" w:eastAsia="Calibri" w:hint="default"/>
                <w:sz w:val="21"/>
                <w:szCs w:val="21"/>
              </w:rPr>
            </w:r>
          </w:p>
        </w:tc>
        <w:tc>
          <w:tcPr>
            <w:tcW w:w="3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727" w:right="0"/>
              <w:jc w:val="left"/>
              <w:rPr>
                <w:rFonts w:ascii="Calibri" w:hAnsi="Calibri" w:cs="Calibri" w:eastAsia="Calibri" w:hint="default"/>
                <w:sz w:val="21"/>
                <w:szCs w:val="21"/>
              </w:rPr>
            </w:pPr>
            <w:r>
              <w:rPr>
                <w:rFonts w:ascii="宋体" w:hAnsi="宋体" w:cs="宋体" w:eastAsia="宋体" w:hint="default"/>
                <w:b/>
                <w:bCs/>
                <w:sz w:val="21"/>
                <w:szCs w:val="21"/>
              </w:rPr>
              <w:t>其他应收款计提比例</w:t>
            </w:r>
            <w:r>
              <w:rPr>
                <w:rFonts w:ascii="Calibri" w:hAnsi="Calibri" w:cs="Calibri" w:eastAsia="Calibri" w:hint="default"/>
                <w:b/>
                <w:bCs/>
                <w:sz w:val="21"/>
                <w:szCs w:val="21"/>
              </w:rPr>
              <w:t>(%)</w:t>
            </w:r>
            <w:r>
              <w:rPr>
                <w:rFonts w:ascii="Calibri" w:hAnsi="Calibri" w:cs="Calibri" w:eastAsia="Calibri" w:hint="default"/>
                <w:sz w:val="21"/>
                <w:szCs w:val="21"/>
              </w:rPr>
            </w:r>
          </w:p>
        </w:tc>
      </w:tr>
      <w:tr>
        <w:trPr>
          <w:trHeight w:val="322"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z w:val="21"/>
              </w:rPr>
              <w:t>5%</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z w:val="21"/>
              </w:rPr>
              <w:t>5%</w:t>
            </w:r>
          </w:p>
        </w:tc>
      </w:tr>
      <w:tr>
        <w:trPr>
          <w:trHeight w:val="322"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w:t>
            </w:r>
            <w:r>
              <w:rPr>
                <w:rFonts w:ascii="Calibri" w:hAnsi="Calibri" w:cs="Calibri" w:eastAsia="Calibri" w:hint="default"/>
                <w:sz w:val="21"/>
                <w:szCs w:val="21"/>
              </w:rPr>
              <w:t>2</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20%</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20%</w:t>
            </w:r>
          </w:p>
        </w:tc>
      </w:tr>
      <w:tr>
        <w:trPr>
          <w:trHeight w:val="322"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w:t>
            </w:r>
            <w:r>
              <w:rPr>
                <w:rFonts w:ascii="Calibri" w:hAnsi="Calibri" w:cs="Calibri" w:eastAsia="Calibri" w:hint="default"/>
                <w:sz w:val="21"/>
                <w:szCs w:val="21"/>
              </w:rPr>
              <w:t>3</w:t>
            </w:r>
            <w:r>
              <w:rPr>
                <w:rFonts w:ascii="Calibri" w:hAnsi="Calibri" w:cs="Calibri" w:eastAsia="Calibri" w:hint="default"/>
                <w:spacing w:val="6"/>
                <w:sz w:val="21"/>
                <w:szCs w:val="21"/>
              </w:rPr>
              <w:t> </w:t>
            </w:r>
            <w:r>
              <w:rPr>
                <w:rFonts w:ascii="宋体" w:hAnsi="宋体" w:cs="宋体" w:eastAsia="宋体" w:hint="default"/>
                <w:sz w:val="21"/>
                <w:szCs w:val="21"/>
              </w:rPr>
              <w:t>年</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50%</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50%</w:t>
            </w:r>
          </w:p>
        </w:tc>
      </w:tr>
      <w:tr>
        <w:trPr>
          <w:trHeight w:val="322" w:hRule="exact"/>
        </w:trPr>
        <w:tc>
          <w:tcPr>
            <w:tcW w:w="2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7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100%</w:t>
            </w:r>
          </w:p>
        </w:tc>
        <w:tc>
          <w:tcPr>
            <w:tcW w:w="3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100%</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组合中，采用余额百分比法计提坏账准备的</w:t>
      </w:r>
    </w:p>
    <w:p>
      <w:pPr>
        <w:spacing w:before="37"/>
        <w:ind w:left="558"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Calibri" w:hAnsi="Calibri" w:cs="Calibri" w:eastAsia="Calibri" w:hint="default"/>
          <w:sz w:val="21"/>
          <w:szCs w:val="21"/>
        </w:rPr>
        <w:t>√</w:t>
      </w:r>
      <w:r>
        <w:rPr>
          <w:rFonts w:ascii="Calibri" w:hAnsi="Calibri" w:cs="Calibri" w:eastAsia="Calibri" w:hint="default"/>
          <w:spacing w:val="45"/>
          <w:sz w:val="21"/>
          <w:szCs w:val="21"/>
        </w:rPr>
        <w:t> </w:t>
      </w:r>
      <w:r>
        <w:rPr>
          <w:rFonts w:ascii="宋体" w:hAnsi="宋体" w:cs="宋体" w:eastAsia="宋体" w:hint="default"/>
          <w:sz w:val="21"/>
          <w:szCs w:val="21"/>
        </w:rPr>
        <w:t>不适用</w:t>
      </w:r>
    </w:p>
    <w:tbl>
      <w:tblPr>
        <w:tblW w:w="0" w:type="auto"/>
        <w:jc w:val="left"/>
        <w:tblInd w:w="524" w:type="dxa"/>
        <w:tblLayout w:type="fixed"/>
        <w:tblCellMar>
          <w:top w:w="0" w:type="dxa"/>
          <w:left w:w="0" w:type="dxa"/>
          <w:bottom w:w="0" w:type="dxa"/>
          <w:right w:w="0" w:type="dxa"/>
        </w:tblCellMar>
        <w:tblLook w:val="01E0"/>
      </w:tblPr>
      <w:tblGrid>
        <w:gridCol w:w="3601"/>
        <w:gridCol w:w="2460"/>
        <w:gridCol w:w="2689"/>
      </w:tblGrid>
      <w:tr>
        <w:trPr>
          <w:trHeight w:val="323" w:hRule="exact"/>
        </w:trPr>
        <w:tc>
          <w:tcPr>
            <w:tcW w:w="3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2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247" w:right="0"/>
              <w:jc w:val="left"/>
              <w:rPr>
                <w:rFonts w:ascii="Calibri" w:hAnsi="Calibri" w:cs="Calibri" w:eastAsia="Calibri" w:hint="default"/>
                <w:sz w:val="21"/>
                <w:szCs w:val="21"/>
              </w:rPr>
            </w:pPr>
            <w:r>
              <w:rPr>
                <w:rFonts w:ascii="宋体" w:hAnsi="宋体" w:cs="宋体" w:eastAsia="宋体" w:hint="default"/>
                <w:sz w:val="21"/>
                <w:szCs w:val="21"/>
              </w:rPr>
              <w:t>应收账款计提比例</w:t>
            </w:r>
            <w:r>
              <w:rPr>
                <w:rFonts w:ascii="Calibri" w:hAnsi="Calibri" w:cs="Calibri" w:eastAsia="Calibri" w:hint="default"/>
                <w:sz w:val="21"/>
                <w:szCs w:val="21"/>
              </w:rPr>
              <w:t>(%)</w:t>
            </w:r>
          </w:p>
        </w:tc>
        <w:tc>
          <w:tcPr>
            <w:tcW w:w="2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1" w:lineRule="exact"/>
              <w:ind w:left="254" w:right="0"/>
              <w:jc w:val="left"/>
              <w:rPr>
                <w:rFonts w:ascii="Calibri" w:hAnsi="Calibri" w:cs="Calibri" w:eastAsia="Calibri" w:hint="default"/>
                <w:sz w:val="21"/>
                <w:szCs w:val="21"/>
              </w:rPr>
            </w:pPr>
            <w:r>
              <w:rPr>
                <w:rFonts w:ascii="宋体" w:hAnsi="宋体" w:cs="宋体" w:eastAsia="宋体" w:hint="default"/>
                <w:sz w:val="21"/>
                <w:szCs w:val="21"/>
              </w:rPr>
              <w:t>其他应收款计提比例</w:t>
            </w:r>
            <w:r>
              <w:rPr>
                <w:rFonts w:ascii="Calibri" w:hAnsi="Calibri" w:cs="Calibri" w:eastAsia="Calibri" w:hint="default"/>
                <w:sz w:val="21"/>
                <w:szCs w:val="21"/>
              </w:rPr>
              <w:t>(%)</w:t>
            </w:r>
          </w:p>
        </w:tc>
      </w:tr>
      <w:tr>
        <w:trPr>
          <w:trHeight w:val="322" w:hRule="exact"/>
        </w:trPr>
        <w:tc>
          <w:tcPr>
            <w:tcW w:w="3601" w:type="dxa"/>
            <w:tcBorders>
              <w:top w:val="single" w:sz="4" w:space="0" w:color="000000"/>
              <w:left w:val="single" w:sz="4" w:space="0" w:color="000000"/>
              <w:bottom w:val="single" w:sz="4" w:space="0" w:color="000000"/>
              <w:right w:val="single" w:sz="4" w:space="0" w:color="000000"/>
            </w:tcBorders>
          </w:tcPr>
          <w:p>
            <w:pPr/>
          </w:p>
        </w:tc>
        <w:tc>
          <w:tcPr>
            <w:tcW w:w="2460" w:type="dxa"/>
            <w:tcBorders>
              <w:top w:val="single" w:sz="4" w:space="0" w:color="000000"/>
              <w:left w:val="single" w:sz="4" w:space="0" w:color="000000"/>
              <w:bottom w:val="single" w:sz="4" w:space="0" w:color="000000"/>
              <w:right w:val="single" w:sz="4" w:space="0" w:color="000000"/>
            </w:tcBorders>
          </w:tcPr>
          <w:p>
            <w:pPr/>
          </w:p>
        </w:tc>
        <w:tc>
          <w:tcPr>
            <w:tcW w:w="2689" w:type="dxa"/>
            <w:tcBorders>
              <w:top w:val="single" w:sz="4" w:space="0" w:color="000000"/>
              <w:left w:val="single" w:sz="4" w:space="0" w:color="000000"/>
              <w:bottom w:val="single" w:sz="4" w:space="0" w:color="000000"/>
              <w:right w:val="single" w:sz="4" w:space="0" w:color="000000"/>
            </w:tcBorders>
          </w:tcPr>
          <w:p>
            <w:pPr/>
          </w:p>
        </w:tc>
      </w:tr>
    </w:tbl>
    <w:p>
      <w:pPr>
        <w:spacing w:line="273" w:lineRule="auto" w:before="11"/>
        <w:ind w:left="558" w:right="3589" w:firstLine="0"/>
        <w:jc w:val="left"/>
        <w:rPr>
          <w:rFonts w:ascii="宋体" w:hAnsi="宋体" w:cs="宋体" w:eastAsia="宋体" w:hint="default"/>
          <w:sz w:val="21"/>
          <w:szCs w:val="21"/>
        </w:rPr>
      </w:pPr>
      <w:r>
        <w:rPr>
          <w:rFonts w:ascii="宋体" w:hAnsi="宋体" w:cs="宋体" w:eastAsia="宋体" w:hint="default"/>
          <w:sz w:val="21"/>
          <w:szCs w:val="21"/>
        </w:rPr>
        <w:t>注：填写具体组合名称。</w:t>
      </w:r>
      <w:r>
        <w:rPr>
          <w:rFonts w:ascii="宋体" w:hAnsi="宋体" w:cs="宋体" w:eastAsia="宋体" w:hint="default"/>
          <w:w w:val="100"/>
          <w:sz w:val="21"/>
          <w:szCs w:val="21"/>
        </w:rPr>
        <w:t> </w:t>
      </w:r>
      <w:r>
        <w:rPr>
          <w:rFonts w:ascii="宋体" w:hAnsi="宋体" w:cs="宋体" w:eastAsia="宋体" w:hint="default"/>
          <w:spacing w:val="-2"/>
          <w:sz w:val="21"/>
          <w:szCs w:val="21"/>
        </w:rPr>
        <w:t>组合中，采用其他方法计提坏账准备的</w:t>
      </w:r>
    </w:p>
    <w:p>
      <w:pPr>
        <w:spacing w:before="7"/>
        <w:ind w:left="558"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Calibri" w:hAnsi="Calibri" w:cs="Calibri" w:eastAsia="Calibri" w:hint="default"/>
          <w:sz w:val="21"/>
          <w:szCs w:val="21"/>
        </w:rPr>
        <w:t>√</w:t>
      </w:r>
      <w:r>
        <w:rPr>
          <w:rFonts w:ascii="Calibri" w:hAnsi="Calibri" w:cs="Calibri" w:eastAsia="Calibri" w:hint="default"/>
          <w:spacing w:val="45"/>
          <w:sz w:val="21"/>
          <w:szCs w:val="21"/>
        </w:rPr>
        <w:t> </w:t>
      </w:r>
      <w:r>
        <w:rPr>
          <w:rFonts w:ascii="宋体" w:hAnsi="宋体" w:cs="宋体" w:eastAsia="宋体" w:hint="default"/>
          <w:sz w:val="21"/>
          <w:szCs w:val="21"/>
        </w:rPr>
        <w:t>不适用</w:t>
      </w:r>
    </w:p>
    <w:tbl>
      <w:tblPr>
        <w:tblW w:w="0" w:type="auto"/>
        <w:jc w:val="left"/>
        <w:tblInd w:w="524" w:type="dxa"/>
        <w:tblLayout w:type="fixed"/>
        <w:tblCellMar>
          <w:top w:w="0" w:type="dxa"/>
          <w:left w:w="0" w:type="dxa"/>
          <w:bottom w:w="0" w:type="dxa"/>
          <w:right w:w="0" w:type="dxa"/>
        </w:tblCellMar>
        <w:tblLook w:val="01E0"/>
      </w:tblPr>
      <w:tblGrid>
        <w:gridCol w:w="3593"/>
        <w:gridCol w:w="5156"/>
      </w:tblGrid>
      <w:tr>
        <w:trPr>
          <w:trHeight w:val="322" w:hRule="exact"/>
        </w:trPr>
        <w:tc>
          <w:tcPr>
            <w:tcW w:w="3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组合名称</w:t>
            </w:r>
          </w:p>
        </w:tc>
        <w:tc>
          <w:tcPr>
            <w:tcW w:w="5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方法说明</w:t>
            </w:r>
          </w:p>
        </w:tc>
      </w:tr>
      <w:tr>
        <w:trPr>
          <w:trHeight w:val="322" w:hRule="exact"/>
        </w:trPr>
        <w:tc>
          <w:tcPr>
            <w:tcW w:w="3593" w:type="dxa"/>
            <w:tcBorders>
              <w:top w:val="single" w:sz="4" w:space="0" w:color="000000"/>
              <w:left w:val="single" w:sz="4" w:space="0" w:color="000000"/>
              <w:bottom w:val="single" w:sz="4" w:space="0" w:color="000000"/>
              <w:right w:val="single" w:sz="4" w:space="0" w:color="000000"/>
            </w:tcBorders>
          </w:tcPr>
          <w:p>
            <w:pPr/>
          </w:p>
        </w:tc>
        <w:tc>
          <w:tcPr>
            <w:tcW w:w="5156" w:type="dxa"/>
            <w:tcBorders>
              <w:top w:val="single" w:sz="4" w:space="0" w:color="000000"/>
              <w:left w:val="single" w:sz="4" w:space="0" w:color="000000"/>
              <w:bottom w:val="single" w:sz="4" w:space="0" w:color="000000"/>
              <w:right w:val="single" w:sz="4" w:space="0" w:color="000000"/>
            </w:tcBorders>
          </w:tcPr>
          <w:p>
            <w:pPr/>
          </w:p>
        </w:tc>
      </w:tr>
    </w:tbl>
    <w:p>
      <w:pPr>
        <w:spacing w:before="10"/>
        <w:ind w:left="558" w:right="0" w:firstLine="0"/>
        <w:jc w:val="left"/>
        <w:rPr>
          <w:rFonts w:ascii="宋体" w:hAnsi="宋体" w:cs="宋体" w:eastAsia="宋体" w:hint="default"/>
          <w:sz w:val="21"/>
          <w:szCs w:val="21"/>
        </w:rPr>
      </w:pPr>
      <w:r>
        <w:rPr>
          <w:rFonts w:ascii="宋体" w:hAnsi="宋体" w:cs="宋体" w:eastAsia="宋体" w:hint="default"/>
          <w:sz w:val="21"/>
          <w:szCs w:val="21"/>
        </w:rPr>
        <w:t>注：填写具体组合名称。</w:t>
      </w:r>
    </w:p>
    <w:p>
      <w:pPr>
        <w:spacing w:line="240" w:lineRule="auto" w:before="10"/>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）单项金额虽不重大但单项计提坏账准备的应收账款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524" w:type="dxa"/>
        <w:tblLayout w:type="fixed"/>
        <w:tblCellMar>
          <w:top w:w="0" w:type="dxa"/>
          <w:left w:w="0" w:type="dxa"/>
          <w:bottom w:w="0" w:type="dxa"/>
          <w:right w:w="0" w:type="dxa"/>
        </w:tblCellMar>
        <w:tblLook w:val="01E0"/>
      </w:tblPr>
      <w:tblGrid>
        <w:gridCol w:w="3068"/>
        <w:gridCol w:w="5682"/>
      </w:tblGrid>
      <w:tr>
        <w:trPr>
          <w:trHeight w:val="322"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r>
        <w:trPr>
          <w:trHeight w:val="63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80"/>
              <w:jc w:val="left"/>
              <w:rPr>
                <w:rFonts w:ascii="宋体" w:hAnsi="宋体" w:cs="宋体" w:eastAsia="宋体" w:hint="default"/>
                <w:sz w:val="21"/>
                <w:szCs w:val="21"/>
              </w:rPr>
            </w:pPr>
            <w:r>
              <w:rPr>
                <w:rFonts w:ascii="宋体" w:hAnsi="宋体" w:cs="宋体" w:eastAsia="宋体" w:hint="default"/>
                <w:spacing w:val="-2"/>
                <w:sz w:val="21"/>
                <w:szCs w:val="21"/>
              </w:rPr>
              <w:t>根据其未来现金流量现值低于其账面价值的差额计提坏账准</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备</w:t>
            </w:r>
          </w:p>
        </w:tc>
      </w:tr>
    </w:tbl>
    <w:p>
      <w:pPr>
        <w:spacing w:line="240" w:lineRule="auto" w:before="3"/>
        <w:rPr>
          <w:rFonts w:ascii="宋体" w:hAnsi="宋体" w:cs="宋体" w:eastAsia="宋体" w:hint="default"/>
          <w:b/>
          <w:bCs/>
          <w:sz w:val="19"/>
          <w:szCs w:val="19"/>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、存货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506" w:lineRule="auto" w:before="0"/>
        <w:ind w:left="558" w:right="358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）存货的分类</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本公司存货分为低值易耗品、库存商品等。</w:t>
      </w:r>
    </w:p>
    <w:p>
      <w:pPr>
        <w:spacing w:after="0" w:line="506" w:lineRule="auto"/>
        <w:jc w:val="left"/>
        <w:rPr>
          <w:rFonts w:ascii="宋体" w:hAnsi="宋体" w:cs="宋体" w:eastAsia="宋体" w:hint="default"/>
          <w:sz w:val="21"/>
          <w:szCs w:val="21"/>
        </w:rPr>
        <w:sectPr>
          <w:pgSz w:w="11910" w:h="16840"/>
          <w:pgMar w:header="884" w:footer="1007" w:top="1160" w:bottom="1200" w:left="1240" w:right="1260"/>
        </w:sectPr>
      </w:pPr>
    </w:p>
    <w:p>
      <w:pPr>
        <w:spacing w:line="240" w:lineRule="auto" w:before="4"/>
        <w:rPr>
          <w:rFonts w:ascii="宋体" w:hAnsi="宋体" w:cs="宋体" w:eastAsia="宋体" w:hint="default"/>
          <w:sz w:val="16"/>
          <w:szCs w:val="16"/>
        </w:rPr>
      </w:pPr>
    </w:p>
    <w:p>
      <w:pPr>
        <w:spacing w:before="36"/>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sz w:val="21"/>
          <w:szCs w:val="21"/>
        </w:rPr>
        <w:t>计价方法：加权平均法</w:t>
      </w:r>
    </w:p>
    <w:p>
      <w:pPr>
        <w:pStyle w:val="BodyText"/>
        <w:spacing w:line="312" w:lineRule="exact" w:before="160"/>
        <w:ind w:right="0"/>
        <w:jc w:val="left"/>
      </w:pPr>
      <w:r>
        <w:rPr/>
        <w:t>本公司存货取得时按实际成本计价。原材料、在产品、库存商品、发出商品等发出</w:t>
      </w:r>
      <w:r>
        <w:rPr>
          <w:spacing w:val="-77"/>
        </w:rPr>
        <w:t> </w:t>
      </w:r>
      <w:r>
        <w:rPr>
          <w:spacing w:val="-77"/>
        </w:rPr>
      </w:r>
      <w:r>
        <w:rPr/>
        <w:t>时采用加权平均法计价。</w:t>
      </w:r>
    </w:p>
    <w:p>
      <w:pPr>
        <w:spacing w:line="240" w:lineRule="auto" w:before="9"/>
        <w:rPr>
          <w:rFonts w:ascii="宋体" w:hAnsi="宋体" w:cs="宋体" w:eastAsia="宋体" w:hint="default"/>
          <w:sz w:val="22"/>
          <w:szCs w:val="22"/>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37" w:lineRule="auto"/>
        <w:ind w:right="135"/>
        <w:jc w:val="both"/>
      </w:pPr>
      <w:r>
        <w:rPr/>
        <w:t>存货可变现净值是按存货的估计售价减去至完工时估计将要发生的成本、估计的销</w:t>
      </w:r>
      <w:r>
        <w:rPr>
          <w:spacing w:val="-77"/>
        </w:rPr>
        <w:t> </w:t>
      </w:r>
      <w:r>
        <w:rPr>
          <w:spacing w:val="-77"/>
        </w:rPr>
      </w:r>
      <w:r>
        <w:rPr/>
        <w:t>售费用以及相关税费后的金额。在确定存货的可变现净值时，以取得的确凿证据为</w:t>
      </w:r>
      <w:r>
        <w:rPr>
          <w:spacing w:val="-74"/>
        </w:rPr>
        <w:t> </w:t>
      </w:r>
      <w:r>
        <w:rPr>
          <w:spacing w:val="-74"/>
        </w:rPr>
      </w:r>
      <w:r>
        <w:rPr/>
        <w:t>基础，同时考虑持有存货的目的以及资产负债表日后事项的影响。资产负债表日，</w:t>
      </w:r>
      <w:r>
        <w:rPr>
          <w:spacing w:val="-77"/>
        </w:rPr>
        <w:t> </w:t>
      </w:r>
      <w:r>
        <w:rPr>
          <w:spacing w:val="-77"/>
        </w:rPr>
      </w:r>
      <w:r>
        <w:rPr/>
        <w:t>存货成本高于其可变现净值的，计提存货跌价准备。本公司通常按照单个存货项目</w:t>
      </w:r>
      <w:r>
        <w:rPr>
          <w:spacing w:val="-77"/>
        </w:rPr>
        <w:t> </w:t>
      </w:r>
      <w:r>
        <w:rPr>
          <w:spacing w:val="-77"/>
        </w:rPr>
      </w:r>
      <w:r>
        <w:rPr/>
        <w:t>计提存货跌价准备，资产负债表日，以前减记存货价值的影响因素已经消失的，存</w:t>
      </w:r>
      <w:r>
        <w:rPr>
          <w:spacing w:val="-77"/>
        </w:rPr>
        <w:t> </w:t>
      </w:r>
      <w:r>
        <w:rPr>
          <w:spacing w:val="-77"/>
        </w:rPr>
      </w:r>
      <w:r>
        <w:rPr/>
        <w:t>货跌价准备在原已计提的金额内转回。</w:t>
      </w:r>
    </w:p>
    <w:p>
      <w:pPr>
        <w:spacing w:line="600" w:lineRule="atLeast" w:before="17"/>
        <w:ind w:left="558" w:right="4967"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w w:val="100"/>
          <w:sz w:val="21"/>
          <w:szCs w:val="21"/>
        </w:rPr>
        <w:t> </w:t>
      </w:r>
      <w:r>
        <w:rPr>
          <w:rFonts w:ascii="宋体" w:hAnsi="宋体" w:cs="宋体" w:eastAsia="宋体" w:hint="default"/>
          <w:sz w:val="21"/>
          <w:szCs w:val="21"/>
        </w:rPr>
        <w:t>盘存制度：永续盘存制</w:t>
      </w:r>
    </w:p>
    <w:p>
      <w:pPr>
        <w:pStyle w:val="BodyText"/>
        <w:spacing w:line="240" w:lineRule="auto" w:before="129"/>
        <w:ind w:right="0"/>
        <w:jc w:val="both"/>
      </w:pPr>
      <w:r>
        <w:rPr/>
        <w:t>本公司存货盘存制度采用永续盘存制。</w:t>
      </w:r>
    </w:p>
    <w:p>
      <w:pPr>
        <w:spacing w:line="590" w:lineRule="atLeast" w:before="26"/>
        <w:ind w:left="558" w:right="4967"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）低值易耗品和包装物的摊销方法</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低值易耗品</w:t>
      </w:r>
    </w:p>
    <w:p>
      <w:pPr>
        <w:spacing w:before="37"/>
        <w:ind w:left="558" w:right="0" w:firstLine="0"/>
        <w:jc w:val="both"/>
        <w:rPr>
          <w:rFonts w:ascii="宋体" w:hAnsi="宋体" w:cs="宋体" w:eastAsia="宋体" w:hint="default"/>
          <w:sz w:val="21"/>
          <w:szCs w:val="21"/>
        </w:rPr>
      </w:pPr>
      <w:r>
        <w:rPr>
          <w:rFonts w:ascii="宋体" w:hAnsi="宋体" w:cs="宋体" w:eastAsia="宋体" w:hint="default"/>
          <w:sz w:val="21"/>
          <w:szCs w:val="21"/>
        </w:rPr>
        <w:t>摊销方法：一次摊销法</w:t>
      </w:r>
    </w:p>
    <w:p>
      <w:pPr>
        <w:pStyle w:val="BodyText"/>
        <w:spacing w:line="240" w:lineRule="auto" w:before="129"/>
        <w:ind w:right="0"/>
        <w:jc w:val="both"/>
      </w:pPr>
      <w:r>
        <w:rPr/>
        <w:t>本公司低值易耗品领用时采用一次转销法摊销。</w:t>
      </w:r>
    </w:p>
    <w:p>
      <w:pPr>
        <w:spacing w:line="240" w:lineRule="auto" w:before="6"/>
        <w:rPr>
          <w:rFonts w:ascii="宋体" w:hAnsi="宋体" w:cs="宋体" w:eastAsia="宋体" w:hint="default"/>
          <w:sz w:val="18"/>
          <w:szCs w:val="18"/>
        </w:rPr>
      </w:pPr>
    </w:p>
    <w:p>
      <w:pPr>
        <w:spacing w:line="273" w:lineRule="auto" w:before="0"/>
        <w:ind w:left="558" w:right="4967" w:firstLine="0"/>
        <w:jc w:val="left"/>
        <w:rPr>
          <w:rFonts w:ascii="宋体" w:hAnsi="宋体" w:cs="宋体" w:eastAsia="宋体" w:hint="default"/>
          <w:sz w:val="21"/>
          <w:szCs w:val="21"/>
        </w:rPr>
      </w:pPr>
      <w:r>
        <w:rPr>
          <w:rFonts w:ascii="宋体" w:hAnsi="宋体" w:cs="宋体" w:eastAsia="宋体" w:hint="default"/>
          <w:spacing w:val="-2"/>
          <w:sz w:val="21"/>
          <w:szCs w:val="21"/>
        </w:rPr>
        <w:t>注：如选择其他，请在文本框中说明。</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包装物</w:t>
      </w:r>
    </w:p>
    <w:p>
      <w:pPr>
        <w:spacing w:line="273" w:lineRule="auto" w:before="7"/>
        <w:ind w:left="558" w:right="4967" w:firstLine="0"/>
        <w:jc w:val="left"/>
        <w:rPr>
          <w:rFonts w:ascii="宋体" w:hAnsi="宋体" w:cs="宋体" w:eastAsia="宋体" w:hint="default"/>
          <w:sz w:val="21"/>
          <w:szCs w:val="21"/>
        </w:rPr>
      </w:pPr>
      <w:r>
        <w:rPr>
          <w:rFonts w:ascii="宋体" w:hAnsi="宋体" w:cs="宋体" w:eastAsia="宋体" w:hint="default"/>
          <w:sz w:val="21"/>
          <w:szCs w:val="21"/>
        </w:rPr>
        <w:t>摊销方法：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注：如选择其他，请在文本框中说明。</w:t>
      </w:r>
    </w:p>
    <w:p>
      <w:pPr>
        <w:spacing w:line="240" w:lineRule="auto" w:before="7"/>
        <w:rPr>
          <w:rFonts w:ascii="宋体" w:hAnsi="宋体" w:cs="宋体" w:eastAsia="宋体" w:hint="default"/>
          <w:sz w:val="23"/>
          <w:szCs w:val="23"/>
        </w:rPr>
      </w:pPr>
    </w:p>
    <w:p>
      <w:pPr>
        <w:spacing w:before="0"/>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）投资成本的确定</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558" w:right="208" w:firstLine="0"/>
        <w:jc w:val="both"/>
        <w:rPr>
          <w:rFonts w:ascii="宋体" w:hAnsi="宋体" w:cs="宋体" w:eastAsia="宋体" w:hint="default"/>
          <w:sz w:val="21"/>
          <w:szCs w:val="21"/>
        </w:rPr>
      </w:pPr>
      <w:r>
        <w:rPr>
          <w:rFonts w:ascii="宋体" w:hAnsi="宋体" w:cs="宋体" w:eastAsia="宋体" w:hint="default"/>
          <w:spacing w:val="-2"/>
          <w:sz w:val="21"/>
          <w:szCs w:val="21"/>
        </w:rPr>
        <w:t>本公司长期股权投资在取得时按投资成本计量。投资成本一般为取得该项投资而付出的资产、</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发生或承担的负债以及发行的权益性证券的公允价值，并包括直接相关费用。但同一控制下的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企业合并形成的长期股权投资，其投资成本为合并日取得的被合并方所有者权益的账面价值份</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额。</w:t>
      </w:r>
    </w:p>
    <w:p>
      <w:pPr>
        <w:spacing w:line="240" w:lineRule="auto" w:before="7"/>
        <w:rPr>
          <w:rFonts w:ascii="宋体" w:hAnsi="宋体" w:cs="宋体" w:eastAsia="宋体" w:hint="default"/>
          <w:sz w:val="23"/>
          <w:szCs w:val="23"/>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）后续计量及损益确认</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558" w:right="0" w:firstLine="0"/>
        <w:jc w:val="left"/>
        <w:rPr>
          <w:rFonts w:ascii="宋体" w:hAnsi="宋体" w:cs="宋体" w:eastAsia="宋体" w:hint="default"/>
          <w:sz w:val="21"/>
          <w:szCs w:val="21"/>
        </w:rPr>
      </w:pPr>
      <w:r>
        <w:rPr>
          <w:rFonts w:ascii="宋体" w:hAnsi="宋体" w:cs="宋体" w:eastAsia="宋体" w:hint="default"/>
          <w:spacing w:val="-2"/>
          <w:sz w:val="21"/>
          <w:szCs w:val="21"/>
        </w:rPr>
        <w:t>本公司能够对被投资单位实施控制的长期股权投资，以及对被投资单位不具有共同控制或重大</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影响，且在活跃市场中没有报价、公允价值不能可靠计量的长期股权投资采用成本法核算；对</w:t>
      </w:r>
    </w:p>
    <w:p>
      <w:pPr>
        <w:spacing w:after="0" w:line="273" w:lineRule="auto"/>
        <w:jc w:val="left"/>
        <w:rPr>
          <w:rFonts w:ascii="宋体" w:hAnsi="宋体" w:cs="宋体" w:eastAsia="宋体" w:hint="default"/>
          <w:sz w:val="21"/>
          <w:szCs w:val="21"/>
        </w:rPr>
        <w:sectPr>
          <w:pgSz w:w="11910" w:h="16840"/>
          <w:pgMar w:header="884" w:footer="1007" w:top="1160" w:bottom="1200" w:left="1240" w:right="1280"/>
        </w:sectPr>
      </w:pPr>
    </w:p>
    <w:p>
      <w:pPr>
        <w:spacing w:line="240" w:lineRule="auto" w:before="4"/>
        <w:rPr>
          <w:rFonts w:ascii="宋体" w:hAnsi="宋体" w:cs="宋体" w:eastAsia="宋体" w:hint="default"/>
          <w:sz w:val="16"/>
          <w:szCs w:val="16"/>
        </w:rPr>
      </w:pPr>
    </w:p>
    <w:p>
      <w:pPr>
        <w:spacing w:line="271" w:lineRule="auto" w:before="36"/>
        <w:ind w:left="558" w:right="102" w:firstLine="0"/>
        <w:jc w:val="left"/>
        <w:rPr>
          <w:rFonts w:ascii="宋体" w:hAnsi="宋体" w:cs="宋体" w:eastAsia="宋体" w:hint="default"/>
          <w:sz w:val="21"/>
          <w:szCs w:val="21"/>
        </w:rPr>
      </w:pPr>
      <w:r>
        <w:rPr>
          <w:rFonts w:ascii="宋体" w:hAnsi="宋体" w:cs="宋体" w:eastAsia="宋体" w:hint="default"/>
          <w:sz w:val="21"/>
          <w:szCs w:val="21"/>
        </w:rPr>
        <w:t>被投资单位具有共同控制或重大影响的长期股权投资，采用权益法核算。采用成本法核算的长</w:t>
      </w:r>
      <w:r>
        <w:rPr>
          <w:rFonts w:ascii="宋体" w:hAnsi="宋体" w:cs="宋体" w:eastAsia="宋体" w:hint="default"/>
          <w:w w:val="100"/>
          <w:sz w:val="21"/>
          <w:szCs w:val="21"/>
        </w:rPr>
        <w:t> </w:t>
      </w:r>
      <w:r>
        <w:rPr>
          <w:rFonts w:ascii="宋体" w:hAnsi="宋体" w:cs="宋体" w:eastAsia="宋体" w:hint="default"/>
          <w:sz w:val="21"/>
          <w:szCs w:val="21"/>
        </w:rPr>
        <w:t>期股权投资，除取得投资时实际支付的价款或对价中包含的已宣告但尚未发放的现金股利或利</w:t>
      </w:r>
      <w:r>
        <w:rPr>
          <w:rFonts w:ascii="宋体" w:hAnsi="宋体" w:cs="宋体" w:eastAsia="宋体" w:hint="default"/>
          <w:w w:val="100"/>
          <w:sz w:val="21"/>
          <w:szCs w:val="21"/>
        </w:rPr>
        <w:t> </w:t>
      </w:r>
      <w:r>
        <w:rPr>
          <w:rFonts w:ascii="宋体" w:hAnsi="宋体" w:cs="宋体" w:eastAsia="宋体" w:hint="default"/>
          <w:sz w:val="21"/>
          <w:szCs w:val="21"/>
        </w:rPr>
        <w:t>润外，被投资单位宣告分派的现金股利或利润，确认为投资收益计入当期损益。本公司长期股</w:t>
      </w:r>
      <w:r>
        <w:rPr>
          <w:rFonts w:ascii="宋体" w:hAnsi="宋体" w:cs="宋体" w:eastAsia="宋体" w:hint="default"/>
          <w:w w:val="100"/>
          <w:sz w:val="21"/>
          <w:szCs w:val="21"/>
        </w:rPr>
        <w:t> </w:t>
      </w:r>
      <w:r>
        <w:rPr>
          <w:rFonts w:ascii="宋体" w:hAnsi="宋体" w:cs="宋体" w:eastAsia="宋体" w:hint="default"/>
          <w:sz w:val="21"/>
          <w:szCs w:val="21"/>
        </w:rPr>
        <w:t>权投资采用权益法核算时，对长期股权投资的投资成本大于投资时应享有被投资单位可辨认净</w:t>
      </w:r>
      <w:r>
        <w:rPr>
          <w:rFonts w:ascii="宋体" w:hAnsi="宋体" w:cs="宋体" w:eastAsia="宋体" w:hint="default"/>
          <w:w w:val="100"/>
          <w:sz w:val="21"/>
          <w:szCs w:val="21"/>
        </w:rPr>
        <w:t> </w:t>
      </w:r>
      <w:r>
        <w:rPr>
          <w:rFonts w:ascii="宋体" w:hAnsi="宋体" w:cs="宋体" w:eastAsia="宋体" w:hint="default"/>
          <w:sz w:val="21"/>
          <w:szCs w:val="21"/>
        </w:rPr>
        <w:t>资产公允价值份额的，不调整长期股权投资的投资成本；对长期股权投资的投资成本小于投资</w:t>
      </w:r>
      <w:r>
        <w:rPr>
          <w:rFonts w:ascii="宋体" w:hAnsi="宋体" w:cs="宋体" w:eastAsia="宋体" w:hint="default"/>
          <w:w w:val="100"/>
          <w:sz w:val="21"/>
          <w:szCs w:val="21"/>
        </w:rPr>
        <w:t> </w:t>
      </w:r>
      <w:r>
        <w:rPr>
          <w:rFonts w:ascii="宋体" w:hAnsi="宋体" w:cs="宋体" w:eastAsia="宋体" w:hint="default"/>
          <w:sz w:val="21"/>
          <w:szCs w:val="21"/>
        </w:rPr>
        <w:t>时应享有被投资单位可辨认净资产公允价值份额的，对长期股权投资的账面价值进行调整，差</w:t>
      </w:r>
      <w:r>
        <w:rPr>
          <w:rFonts w:ascii="宋体" w:hAnsi="宋体" w:cs="宋体" w:eastAsia="宋体" w:hint="default"/>
          <w:w w:val="100"/>
          <w:sz w:val="21"/>
          <w:szCs w:val="21"/>
        </w:rPr>
        <w:t> </w:t>
      </w:r>
      <w:r>
        <w:rPr>
          <w:rFonts w:ascii="宋体" w:hAnsi="宋体" w:cs="宋体" w:eastAsia="宋体" w:hint="default"/>
          <w:sz w:val="21"/>
          <w:szCs w:val="21"/>
        </w:rPr>
        <w:t>额计入投资当期的损益。本公司在按权益法对长期股权投资进行核算时，先对被投资单位的净</w:t>
      </w:r>
      <w:r>
        <w:rPr>
          <w:rFonts w:ascii="宋体" w:hAnsi="宋体" w:cs="宋体" w:eastAsia="宋体" w:hint="default"/>
          <w:w w:val="100"/>
          <w:sz w:val="21"/>
          <w:szCs w:val="21"/>
        </w:rPr>
        <w:t> </w:t>
      </w:r>
      <w:r>
        <w:rPr>
          <w:rFonts w:ascii="宋体" w:hAnsi="宋体" w:cs="宋体" w:eastAsia="宋体" w:hint="default"/>
          <w:sz w:val="21"/>
          <w:szCs w:val="21"/>
        </w:rPr>
        <w:t>利润进行取得投资时被投资单位各项可辨认资产等的公允价值、会计政策和会计期间方面的调</w:t>
      </w:r>
      <w:r>
        <w:rPr>
          <w:rFonts w:ascii="宋体" w:hAnsi="宋体" w:cs="宋体" w:eastAsia="宋体" w:hint="default"/>
          <w:w w:val="100"/>
          <w:sz w:val="21"/>
          <w:szCs w:val="21"/>
        </w:rPr>
        <w:t> </w:t>
      </w:r>
      <w:r>
        <w:rPr>
          <w:rFonts w:ascii="宋体" w:hAnsi="宋体" w:cs="宋体" w:eastAsia="宋体" w:hint="default"/>
          <w:sz w:val="21"/>
          <w:szCs w:val="21"/>
        </w:rPr>
        <w:t>整，再按应享有或应分担的被投资单位的净损益份额确认当期投资损益。本公司与联营企业及</w:t>
      </w:r>
      <w:r>
        <w:rPr>
          <w:rFonts w:ascii="宋体" w:hAnsi="宋体" w:cs="宋体" w:eastAsia="宋体" w:hint="default"/>
          <w:w w:val="100"/>
          <w:sz w:val="21"/>
          <w:szCs w:val="21"/>
        </w:rPr>
        <w:t> </w:t>
      </w:r>
      <w:r>
        <w:rPr>
          <w:rFonts w:ascii="宋体" w:hAnsi="宋体" w:cs="宋体" w:eastAsia="宋体" w:hint="default"/>
          <w:sz w:val="21"/>
          <w:szCs w:val="21"/>
        </w:rPr>
        <w:t>合营企业之间发生的未实现内部交易损益按照持股比例计算归属于本公司的部分，在抵销基础</w:t>
      </w:r>
      <w:r>
        <w:rPr>
          <w:rFonts w:ascii="宋体" w:hAnsi="宋体" w:cs="宋体" w:eastAsia="宋体" w:hint="default"/>
          <w:w w:val="100"/>
          <w:sz w:val="21"/>
          <w:szCs w:val="21"/>
        </w:rPr>
        <w:t> </w:t>
      </w:r>
      <w:r>
        <w:rPr>
          <w:rFonts w:ascii="宋体" w:hAnsi="宋体" w:cs="宋体" w:eastAsia="宋体" w:hint="default"/>
          <w:spacing w:val="-12"/>
          <w:w w:val="100"/>
          <w:sz w:val="21"/>
          <w:szCs w:val="21"/>
        </w:rPr>
        <w:t>上确认投资损益。对于</w:t>
      </w:r>
      <w:r>
        <w:rPr>
          <w:rFonts w:ascii="宋体" w:hAnsi="宋体" w:cs="宋体" w:eastAsia="宋体" w:hint="default"/>
          <w:spacing w:val="-58"/>
          <w:w w:val="100"/>
          <w:sz w:val="21"/>
          <w:szCs w:val="21"/>
        </w:rPr>
        <w:t> </w:t>
      </w:r>
      <w:r>
        <w:rPr>
          <w:rFonts w:ascii="Calibri" w:hAnsi="Calibri" w:cs="Calibri" w:eastAsia="Calibri" w:hint="default"/>
          <w:spacing w:val="-2"/>
          <w:w w:val="100"/>
          <w:sz w:val="21"/>
          <w:szCs w:val="21"/>
        </w:rPr>
        <w:t>2007</w:t>
      </w:r>
      <w:r>
        <w:rPr>
          <w:rFonts w:ascii="Calibri" w:hAnsi="Calibri" w:cs="Calibri" w:eastAsia="Calibri" w:hint="default"/>
          <w:spacing w:val="4"/>
          <w:w w:val="100"/>
          <w:sz w:val="21"/>
          <w:szCs w:val="21"/>
        </w:rPr>
        <w:t> </w:t>
      </w:r>
      <w:r>
        <w:rPr>
          <w:rFonts w:ascii="宋体" w:hAnsi="宋体" w:cs="宋体" w:eastAsia="宋体" w:hint="default"/>
          <w:w w:val="100"/>
          <w:sz w:val="21"/>
          <w:szCs w:val="21"/>
        </w:rPr>
        <w:t>年</w:t>
      </w:r>
      <w:r>
        <w:rPr>
          <w:rFonts w:ascii="宋体" w:hAnsi="宋体" w:cs="宋体" w:eastAsia="宋体" w:hint="default"/>
          <w:spacing w:val="-58"/>
          <w:w w:val="100"/>
          <w:sz w:val="21"/>
          <w:szCs w:val="21"/>
        </w:rPr>
        <w:t> </w:t>
      </w:r>
      <w:r>
        <w:rPr>
          <w:rFonts w:ascii="Calibri" w:hAnsi="Calibri" w:cs="Calibri" w:eastAsia="Calibri" w:hint="default"/>
          <w:w w:val="100"/>
          <w:sz w:val="21"/>
          <w:szCs w:val="21"/>
        </w:rPr>
        <w:t>1</w:t>
      </w:r>
      <w:r>
        <w:rPr>
          <w:rFonts w:ascii="Calibri" w:hAnsi="Calibri" w:cs="Calibri" w:eastAsia="Calibri" w:hint="default"/>
          <w:spacing w:val="1"/>
          <w:w w:val="100"/>
          <w:sz w:val="21"/>
          <w:szCs w:val="21"/>
        </w:rPr>
        <w:t> </w:t>
      </w:r>
      <w:r>
        <w:rPr>
          <w:rFonts w:ascii="宋体" w:hAnsi="宋体" w:cs="宋体" w:eastAsia="宋体" w:hint="default"/>
          <w:w w:val="100"/>
          <w:sz w:val="21"/>
          <w:szCs w:val="21"/>
        </w:rPr>
        <w:t>月</w:t>
      </w:r>
      <w:r>
        <w:rPr>
          <w:rFonts w:ascii="宋体" w:hAnsi="宋体" w:cs="宋体" w:eastAsia="宋体" w:hint="default"/>
          <w:spacing w:val="-55"/>
          <w:w w:val="100"/>
          <w:sz w:val="21"/>
          <w:szCs w:val="21"/>
        </w:rPr>
        <w:t> </w:t>
      </w:r>
      <w:r>
        <w:rPr>
          <w:rFonts w:ascii="Calibri" w:hAnsi="Calibri" w:cs="Calibri" w:eastAsia="Calibri" w:hint="default"/>
          <w:w w:val="100"/>
          <w:sz w:val="21"/>
          <w:szCs w:val="21"/>
        </w:rPr>
        <w:t>1</w:t>
      </w:r>
      <w:r>
        <w:rPr>
          <w:rFonts w:ascii="Calibri" w:hAnsi="Calibri" w:cs="Calibri" w:eastAsia="Calibri" w:hint="default"/>
          <w:spacing w:val="1"/>
          <w:w w:val="100"/>
          <w:sz w:val="21"/>
          <w:szCs w:val="21"/>
        </w:rPr>
        <w:t> </w:t>
      </w:r>
      <w:r>
        <w:rPr>
          <w:rFonts w:ascii="宋体" w:hAnsi="宋体" w:cs="宋体" w:eastAsia="宋体" w:hint="default"/>
          <w:spacing w:val="-2"/>
          <w:w w:val="100"/>
          <w:sz w:val="21"/>
          <w:szCs w:val="21"/>
        </w:rPr>
        <w:t>日之前已经持有的对联营企业及合营企业的长期股权投资，</w:t>
      </w:r>
      <w:r>
        <w:rPr>
          <w:rFonts w:ascii="宋体" w:hAnsi="宋体" w:cs="宋体" w:eastAsia="宋体" w:hint="default"/>
          <w:w w:val="100"/>
          <w:sz w:val="21"/>
          <w:szCs w:val="21"/>
        </w:rPr>
        <w:t> </w:t>
      </w:r>
      <w:r>
        <w:rPr>
          <w:rFonts w:ascii="宋体" w:hAnsi="宋体" w:cs="宋体" w:eastAsia="宋体" w:hint="default"/>
          <w:sz w:val="21"/>
          <w:szCs w:val="21"/>
        </w:rPr>
        <w:t>如存在与该投资相关的股权投资借方差额，在扣除按原剩余期限直线法摊销的股权投资借方差</w:t>
      </w:r>
      <w:r>
        <w:rPr>
          <w:rFonts w:ascii="宋体" w:hAnsi="宋体" w:cs="宋体" w:eastAsia="宋体" w:hint="default"/>
          <w:w w:val="100"/>
          <w:sz w:val="21"/>
          <w:szCs w:val="21"/>
        </w:rPr>
        <w:t> </w:t>
      </w:r>
      <w:r>
        <w:rPr>
          <w:rFonts w:ascii="宋体" w:hAnsi="宋体" w:cs="宋体" w:eastAsia="宋体" w:hint="default"/>
          <w:sz w:val="21"/>
          <w:szCs w:val="21"/>
        </w:rPr>
        <w:t>额后，确认投资损益。</w:t>
      </w:r>
    </w:p>
    <w:p>
      <w:pPr>
        <w:spacing w:line="240" w:lineRule="auto" w:before="9"/>
        <w:rPr>
          <w:rFonts w:ascii="宋体" w:hAnsi="宋体" w:cs="宋体" w:eastAsia="宋体" w:hint="default"/>
          <w:sz w:val="23"/>
          <w:szCs w:val="23"/>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）确定对被投资单位具有共同控制、重大影响的依据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68" w:lineRule="auto" w:before="0"/>
        <w:ind w:left="558" w:right="308" w:firstLine="0"/>
        <w:jc w:val="both"/>
        <w:rPr>
          <w:rFonts w:ascii="宋体" w:hAnsi="宋体" w:cs="宋体" w:eastAsia="宋体" w:hint="default"/>
          <w:sz w:val="21"/>
          <w:szCs w:val="21"/>
        </w:rPr>
      </w:pPr>
      <w:r>
        <w:rPr>
          <w:rFonts w:ascii="宋体" w:hAnsi="宋体" w:cs="宋体" w:eastAsia="宋体" w:hint="default"/>
          <w:spacing w:val="-2"/>
          <w:sz w:val="21"/>
          <w:szCs w:val="21"/>
        </w:rPr>
        <w:t>共同控制是指按照合同约定对某项经济活动所共有的控制，仅在与该项经济活动相关的重要财</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务和经营决策需要分享控制权的投资方一致同意时存在。其中，控制是指有权决定一个企业的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财务和经营政策，并能据以从该企业的经营活动中获取利益。重大影响是指对一个企业的财务</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和经营政策有参与决策的权力，但并不能够控制或者与其他方一起共同控制这些政策的制定。</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在确定能否对被投资单位实施控制或施加重大影响时，已考虑投资企业和其他方持有的被投资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单位当期可转换公司债券、当期可执行认股权证等潜在表决权因素。当本公司直接或通过子公</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司间接拥有被投资单位</w:t>
      </w:r>
      <w:r>
        <w:rPr>
          <w:rFonts w:ascii="宋体" w:hAnsi="宋体" w:cs="宋体" w:eastAsia="宋体" w:hint="default"/>
          <w:spacing w:val="-57"/>
          <w:sz w:val="21"/>
          <w:szCs w:val="21"/>
        </w:rPr>
        <w:t> </w:t>
      </w:r>
      <w:r>
        <w:rPr>
          <w:rFonts w:ascii="Calibri" w:hAnsi="Calibri" w:cs="Calibri" w:eastAsia="Calibri" w:hint="default"/>
          <w:sz w:val="21"/>
          <w:szCs w:val="21"/>
        </w:rPr>
        <w:t>20%</w:t>
      </w:r>
      <w:r>
        <w:rPr>
          <w:rFonts w:ascii="宋体" w:hAnsi="宋体" w:cs="宋体" w:eastAsia="宋体" w:hint="default"/>
          <w:sz w:val="21"/>
          <w:szCs w:val="21"/>
        </w:rPr>
        <w:t>（含</w:t>
      </w:r>
      <w:r>
        <w:rPr>
          <w:rFonts w:ascii="宋体" w:hAnsi="宋体" w:cs="宋体" w:eastAsia="宋体" w:hint="default"/>
          <w:spacing w:val="-57"/>
          <w:sz w:val="21"/>
          <w:szCs w:val="21"/>
        </w:rPr>
        <w:t> </w:t>
      </w:r>
      <w:r>
        <w:rPr>
          <w:rFonts w:ascii="Calibri" w:hAnsi="Calibri" w:cs="Calibri" w:eastAsia="Calibri" w:hint="default"/>
          <w:sz w:val="21"/>
          <w:szCs w:val="21"/>
        </w:rPr>
        <w:t>20%</w:t>
      </w:r>
      <w:r>
        <w:rPr>
          <w:rFonts w:ascii="宋体" w:hAnsi="宋体" w:cs="宋体" w:eastAsia="宋体" w:hint="default"/>
          <w:sz w:val="21"/>
          <w:szCs w:val="21"/>
        </w:rPr>
        <w:t>）以上但低于</w:t>
      </w:r>
      <w:r>
        <w:rPr>
          <w:rFonts w:ascii="宋体" w:hAnsi="宋体" w:cs="宋体" w:eastAsia="宋体" w:hint="default"/>
          <w:spacing w:val="-55"/>
          <w:sz w:val="21"/>
          <w:szCs w:val="21"/>
        </w:rPr>
        <w:t> </w:t>
      </w:r>
      <w:r>
        <w:rPr>
          <w:rFonts w:ascii="Calibri" w:hAnsi="Calibri" w:cs="Calibri" w:eastAsia="Calibri" w:hint="default"/>
          <w:sz w:val="21"/>
          <w:szCs w:val="21"/>
        </w:rPr>
        <w:t>50%</w:t>
      </w:r>
      <w:r>
        <w:rPr>
          <w:rFonts w:ascii="宋体" w:hAnsi="宋体" w:cs="宋体" w:eastAsia="宋体" w:hint="default"/>
          <w:sz w:val="21"/>
          <w:szCs w:val="21"/>
        </w:rPr>
        <w:t>的表决权股份时，除非有明确证据表明</w:t>
      </w:r>
      <w:r>
        <w:rPr>
          <w:rFonts w:ascii="宋体" w:hAnsi="宋体" w:cs="宋体" w:eastAsia="宋体" w:hint="default"/>
          <w:w w:val="100"/>
          <w:sz w:val="21"/>
          <w:szCs w:val="21"/>
        </w:rPr>
        <w:t> </w:t>
      </w:r>
      <w:r>
        <w:rPr>
          <w:rFonts w:ascii="宋体" w:hAnsi="宋体" w:cs="宋体" w:eastAsia="宋体" w:hint="default"/>
          <w:spacing w:val="-2"/>
          <w:sz w:val="21"/>
          <w:szCs w:val="21"/>
        </w:rPr>
        <w:t>该种情况下不能参与被投资单位的生产经营决策，不形成重大影响外，均确定对被投资单位具</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有重大影响；本公司拥有被投资单位</w:t>
      </w:r>
      <w:r>
        <w:rPr>
          <w:rFonts w:ascii="宋体" w:hAnsi="宋体" w:cs="宋体" w:eastAsia="宋体" w:hint="default"/>
          <w:sz w:val="21"/>
          <w:szCs w:val="21"/>
        </w:rPr>
        <w:t> </w:t>
      </w:r>
      <w:r>
        <w:rPr>
          <w:rFonts w:ascii="Calibri" w:hAnsi="Calibri" w:cs="Calibri" w:eastAsia="Calibri" w:hint="default"/>
          <w:spacing w:val="-2"/>
          <w:sz w:val="21"/>
          <w:szCs w:val="21"/>
        </w:rPr>
        <w:t>20%</w:t>
      </w:r>
      <w:r>
        <w:rPr>
          <w:rFonts w:ascii="宋体" w:hAnsi="宋体" w:cs="宋体" w:eastAsia="宋体" w:hint="default"/>
          <w:spacing w:val="-2"/>
          <w:sz w:val="21"/>
          <w:szCs w:val="21"/>
        </w:rPr>
        <w:t>（不含）以下的表决权股份，一般不认为对被投资单</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pacing w:val="-2"/>
          <w:sz w:val="21"/>
          <w:szCs w:val="21"/>
        </w:rPr>
        <w:t>位具有重大影响，除非有明确证据表明该种情况下能够参与被投资单位的生产经营决策，形成</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重大影响。</w:t>
      </w:r>
    </w:p>
    <w:p>
      <w:pPr>
        <w:spacing w:line="240" w:lineRule="auto" w:before="11"/>
        <w:rPr>
          <w:rFonts w:ascii="宋体" w:hAnsi="宋体" w:cs="宋体" w:eastAsia="宋体" w:hint="default"/>
          <w:sz w:val="23"/>
          <w:szCs w:val="23"/>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both"/>
      </w:pPr>
      <w:r>
        <w:rPr/>
        <w:t>对子公司、联营企业及合营企业的投资，本公司计提资产减值的方法见附注二、</w:t>
      </w:r>
      <w:r>
        <w:rPr>
          <w:rFonts w:ascii="Calibri" w:hAnsi="Calibri" w:cs="Calibri" w:eastAsia="Calibri" w:hint="default"/>
        </w:rPr>
        <w:t>26</w:t>
      </w:r>
      <w:r>
        <w:rPr/>
        <w:t>。</w:t>
      </w:r>
    </w:p>
    <w:p>
      <w:pPr>
        <w:pStyle w:val="BodyText"/>
        <w:spacing w:line="312" w:lineRule="exact" w:before="214"/>
        <w:ind w:right="238"/>
        <w:jc w:val="both"/>
      </w:pPr>
      <w:r>
        <w:rPr/>
        <w:t>持有的对被投资单位不具有共同控制或重大影响、在活跃市场中没有报价、公允价</w:t>
      </w:r>
      <w:r>
        <w:rPr>
          <w:spacing w:val="-77"/>
        </w:rPr>
        <w:t> </w:t>
      </w:r>
      <w:r>
        <w:rPr>
          <w:spacing w:val="-77"/>
        </w:rPr>
      </w:r>
      <w:r>
        <w:rPr/>
        <w:t>值不能可靠计量的长期股权投资，本公司计提资产减值的方法见附注二、</w:t>
      </w:r>
      <w:r>
        <w:rPr>
          <w:rFonts w:ascii="Calibri" w:hAnsi="Calibri" w:cs="Calibri" w:eastAsia="Calibri" w:hint="default"/>
        </w:rPr>
        <w:t>9</w:t>
      </w:r>
      <w:r>
        <w:rPr/>
        <w:t>（</w:t>
      </w:r>
      <w:r>
        <w:rPr>
          <w:rFonts w:ascii="Calibri" w:hAnsi="Calibri" w:cs="Calibri" w:eastAsia="Calibri" w:hint="default"/>
        </w:rPr>
        <w:t>6</w:t>
      </w:r>
      <w:r>
        <w:rPr/>
        <w:t>）。</w:t>
      </w:r>
    </w:p>
    <w:p>
      <w:pPr>
        <w:spacing w:line="240" w:lineRule="auto" w:before="9"/>
        <w:rPr>
          <w:rFonts w:ascii="宋体" w:hAnsi="宋体" w:cs="宋体" w:eastAsia="宋体" w:hint="default"/>
          <w:sz w:val="22"/>
          <w:szCs w:val="22"/>
        </w:rPr>
      </w:pPr>
    </w:p>
    <w:p>
      <w:pPr>
        <w:spacing w:before="0"/>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238"/>
        <w:jc w:val="both"/>
      </w:pPr>
      <w:r>
        <w:rPr/>
        <w:t>投资性房地产是指为赚取租金或资本增值，或两者兼有而持有的房地产。本公司投</w:t>
      </w:r>
      <w:r>
        <w:rPr>
          <w:spacing w:val="-77"/>
        </w:rPr>
        <w:t> </w:t>
      </w:r>
      <w:r>
        <w:rPr>
          <w:spacing w:val="-77"/>
        </w:rPr>
      </w:r>
      <w:r>
        <w:rPr/>
        <w:t>资性房地产包括已出租的土地使用权、持有并准备增值后转让的土地使用权、已出</w:t>
      </w:r>
      <w:r>
        <w:rPr>
          <w:spacing w:val="-77"/>
        </w:rPr>
        <w:t> </w:t>
      </w:r>
      <w:r>
        <w:rPr>
          <w:spacing w:val="-77"/>
        </w:rPr>
      </w:r>
      <w:r>
        <w:rPr/>
        <w:t>租的建筑物。</w:t>
      </w:r>
    </w:p>
    <w:p>
      <w:pPr>
        <w:spacing w:line="240" w:lineRule="auto" w:before="7"/>
        <w:rPr>
          <w:rFonts w:ascii="宋体" w:hAnsi="宋体" w:cs="宋体" w:eastAsia="宋体" w:hint="default"/>
          <w:sz w:val="16"/>
          <w:szCs w:val="16"/>
        </w:rPr>
      </w:pPr>
    </w:p>
    <w:p>
      <w:pPr>
        <w:pStyle w:val="BodyText"/>
        <w:spacing w:line="312" w:lineRule="exact"/>
        <w:ind w:right="238"/>
        <w:jc w:val="both"/>
      </w:pPr>
      <w:r>
        <w:rPr/>
        <w:t>本公司投资性房地产按照取得时的成本进行初始计量，并按照固定资产或无形资产</w:t>
      </w:r>
      <w:r>
        <w:rPr>
          <w:spacing w:val="-77"/>
        </w:rPr>
        <w:t> </w:t>
      </w:r>
      <w:r>
        <w:rPr>
          <w:spacing w:val="-77"/>
        </w:rPr>
      </w:r>
      <w:r>
        <w:rPr/>
        <w:t>的有关规定，按期计提折旧或摊销。</w:t>
      </w:r>
    </w:p>
    <w:p>
      <w:pPr>
        <w:pStyle w:val="BodyText"/>
        <w:spacing w:line="240" w:lineRule="auto" w:before="185"/>
        <w:ind w:right="0"/>
        <w:jc w:val="both"/>
      </w:pPr>
      <w:r>
        <w:rPr/>
        <w:t>本公司采用年限平均法计提折旧。投资性房地产自达到预定可使用状态时开始计提</w:t>
      </w:r>
    </w:p>
    <w:p>
      <w:pPr>
        <w:spacing w:after="0" w:line="240" w:lineRule="auto"/>
        <w:jc w:val="both"/>
        <w:sectPr>
          <w:pgSz w:w="11910" w:h="16840"/>
          <w:pgMar w:header="884" w:footer="1007" w:top="1160" w:bottom="1200" w:left="1240" w:right="1180"/>
        </w:sectPr>
      </w:pPr>
    </w:p>
    <w:p>
      <w:pPr>
        <w:spacing w:line="240" w:lineRule="auto" w:before="13"/>
        <w:rPr>
          <w:rFonts w:ascii="宋体" w:hAnsi="宋体" w:cs="宋体" w:eastAsia="宋体" w:hint="default"/>
          <w:sz w:val="14"/>
          <w:szCs w:val="14"/>
        </w:rPr>
      </w:pPr>
    </w:p>
    <w:p>
      <w:pPr>
        <w:pStyle w:val="BodyText"/>
        <w:spacing w:line="312" w:lineRule="exact" w:before="56"/>
        <w:ind w:right="138"/>
        <w:jc w:val="both"/>
      </w:pPr>
      <w:r>
        <w:rPr/>
        <w:t>折旧，终止确认时或转为自用固定资产时停止计提折旧。在不考虑减值准备的情况</w:t>
      </w:r>
      <w:r>
        <w:rPr>
          <w:spacing w:val="-77"/>
        </w:rPr>
        <w:t> </w:t>
      </w:r>
      <w:r>
        <w:rPr>
          <w:spacing w:val="-77"/>
        </w:rPr>
      </w:r>
      <w:r>
        <w:rPr/>
        <w:t>下，按投资性房地产类别、预计使用寿命和预计残值，本公司确定各类投资性房地</w:t>
      </w:r>
      <w:r>
        <w:rPr>
          <w:spacing w:val="-77"/>
        </w:rPr>
        <w:t> </w:t>
      </w:r>
      <w:r>
        <w:rPr>
          <w:spacing w:val="-77"/>
        </w:rPr>
      </w:r>
      <w:r>
        <w:rPr/>
        <w:t>产的年折旧率如下：</w:t>
      </w:r>
    </w:p>
    <w:p>
      <w:pPr>
        <w:spacing w:line="240" w:lineRule="auto" w:before="3"/>
        <w:rPr>
          <w:rFonts w:ascii="宋体" w:hAnsi="宋体" w:cs="宋体" w:eastAsia="宋体" w:hint="default"/>
          <w:sz w:val="17"/>
          <w:szCs w:val="17"/>
        </w:rPr>
      </w:pPr>
    </w:p>
    <w:tbl>
      <w:tblPr>
        <w:tblW w:w="0" w:type="auto"/>
        <w:jc w:val="left"/>
        <w:tblInd w:w="558" w:type="dxa"/>
        <w:tblLayout w:type="fixed"/>
        <w:tblCellMar>
          <w:top w:w="0" w:type="dxa"/>
          <w:left w:w="0" w:type="dxa"/>
          <w:bottom w:w="0" w:type="dxa"/>
          <w:right w:w="0" w:type="dxa"/>
        </w:tblCellMar>
        <w:tblLook w:val="01E0"/>
      </w:tblPr>
      <w:tblGrid>
        <w:gridCol w:w="2147"/>
        <w:gridCol w:w="2963"/>
        <w:gridCol w:w="1901"/>
        <w:gridCol w:w="1510"/>
      </w:tblGrid>
      <w:tr>
        <w:trPr>
          <w:trHeight w:val="350" w:hRule="exact"/>
        </w:trPr>
        <w:tc>
          <w:tcPr>
            <w:tcW w:w="2147" w:type="dxa"/>
            <w:tcBorders>
              <w:top w:val="single" w:sz="6" w:space="0" w:color="000000"/>
              <w:left w:val="nil" w:sz="6" w:space="0" w:color="auto"/>
              <w:bottom w:val="single" w:sz="8" w:space="0" w:color="000000"/>
              <w:right w:val="nil" w:sz="6" w:space="0" w:color="auto"/>
            </w:tcBorders>
          </w:tcPr>
          <w:p>
            <w:pPr>
              <w:pStyle w:val="TableParagraph"/>
              <w:spacing w:line="272"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2963" w:type="dxa"/>
            <w:tcBorders>
              <w:top w:val="single" w:sz="6" w:space="0" w:color="000000"/>
              <w:left w:val="nil" w:sz="6" w:space="0" w:color="auto"/>
              <w:bottom w:val="single" w:sz="8" w:space="0" w:color="000000"/>
              <w:right w:val="nil" w:sz="6" w:space="0" w:color="auto"/>
            </w:tcBorders>
          </w:tcPr>
          <w:p>
            <w:pPr>
              <w:pStyle w:val="TableParagraph"/>
              <w:spacing w:line="272" w:lineRule="exact"/>
              <w:ind w:right="607"/>
              <w:jc w:val="right"/>
              <w:rPr>
                <w:rFonts w:ascii="宋体" w:hAnsi="宋体" w:cs="宋体" w:eastAsia="宋体" w:hint="default"/>
                <w:sz w:val="21"/>
                <w:szCs w:val="21"/>
              </w:rPr>
            </w:pPr>
            <w:r>
              <w:rPr>
                <w:rFonts w:ascii="宋体" w:hAnsi="宋体" w:cs="宋体" w:eastAsia="宋体" w:hint="default"/>
                <w:b/>
                <w:bCs/>
                <w:sz w:val="21"/>
                <w:szCs w:val="21"/>
              </w:rPr>
              <w:t>使用年限（年）</w:t>
            </w:r>
            <w:r>
              <w:rPr>
                <w:rFonts w:ascii="宋体" w:hAnsi="宋体" w:cs="宋体" w:eastAsia="宋体" w:hint="default"/>
                <w:sz w:val="21"/>
                <w:szCs w:val="21"/>
              </w:rPr>
            </w:r>
          </w:p>
        </w:tc>
        <w:tc>
          <w:tcPr>
            <w:tcW w:w="1901" w:type="dxa"/>
            <w:tcBorders>
              <w:top w:val="single" w:sz="6" w:space="0" w:color="000000"/>
              <w:left w:val="nil" w:sz="6" w:space="0" w:color="auto"/>
              <w:bottom w:val="single" w:sz="8" w:space="0" w:color="000000"/>
              <w:right w:val="nil" w:sz="6" w:space="0" w:color="auto"/>
            </w:tcBorders>
          </w:tcPr>
          <w:p>
            <w:pPr>
              <w:pStyle w:val="TableParagraph"/>
              <w:spacing w:line="299" w:lineRule="exact"/>
              <w:ind w:right="502"/>
              <w:jc w:val="right"/>
              <w:rPr>
                <w:rFonts w:ascii="Calibri" w:hAnsi="Calibri" w:cs="Calibri" w:eastAsia="Calibri" w:hint="default"/>
                <w:sz w:val="21"/>
                <w:szCs w:val="21"/>
              </w:rPr>
            </w:pPr>
            <w:r>
              <w:rPr>
                <w:rFonts w:ascii="宋体" w:hAnsi="宋体" w:cs="宋体" w:eastAsia="宋体" w:hint="default"/>
                <w:b/>
                <w:bCs/>
                <w:sz w:val="21"/>
                <w:szCs w:val="21"/>
              </w:rPr>
              <w:t>残值率</w:t>
            </w:r>
            <w:r>
              <w:rPr>
                <w:rFonts w:ascii="Calibri" w:hAnsi="Calibri" w:cs="Calibri" w:eastAsia="Calibri" w:hint="default"/>
                <w:b/>
                <w:bCs/>
                <w:sz w:val="21"/>
                <w:szCs w:val="21"/>
              </w:rPr>
              <w:t>%</w:t>
            </w:r>
            <w:r>
              <w:rPr>
                <w:rFonts w:ascii="Calibri" w:hAnsi="Calibri" w:cs="Calibri" w:eastAsia="Calibri" w:hint="default"/>
                <w:sz w:val="21"/>
                <w:szCs w:val="21"/>
              </w:rPr>
            </w:r>
          </w:p>
        </w:tc>
        <w:tc>
          <w:tcPr>
            <w:tcW w:w="1510" w:type="dxa"/>
            <w:tcBorders>
              <w:top w:val="single" w:sz="6" w:space="0" w:color="000000"/>
              <w:left w:val="nil" w:sz="6" w:space="0" w:color="auto"/>
              <w:bottom w:val="single" w:sz="8" w:space="0" w:color="000000"/>
              <w:right w:val="nil" w:sz="6" w:space="0" w:color="auto"/>
            </w:tcBorders>
          </w:tcPr>
          <w:p>
            <w:pPr>
              <w:pStyle w:val="TableParagraph"/>
              <w:spacing w:line="299" w:lineRule="exact"/>
              <w:ind w:right="4"/>
              <w:jc w:val="right"/>
              <w:rPr>
                <w:rFonts w:ascii="Calibri" w:hAnsi="Calibri" w:cs="Calibri" w:eastAsia="Calibri" w:hint="default"/>
                <w:sz w:val="21"/>
                <w:szCs w:val="21"/>
              </w:rPr>
            </w:pPr>
            <w:r>
              <w:rPr>
                <w:rFonts w:ascii="宋体" w:hAnsi="宋体" w:cs="宋体" w:eastAsia="宋体" w:hint="default"/>
                <w:b/>
                <w:bCs/>
                <w:sz w:val="21"/>
                <w:szCs w:val="21"/>
              </w:rPr>
              <w:t>年折旧率</w:t>
            </w:r>
            <w:r>
              <w:rPr>
                <w:rFonts w:ascii="Calibri" w:hAnsi="Calibri" w:cs="Calibri" w:eastAsia="Calibri" w:hint="default"/>
                <w:b/>
                <w:bCs/>
                <w:sz w:val="21"/>
                <w:szCs w:val="21"/>
              </w:rPr>
              <w:t>%</w:t>
            </w:r>
            <w:r>
              <w:rPr>
                <w:rFonts w:ascii="Calibri" w:hAnsi="Calibri" w:cs="Calibri" w:eastAsia="Calibri" w:hint="default"/>
                <w:sz w:val="21"/>
                <w:szCs w:val="21"/>
              </w:rPr>
            </w:r>
          </w:p>
        </w:tc>
      </w:tr>
      <w:tr>
        <w:trPr>
          <w:trHeight w:val="346" w:hRule="exact"/>
        </w:trPr>
        <w:tc>
          <w:tcPr>
            <w:tcW w:w="2147"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9"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963"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607"/>
              <w:jc w:val="right"/>
              <w:rPr>
                <w:rFonts w:ascii="Calibri" w:hAnsi="Calibri" w:cs="Calibri" w:eastAsia="Calibri" w:hint="default"/>
                <w:sz w:val="21"/>
                <w:szCs w:val="21"/>
              </w:rPr>
            </w:pPr>
            <w:r>
              <w:rPr>
                <w:rFonts w:ascii="Calibri"/>
                <w:sz w:val="21"/>
              </w:rPr>
              <w:t>20</w:t>
            </w:r>
          </w:p>
        </w:tc>
        <w:tc>
          <w:tcPr>
            <w:tcW w:w="1901"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503"/>
              <w:jc w:val="right"/>
              <w:rPr>
                <w:rFonts w:ascii="Calibri" w:hAnsi="Calibri" w:cs="Calibri" w:eastAsia="Calibri" w:hint="default"/>
                <w:sz w:val="21"/>
                <w:szCs w:val="21"/>
              </w:rPr>
            </w:pPr>
            <w:r>
              <w:rPr>
                <w:rFonts w:ascii="Calibri"/>
                <w:w w:val="100"/>
                <w:sz w:val="21"/>
              </w:rPr>
              <w:t>5</w:t>
            </w:r>
          </w:p>
        </w:tc>
        <w:tc>
          <w:tcPr>
            <w:tcW w:w="1510"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6"/>
              <w:jc w:val="right"/>
              <w:rPr>
                <w:rFonts w:ascii="Calibri" w:hAnsi="Calibri" w:cs="Calibri" w:eastAsia="Calibri" w:hint="default"/>
                <w:sz w:val="21"/>
                <w:szCs w:val="21"/>
              </w:rPr>
            </w:pPr>
            <w:r>
              <w:rPr>
                <w:rFonts w:ascii="Calibri"/>
                <w:spacing w:val="-1"/>
                <w:sz w:val="21"/>
              </w:rPr>
              <w:t>4.75</w:t>
            </w:r>
          </w:p>
        </w:tc>
      </w:tr>
    </w:tbl>
    <w:p>
      <w:pPr>
        <w:pStyle w:val="BodyText"/>
        <w:spacing w:line="240" w:lineRule="auto" w:before="79"/>
        <w:ind w:right="0"/>
        <w:jc w:val="both"/>
      </w:pPr>
      <w:r>
        <w:rPr/>
        <w:t>采用成本模式进行后续计量的投资性房地产，计提资产减值方法见附注二、</w:t>
      </w:r>
      <w:r>
        <w:rPr>
          <w:rFonts w:ascii="Calibri" w:hAnsi="Calibri" w:cs="Calibri" w:eastAsia="Calibri" w:hint="default"/>
        </w:rPr>
        <w:t>26</w:t>
      </w:r>
      <w:r>
        <w:rPr/>
        <w:t>。</w:t>
      </w:r>
    </w:p>
    <w:p>
      <w:pPr>
        <w:pStyle w:val="BodyText"/>
        <w:spacing w:line="312" w:lineRule="exact" w:before="214"/>
        <w:ind w:right="138"/>
        <w:jc w:val="both"/>
      </w:pPr>
      <w:r>
        <w:rPr/>
        <w:t>投资性房地产出售、转让、报废或毁损的处置收入扣除其账面价值和相关税费后的</w:t>
      </w:r>
      <w:r>
        <w:rPr>
          <w:spacing w:val="-77"/>
        </w:rPr>
        <w:t> </w:t>
      </w:r>
      <w:r>
        <w:rPr>
          <w:spacing w:val="-77"/>
        </w:rPr>
      </w:r>
      <w:r>
        <w:rPr/>
        <w:t>差额计入当期损益。</w:t>
      </w:r>
    </w:p>
    <w:p>
      <w:pPr>
        <w:spacing w:line="259" w:lineRule="auto" w:before="213"/>
        <w:ind w:left="558"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Calibri" w:hAnsi="Calibri" w:cs="Calibri" w:eastAsia="Calibri" w:hint="default"/>
          <w:sz w:val="21"/>
          <w:szCs w:val="21"/>
        </w:rPr>
        <w:t>1</w:t>
      </w:r>
      <w:r>
        <w:rPr>
          <w:rFonts w:ascii="宋体" w:hAnsi="宋体" w:cs="宋体" w:eastAsia="宋体" w:hint="default"/>
          <w:sz w:val="21"/>
          <w:szCs w:val="21"/>
        </w:rPr>
        <w:t>、采用成本模式的，披露投资性房地产的折旧或摊销方法以及减值准备计提依据；</w:t>
      </w:r>
      <w:r>
        <w:rPr>
          <w:rFonts w:ascii="宋体" w:hAnsi="宋体" w:cs="宋体" w:eastAsia="宋体" w:hint="default"/>
          <w:w w:val="100"/>
          <w:sz w:val="21"/>
          <w:szCs w:val="21"/>
        </w:rPr>
        <w:t> </w:t>
      </w:r>
      <w:r>
        <w:rPr>
          <w:rFonts w:ascii="Calibri" w:hAnsi="Calibri" w:cs="Calibri" w:eastAsia="Calibri" w:hint="default"/>
          <w:spacing w:val="-3"/>
          <w:sz w:val="21"/>
          <w:szCs w:val="21"/>
        </w:rPr>
        <w:t>2</w:t>
      </w:r>
      <w:r>
        <w:rPr>
          <w:rFonts w:ascii="宋体" w:hAnsi="宋体" w:cs="宋体" w:eastAsia="宋体" w:hint="default"/>
          <w:spacing w:val="-3"/>
          <w:sz w:val="21"/>
          <w:szCs w:val="21"/>
        </w:rPr>
        <w:t>、采用公允价值模式的，应披露该项会计政策选择的依据，包括认定投资性房地产所在地有活</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跃的房地产交易市场的依据；公司能够从房地产交易市场取得同类或类似房地产的市场价格及</w:t>
      </w:r>
      <w:r>
        <w:rPr>
          <w:rFonts w:ascii="宋体" w:hAnsi="宋体" w:cs="宋体" w:eastAsia="宋体" w:hint="default"/>
          <w:w w:val="100"/>
          <w:sz w:val="21"/>
          <w:szCs w:val="21"/>
        </w:rPr>
        <w:t> </w:t>
      </w:r>
      <w:r>
        <w:rPr>
          <w:rFonts w:ascii="宋体" w:hAnsi="宋体" w:cs="宋体" w:eastAsia="宋体" w:hint="default"/>
          <w:sz w:val="21"/>
          <w:szCs w:val="21"/>
        </w:rPr>
        <w:t>其他相关信息，从而对投资性房地产的公允价值进行估计的依据；同时说明对投资性房地产的</w:t>
      </w:r>
      <w:r>
        <w:rPr>
          <w:rFonts w:ascii="宋体" w:hAnsi="宋体" w:cs="宋体" w:eastAsia="宋体" w:hint="default"/>
          <w:w w:val="100"/>
          <w:sz w:val="21"/>
          <w:szCs w:val="21"/>
        </w:rPr>
        <w:t> </w:t>
      </w:r>
      <w:r>
        <w:rPr>
          <w:rFonts w:ascii="宋体" w:hAnsi="宋体" w:cs="宋体" w:eastAsia="宋体" w:hint="default"/>
          <w:sz w:val="21"/>
          <w:szCs w:val="21"/>
        </w:rPr>
        <w:t>公允价值进行估计时涉及的关键假设和主要不确定因素。</w:t>
      </w:r>
    </w:p>
    <w:p>
      <w:pPr>
        <w:spacing w:line="240" w:lineRule="auto" w:before="6"/>
        <w:rPr>
          <w:rFonts w:ascii="宋体" w:hAnsi="宋体" w:cs="宋体" w:eastAsia="宋体" w:hint="default"/>
          <w:sz w:val="24"/>
          <w:szCs w:val="24"/>
        </w:rPr>
      </w:pPr>
    </w:p>
    <w:p>
      <w:pPr>
        <w:spacing w:before="0"/>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558" w:right="208" w:firstLine="0"/>
        <w:jc w:val="both"/>
        <w:rPr>
          <w:rFonts w:ascii="宋体" w:hAnsi="宋体" w:cs="宋体" w:eastAsia="宋体" w:hint="default"/>
          <w:sz w:val="21"/>
          <w:szCs w:val="21"/>
        </w:rPr>
      </w:pPr>
      <w:r>
        <w:rPr>
          <w:rFonts w:ascii="宋体" w:hAnsi="宋体" w:cs="宋体" w:eastAsia="宋体" w:hint="default"/>
          <w:spacing w:val="-2"/>
          <w:sz w:val="21"/>
          <w:szCs w:val="21"/>
        </w:rPr>
        <w:t>本公司固定资产是指为生产商品、提供劳务、出租或经营管理而持有的，使用寿命超过一个会</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计年度的有形资产。与该固定资产有关的经济利益很可能流入企业，并且该固定资产的成本能</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够可靠地计量时，固定资产才能予以确认。本公司固定资产按照取得时的实际成本进行初始计</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量。</w:t>
      </w:r>
    </w:p>
    <w:p>
      <w:pPr>
        <w:spacing w:line="240" w:lineRule="auto" w:before="7"/>
        <w:rPr>
          <w:rFonts w:ascii="宋体" w:hAnsi="宋体" w:cs="宋体" w:eastAsia="宋体" w:hint="default"/>
          <w:sz w:val="23"/>
          <w:szCs w:val="23"/>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）融资租入固定资产的认定依据、计价方法</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558" w:right="208" w:firstLine="0"/>
        <w:jc w:val="both"/>
        <w:rPr>
          <w:rFonts w:ascii="宋体" w:hAnsi="宋体" w:cs="宋体" w:eastAsia="宋体" w:hint="default"/>
          <w:sz w:val="21"/>
          <w:szCs w:val="21"/>
        </w:rPr>
      </w:pPr>
      <w:r>
        <w:rPr>
          <w:rFonts w:ascii="宋体" w:hAnsi="宋体" w:cs="宋体" w:eastAsia="宋体" w:hint="default"/>
          <w:spacing w:val="-2"/>
          <w:sz w:val="21"/>
          <w:szCs w:val="21"/>
        </w:rPr>
        <w:t>本公司确定各类固定资产的年折旧率如下：当本公司租入的固定资产符合下列一项或数项标准</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时，确认为融资租入固定资产：①在租赁期届满时，租赁资产的所有权转移给本公司。②本公</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2"/>
          <w:sz w:val="21"/>
          <w:szCs w:val="21"/>
        </w:rPr>
        <w:t>司有购买租赁资产的选择权，所订立的购买价款预计将远低于行使选择权时租赁资产的公允价</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值，因而在租赁开始日就可以合理确定本公司将会行使这种选择权。③即使资产的所有权不转</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移，但租赁期占租赁资产使用寿命的大部分。④本公司在租赁开始日的最低租赁付款额现值，</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2"/>
          <w:sz w:val="21"/>
          <w:szCs w:val="21"/>
        </w:rPr>
        <w:t>几乎相当于租赁开始日租赁资产公允价值。⑤租赁资产性质特殊，如果不作较大改造，只有本</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公司才能使用。融资租赁租入的固定资产，按租赁开始日租赁资产公允价值与最低租赁付款额</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的现值两者中较低者，作为入账价值。最低租赁付款额作为长期应付款的入账价值，其差额作</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为未确认融资费用。在租赁谈判和签订租赁合同过程中发生的，可归属于租赁项目的手续费、</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律师费、差旅费、印花税等初始直接费用，计入租入资产价值。未确认融资费用在租赁期内各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个期间采用实际利率法进行分摊。融资租入的固定资产采用与自有固定资产一致的政策计提租</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赁资产折旧。能够合理确定租赁期届满时将会取得租赁资产所有权的，在租赁资产尚可使用年</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限内计提折旧；无法合理确定租赁期届满时能够取得租赁资产所有权的，在租赁期与租赁资产</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尚可使用年限两者中较短的期间内计提折旧。</w:t>
      </w:r>
    </w:p>
    <w:p>
      <w:pPr>
        <w:spacing w:after="0" w:line="273" w:lineRule="auto"/>
        <w:jc w:val="both"/>
        <w:rPr>
          <w:rFonts w:ascii="宋体" w:hAnsi="宋体" w:cs="宋体" w:eastAsia="宋体" w:hint="default"/>
          <w:sz w:val="21"/>
          <w:szCs w:val="21"/>
        </w:rPr>
        <w:sectPr>
          <w:pgSz w:w="11910" w:h="16840"/>
          <w:pgMar w:header="884" w:footer="1007" w:top="1160" w:bottom="1200" w:left="1240" w:right="1280"/>
        </w:sectPr>
      </w:pPr>
    </w:p>
    <w:p>
      <w:pPr>
        <w:spacing w:line="240" w:lineRule="auto" w:before="4"/>
        <w:rPr>
          <w:rFonts w:ascii="宋体" w:hAnsi="宋体" w:cs="宋体" w:eastAsia="宋体" w:hint="default"/>
          <w:sz w:val="16"/>
          <w:szCs w:val="16"/>
        </w:rPr>
      </w:pPr>
    </w:p>
    <w:p>
      <w:pPr>
        <w:spacing w:before="36"/>
        <w:ind w:left="558"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02"/>
        <w:jc w:val="left"/>
      </w:pPr>
      <w:r>
        <w:rPr>
          <w:spacing w:val="-2"/>
        </w:rPr>
        <w:t>本公司采用年限平均法计提折旧。固定资产自达到预定可使用状态时开始计提折旧，</w:t>
      </w:r>
      <w:r>
        <w:rPr>
          <w:spacing w:val="-116"/>
        </w:rPr>
        <w:t> </w:t>
      </w:r>
      <w:r>
        <w:rPr>
          <w:spacing w:val="-116"/>
        </w:rPr>
      </w:r>
      <w:r>
        <w:rPr/>
        <w:t>终止确认时或划分为持有待售非流动资产时停止计提折旧。在不考虑减值准备的情</w:t>
      </w:r>
      <w:r>
        <w:rPr>
          <w:spacing w:val="-77"/>
        </w:rPr>
        <w:t> </w:t>
      </w:r>
      <w:r>
        <w:rPr>
          <w:spacing w:val="-77"/>
        </w:rPr>
      </w:r>
      <w:r>
        <w:rPr/>
        <w:t>况下，按固定资产类别、预计使用寿命和预计残值，本公司确定各类固定资产的年</w:t>
      </w:r>
      <w:r>
        <w:rPr>
          <w:spacing w:val="-77"/>
        </w:rPr>
        <w:t> </w:t>
      </w:r>
      <w:r>
        <w:rPr>
          <w:spacing w:val="-77"/>
        </w:rPr>
      </w:r>
      <w:r>
        <w:rPr/>
        <w:t>折旧率如下：</w:t>
      </w:r>
    </w:p>
    <w:p>
      <w:pPr>
        <w:spacing w:line="240" w:lineRule="auto" w:before="3"/>
        <w:rPr>
          <w:rFonts w:ascii="宋体" w:hAnsi="宋体" w:cs="宋体" w:eastAsia="宋体" w:hint="default"/>
          <w:sz w:val="17"/>
          <w:szCs w:val="17"/>
        </w:rPr>
      </w:pPr>
    </w:p>
    <w:tbl>
      <w:tblPr>
        <w:tblW w:w="0" w:type="auto"/>
        <w:jc w:val="left"/>
        <w:tblInd w:w="536" w:type="dxa"/>
        <w:tblLayout w:type="fixed"/>
        <w:tblCellMar>
          <w:top w:w="0" w:type="dxa"/>
          <w:left w:w="0" w:type="dxa"/>
          <w:bottom w:w="0" w:type="dxa"/>
          <w:right w:w="0" w:type="dxa"/>
        </w:tblCellMar>
        <w:tblLook w:val="01E0"/>
      </w:tblPr>
      <w:tblGrid>
        <w:gridCol w:w="2278"/>
        <w:gridCol w:w="1937"/>
        <w:gridCol w:w="2028"/>
        <w:gridCol w:w="2494"/>
      </w:tblGrid>
      <w:tr>
        <w:trPr>
          <w:trHeight w:val="322"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sz w:val="21"/>
                <w:szCs w:val="21"/>
              </w:rPr>
            </w:r>
          </w:p>
        </w:tc>
        <w:tc>
          <w:tcPr>
            <w:tcW w:w="1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折旧年限（年）</w:t>
            </w:r>
            <w:r>
              <w:rPr>
                <w:rFonts w:ascii="宋体" w:hAnsi="宋体" w:cs="宋体" w:eastAsia="宋体" w:hint="default"/>
                <w:sz w:val="21"/>
                <w:szCs w:val="21"/>
              </w:rPr>
            </w:r>
          </w:p>
        </w:tc>
        <w:tc>
          <w:tcPr>
            <w:tcW w:w="2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2"/>
              <w:jc w:val="center"/>
              <w:rPr>
                <w:rFonts w:ascii="宋体" w:hAnsi="宋体" w:cs="宋体" w:eastAsia="宋体" w:hint="default"/>
                <w:sz w:val="21"/>
                <w:szCs w:val="21"/>
              </w:rPr>
            </w:pPr>
            <w:r>
              <w:rPr>
                <w:rFonts w:ascii="宋体" w:hAnsi="宋体" w:cs="宋体" w:eastAsia="宋体" w:hint="default"/>
                <w:b/>
                <w:bCs/>
                <w:sz w:val="21"/>
                <w:szCs w:val="21"/>
              </w:rPr>
              <w:t>残值率（</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b/>
                <w:bCs/>
                <w:sz w:val="21"/>
                <w:szCs w:val="21"/>
              </w:rPr>
              <w:t>年折旧率（</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2"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房屋及建筑物</w:t>
            </w:r>
          </w:p>
        </w:tc>
        <w:tc>
          <w:tcPr>
            <w:tcW w:w="19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
              <w:jc w:val="center"/>
              <w:rPr>
                <w:rFonts w:ascii="Calibri" w:hAnsi="Calibri" w:cs="Calibri" w:eastAsia="Calibri" w:hint="default"/>
                <w:sz w:val="21"/>
                <w:szCs w:val="21"/>
              </w:rPr>
            </w:pPr>
            <w:r>
              <w:rPr>
                <w:rFonts w:ascii="Calibri"/>
                <w:sz w:val="21"/>
              </w:rPr>
              <w:t>40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5%</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2.38%</w:t>
            </w:r>
          </w:p>
        </w:tc>
      </w:tr>
      <w:tr>
        <w:trPr>
          <w:trHeight w:val="322"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机器设备</w:t>
            </w:r>
          </w:p>
        </w:tc>
        <w:tc>
          <w:tcPr>
            <w:tcW w:w="1937" w:type="dxa"/>
            <w:tcBorders>
              <w:top w:val="single" w:sz="4" w:space="0" w:color="000000"/>
              <w:left w:val="single" w:sz="13" w:space="0" w:color="D2D2D2"/>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4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办公设备</w:t>
            </w:r>
          </w:p>
        </w:tc>
        <w:tc>
          <w:tcPr>
            <w:tcW w:w="19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w w:val="100"/>
                <w:sz w:val="21"/>
              </w:rPr>
              <w:t>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5%</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19%</w:t>
            </w:r>
          </w:p>
        </w:tc>
      </w:tr>
      <w:tr>
        <w:trPr>
          <w:trHeight w:val="325"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运输设备</w:t>
            </w:r>
          </w:p>
        </w:tc>
        <w:tc>
          <w:tcPr>
            <w:tcW w:w="19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w w:val="100"/>
                <w:sz w:val="21"/>
              </w:rPr>
              <w:t>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5%</w:t>
            </w:r>
          </w:p>
        </w:tc>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19%</w:t>
            </w:r>
          </w:p>
        </w:tc>
      </w:tr>
    </w:tbl>
    <w:p>
      <w:pPr>
        <w:spacing w:line="240" w:lineRule="auto" w:before="3"/>
        <w:rPr>
          <w:rFonts w:ascii="宋体" w:hAnsi="宋体" w:cs="宋体" w:eastAsia="宋体" w:hint="default"/>
          <w:sz w:val="19"/>
          <w:szCs w:val="19"/>
        </w:rPr>
      </w:pPr>
    </w:p>
    <w:p>
      <w:pPr>
        <w:spacing w:before="36"/>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）固定资产的减值测试方法、减值准备计提方法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238"/>
        <w:jc w:val="both"/>
      </w:pPr>
      <w:r>
        <w:rPr/>
        <w:t>本公司对子公司、联营企业和合营企业的长期股权投资、采用成本模式进行后续计</w:t>
      </w:r>
      <w:r>
        <w:rPr>
          <w:spacing w:val="-77"/>
        </w:rPr>
        <w:t> </w:t>
      </w:r>
      <w:r>
        <w:rPr>
          <w:spacing w:val="-77"/>
        </w:rPr>
      </w:r>
      <w:r>
        <w:rPr/>
        <w:t>量的投资性房地产、固定资产、在建工程、无形资产、商誉等（存货、按公允价值</w:t>
      </w:r>
      <w:r>
        <w:rPr>
          <w:spacing w:val="-77"/>
        </w:rPr>
        <w:t> </w:t>
      </w:r>
      <w:r>
        <w:rPr>
          <w:spacing w:val="-77"/>
        </w:rPr>
      </w:r>
      <w:r>
        <w:rPr/>
        <w:t>模式计量的投资性房地产、递延所得税资产、金融资产除外）的资产减值，按以下</w:t>
      </w:r>
      <w:r>
        <w:rPr>
          <w:spacing w:val="-77"/>
        </w:rPr>
        <w:t> </w:t>
      </w:r>
      <w:r>
        <w:rPr>
          <w:spacing w:val="-77"/>
        </w:rPr>
      </w:r>
      <w:r>
        <w:rPr/>
        <w:t>方法确定：</w:t>
      </w:r>
    </w:p>
    <w:p>
      <w:pPr>
        <w:pStyle w:val="BodyText"/>
        <w:spacing w:line="237" w:lineRule="auto" w:before="188"/>
        <w:ind w:right="233"/>
        <w:jc w:val="both"/>
      </w:pPr>
      <w:r>
        <w:rPr/>
        <w:t>本公司于资产负债表日判断资产是否存在可能发生减值的迹象，存在减值迹象的，</w:t>
      </w:r>
      <w:r>
        <w:rPr>
          <w:spacing w:val="-77"/>
        </w:rPr>
        <w:t> </w:t>
      </w:r>
      <w:r>
        <w:rPr>
          <w:spacing w:val="-77"/>
        </w:rPr>
      </w:r>
      <w:r>
        <w:rPr/>
        <w:t>本公司将估计其可收回金额，进行减值测试。对因企业合并所形成的商誉、使用寿</w:t>
      </w:r>
      <w:r>
        <w:rPr>
          <w:spacing w:val="-72"/>
        </w:rPr>
        <w:t> </w:t>
      </w:r>
      <w:r>
        <w:rPr>
          <w:spacing w:val="-72"/>
        </w:rPr>
      </w:r>
      <w:r>
        <w:rPr/>
        <w:t>命不确定的无形资产和尚未达到可使用状态的无形资产无论是否存在减值迹象，每</w:t>
      </w:r>
      <w:r>
        <w:rPr>
          <w:spacing w:val="-77"/>
        </w:rPr>
        <w:t> </w:t>
      </w:r>
      <w:r>
        <w:rPr>
          <w:spacing w:val="-77"/>
        </w:rPr>
      </w:r>
      <w:r>
        <w:rPr/>
        <w:t>年都进行减值测试。</w:t>
      </w:r>
    </w:p>
    <w:p>
      <w:pPr>
        <w:spacing w:line="240" w:lineRule="auto" w:before="9"/>
        <w:rPr>
          <w:rFonts w:ascii="宋体" w:hAnsi="宋体" w:cs="宋体" w:eastAsia="宋体" w:hint="default"/>
          <w:sz w:val="18"/>
          <w:szCs w:val="18"/>
        </w:rPr>
      </w:pPr>
    </w:p>
    <w:p>
      <w:pPr>
        <w:pStyle w:val="BodyText"/>
        <w:spacing w:line="312" w:lineRule="exact"/>
        <w:ind w:right="238"/>
        <w:jc w:val="both"/>
      </w:pPr>
      <w:r>
        <w:rPr/>
        <w:t>可收回金额根据资产的公允价值减去处置费用后的净额与资产预计未来现金流量的</w:t>
      </w:r>
      <w:r>
        <w:rPr>
          <w:spacing w:val="-77"/>
        </w:rPr>
        <w:t> </w:t>
      </w:r>
      <w:r>
        <w:rPr>
          <w:spacing w:val="-77"/>
        </w:rPr>
      </w:r>
      <w:r>
        <w:rPr/>
        <w:t>现值两者之间较高者确定。本公司以单项资产为基础估计其可收回金额；难以对单</w:t>
      </w:r>
      <w:r>
        <w:rPr>
          <w:spacing w:val="-77"/>
        </w:rPr>
        <w:t> </w:t>
      </w:r>
      <w:r>
        <w:rPr>
          <w:spacing w:val="-77"/>
        </w:rPr>
      </w:r>
      <w:r>
        <w:rPr/>
        <w:t>项资产的可收回金额进行估计的，以该资产所属的资产组为基础确定资产组的可收</w:t>
      </w:r>
      <w:r>
        <w:rPr>
          <w:spacing w:val="-77"/>
        </w:rPr>
        <w:t> </w:t>
      </w:r>
      <w:r>
        <w:rPr>
          <w:spacing w:val="-77"/>
        </w:rPr>
      </w:r>
      <w:r>
        <w:rPr/>
        <w:t>回金额。资产组的认定，以资产组产生的主要现金流入是否独立于其他资产或者资</w:t>
      </w:r>
      <w:r>
        <w:rPr>
          <w:spacing w:val="-77"/>
        </w:rPr>
        <w:t> </w:t>
      </w:r>
      <w:r>
        <w:rPr>
          <w:spacing w:val="-77"/>
        </w:rPr>
      </w:r>
      <w:r>
        <w:rPr/>
        <w:t>产组的现金流入为依据。</w:t>
      </w:r>
    </w:p>
    <w:p>
      <w:pPr>
        <w:pStyle w:val="BodyText"/>
        <w:spacing w:line="312" w:lineRule="exact" w:before="216"/>
        <w:ind w:right="238"/>
        <w:jc w:val="both"/>
      </w:pPr>
      <w:r>
        <w:rPr/>
        <w:t>当资产或资产组的可收回金额低于其账面价值时，本公司将其账面价值减记至可收</w:t>
      </w:r>
      <w:r>
        <w:rPr>
          <w:spacing w:val="-77"/>
        </w:rPr>
        <w:t> </w:t>
      </w:r>
      <w:r>
        <w:rPr>
          <w:spacing w:val="-77"/>
        </w:rPr>
      </w:r>
      <w:r>
        <w:rPr/>
        <w:t>回金额，减记的金额计入当期损益，同时计提相应的资产减值准备。</w:t>
      </w:r>
    </w:p>
    <w:p>
      <w:pPr>
        <w:spacing w:line="240" w:lineRule="auto" w:before="7"/>
        <w:rPr>
          <w:rFonts w:ascii="宋体" w:hAnsi="宋体" w:cs="宋体" w:eastAsia="宋体" w:hint="default"/>
          <w:sz w:val="16"/>
          <w:szCs w:val="16"/>
        </w:rPr>
      </w:pPr>
    </w:p>
    <w:p>
      <w:pPr>
        <w:pStyle w:val="BodyText"/>
        <w:spacing w:line="312" w:lineRule="exact"/>
        <w:ind w:right="238"/>
        <w:jc w:val="both"/>
      </w:pPr>
      <w:r>
        <w:rPr/>
        <w:t>就商誉的减值测试而言，对于因企业合并形成的商誉的账面价值，自购买日起按照</w:t>
      </w:r>
      <w:r>
        <w:rPr>
          <w:spacing w:val="-77"/>
        </w:rPr>
        <w:t> </w:t>
      </w:r>
      <w:r>
        <w:rPr>
          <w:spacing w:val="-77"/>
        </w:rPr>
      </w:r>
      <w:r>
        <w:rPr/>
        <w:t>合理的方法分摊至相关的资产组；难以分摊至相关的资产组的，将其分摊至相关的</w:t>
      </w:r>
      <w:r>
        <w:rPr>
          <w:spacing w:val="-77"/>
        </w:rPr>
        <w:t> </w:t>
      </w:r>
      <w:r>
        <w:rPr>
          <w:spacing w:val="-77"/>
        </w:rPr>
      </w:r>
      <w:r>
        <w:rPr/>
        <w:t>资产组组合。相关的资产组或资产组组合，是能够从企业合并的协同效应中受益的</w:t>
      </w:r>
      <w:r>
        <w:rPr>
          <w:spacing w:val="-77"/>
        </w:rPr>
        <w:t> </w:t>
      </w:r>
      <w:r>
        <w:rPr>
          <w:spacing w:val="-77"/>
        </w:rPr>
      </w:r>
      <w:r>
        <w:rPr/>
        <w:t>资产组或者资产组组合，且不大于本公司确定的报告分部。</w:t>
      </w:r>
    </w:p>
    <w:p>
      <w:pPr>
        <w:spacing w:line="240" w:lineRule="auto" w:before="7"/>
        <w:rPr>
          <w:rFonts w:ascii="宋体" w:hAnsi="宋体" w:cs="宋体" w:eastAsia="宋体" w:hint="default"/>
          <w:sz w:val="16"/>
          <w:szCs w:val="16"/>
        </w:rPr>
      </w:pPr>
    </w:p>
    <w:p>
      <w:pPr>
        <w:pStyle w:val="BodyText"/>
        <w:spacing w:line="312" w:lineRule="exact"/>
        <w:ind w:right="233"/>
        <w:jc w:val="both"/>
      </w:pPr>
      <w:r>
        <w:rPr/>
        <w:t>减值测试时，如与商誉相关的资产组或者资产组组合存在减值迹象的，首先对不包</w:t>
      </w:r>
      <w:r>
        <w:rPr>
          <w:spacing w:val="-77"/>
        </w:rPr>
        <w:t> </w:t>
      </w:r>
      <w:r>
        <w:rPr>
          <w:spacing w:val="-77"/>
        </w:rPr>
      </w:r>
      <w:r>
        <w:rPr/>
        <w:t>含商誉的资产组或者资产组组合进行减值测试，计算可收回金额，确认相应的减值</w:t>
      </w:r>
      <w:r>
        <w:rPr>
          <w:spacing w:val="-77"/>
        </w:rPr>
        <w:t> </w:t>
      </w:r>
      <w:r>
        <w:rPr>
          <w:spacing w:val="-77"/>
        </w:rPr>
      </w:r>
      <w:r>
        <w:rPr/>
        <w:t>损失。然后对包含商誉的资产组或者资产组组合进行减值测试，比较其账面价值与</w:t>
      </w:r>
      <w:r>
        <w:rPr>
          <w:spacing w:val="-72"/>
        </w:rPr>
        <w:t> </w:t>
      </w:r>
      <w:r>
        <w:rPr>
          <w:spacing w:val="-72"/>
        </w:rPr>
      </w:r>
      <w:r>
        <w:rPr/>
        <w:t>可收回金额，如可收回金额低于账面价值的，确认商誉的减值损失。</w:t>
      </w:r>
    </w:p>
    <w:p>
      <w:pPr>
        <w:pStyle w:val="BodyText"/>
        <w:spacing w:line="240" w:lineRule="auto" w:before="185"/>
        <w:ind w:right="0"/>
        <w:jc w:val="both"/>
      </w:pPr>
      <w:r>
        <w:rPr/>
        <w:t>资产减值损失一经确认，在以后会计期间不再转回。</w:t>
      </w:r>
    </w:p>
    <w:p>
      <w:pPr>
        <w:spacing w:after="0" w:line="240" w:lineRule="auto"/>
        <w:jc w:val="both"/>
        <w:sectPr>
          <w:pgSz w:w="11910" w:h="16840"/>
          <w:pgMar w:header="884" w:footer="1007" w:top="1160" w:bottom="1200" w:left="1240" w:right="1180"/>
        </w:sectPr>
      </w:pPr>
    </w:p>
    <w:p>
      <w:pPr>
        <w:spacing w:line="240" w:lineRule="auto" w:before="4"/>
        <w:rPr>
          <w:rFonts w:ascii="宋体" w:hAnsi="宋体" w:cs="宋体" w:eastAsia="宋体" w:hint="default"/>
          <w:sz w:val="16"/>
          <w:szCs w:val="16"/>
        </w:rPr>
      </w:pPr>
    </w:p>
    <w:p>
      <w:pPr>
        <w:spacing w:line="520" w:lineRule="auto" w:before="36"/>
        <w:ind w:left="558" w:right="743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）其他说明</w:t>
      </w:r>
      <w:r>
        <w:rPr>
          <w:rFonts w:ascii="宋体" w:hAnsi="宋体" w:cs="宋体" w:eastAsia="宋体" w:hint="default"/>
          <w:b/>
          <w:bCs/>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、在建工程</w:t>
      </w:r>
      <w:r>
        <w:rPr>
          <w:rFonts w:ascii="宋体" w:hAnsi="宋体" w:cs="宋体" w:eastAsia="宋体" w:hint="default"/>
          <w:sz w:val="21"/>
          <w:szCs w:val="21"/>
        </w:rPr>
      </w:r>
    </w:p>
    <w:p>
      <w:pPr>
        <w:spacing w:before="49"/>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558" w:right="208" w:firstLine="0"/>
        <w:jc w:val="both"/>
        <w:rPr>
          <w:rFonts w:ascii="宋体" w:hAnsi="宋体" w:cs="宋体" w:eastAsia="宋体" w:hint="default"/>
          <w:sz w:val="21"/>
          <w:szCs w:val="21"/>
        </w:rPr>
      </w:pPr>
      <w:r>
        <w:rPr>
          <w:rFonts w:ascii="宋体" w:hAnsi="宋体" w:cs="宋体" w:eastAsia="宋体" w:hint="default"/>
          <w:spacing w:val="-2"/>
          <w:sz w:val="21"/>
          <w:szCs w:val="21"/>
        </w:rPr>
        <w:t>本公司在建工程成本按实际工程支出确定，包括在建期间发生的各项必要工程支出、工程达到</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预定可使用状态前的应予资本化的借款费用以及其他相关费用等。</w:t>
      </w:r>
    </w:p>
    <w:p>
      <w:pPr>
        <w:spacing w:line="240" w:lineRule="auto" w:before="7"/>
        <w:rPr>
          <w:rFonts w:ascii="宋体" w:hAnsi="宋体" w:cs="宋体" w:eastAsia="宋体" w:hint="default"/>
          <w:sz w:val="23"/>
          <w:szCs w:val="23"/>
        </w:rPr>
      </w:pPr>
    </w:p>
    <w:p>
      <w:pPr>
        <w:spacing w:line="506" w:lineRule="auto" w:before="0"/>
        <w:ind w:left="558" w:right="183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）在建工程结转为固定资产的标准和时点</w:t>
      </w:r>
      <w:r>
        <w:rPr>
          <w:rFonts w:ascii="宋体" w:hAnsi="宋体" w:cs="宋体" w:eastAsia="宋体" w:hint="default"/>
          <w:b/>
          <w:bCs/>
          <w:w w:val="100"/>
          <w:sz w:val="21"/>
          <w:szCs w:val="21"/>
        </w:rPr>
        <w:t> </w:t>
      </w:r>
      <w:r>
        <w:rPr>
          <w:rFonts w:ascii="宋体" w:hAnsi="宋体" w:cs="宋体" w:eastAsia="宋体" w:hint="default"/>
          <w:spacing w:val="-2"/>
          <w:sz w:val="21"/>
          <w:szCs w:val="21"/>
        </w:rPr>
        <w:t>在建工程在达到预定可使用状态时转入固定资产。</w:t>
      </w:r>
    </w:p>
    <w:p>
      <w:pPr>
        <w:spacing w:before="104"/>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34"/>
        <w:jc w:val="both"/>
      </w:pPr>
      <w:r>
        <w:rPr/>
        <w:t>本公司对子公司、联营企业和合营企业的长期股权投资、采用成本模式进行后续计</w:t>
      </w:r>
      <w:r>
        <w:rPr>
          <w:spacing w:val="-73"/>
        </w:rPr>
        <w:t> </w:t>
      </w:r>
      <w:r>
        <w:rPr>
          <w:spacing w:val="-73"/>
        </w:rPr>
      </w:r>
      <w:r>
        <w:rPr/>
        <w:t>量的投资性房地产、固定资产、在建工程、无形资产、商誉等（存货、按公允价值</w:t>
      </w:r>
      <w:r>
        <w:rPr>
          <w:spacing w:val="-77"/>
        </w:rPr>
        <w:t> </w:t>
      </w:r>
      <w:r>
        <w:rPr>
          <w:spacing w:val="-77"/>
        </w:rPr>
      </w:r>
      <w:r>
        <w:rPr/>
        <w:t>模式计量的投资性房地产、递延所得税资产、金融资产除外）的资产减值，按以下</w:t>
      </w:r>
      <w:r>
        <w:rPr>
          <w:spacing w:val="-77"/>
        </w:rPr>
        <w:t> </w:t>
      </w:r>
      <w:r>
        <w:rPr>
          <w:spacing w:val="-77"/>
        </w:rPr>
      </w:r>
      <w:r>
        <w:rPr/>
        <w:t>方法确定：</w:t>
      </w:r>
    </w:p>
    <w:p>
      <w:pPr>
        <w:spacing w:line="240" w:lineRule="auto" w:before="7"/>
        <w:rPr>
          <w:rFonts w:ascii="宋体" w:hAnsi="宋体" w:cs="宋体" w:eastAsia="宋体" w:hint="default"/>
          <w:sz w:val="16"/>
          <w:szCs w:val="16"/>
        </w:rPr>
      </w:pPr>
    </w:p>
    <w:p>
      <w:pPr>
        <w:pStyle w:val="BodyText"/>
        <w:spacing w:line="312" w:lineRule="exact"/>
        <w:ind w:right="138"/>
        <w:jc w:val="both"/>
      </w:pPr>
      <w:r>
        <w:rPr/>
        <w:t>本公司于资产负债表日判断资产是否存在可能发生减值的迹象，存在减值迹象的，</w:t>
      </w:r>
      <w:r>
        <w:rPr>
          <w:spacing w:val="-77"/>
        </w:rPr>
        <w:t> </w:t>
      </w:r>
      <w:r>
        <w:rPr>
          <w:spacing w:val="-77"/>
        </w:rPr>
      </w:r>
      <w:r>
        <w:rPr/>
        <w:t>本公司将估计其可收回金额，进行减值测试。对因企业合并所形成的商誉、使用寿</w:t>
      </w:r>
      <w:r>
        <w:rPr>
          <w:spacing w:val="-77"/>
        </w:rPr>
        <w:t> </w:t>
      </w:r>
      <w:r>
        <w:rPr>
          <w:spacing w:val="-77"/>
        </w:rPr>
      </w:r>
      <w:r>
        <w:rPr/>
        <w:t>命不确定的无形资产和尚未达到可使用状态的无形资产无论是否存在减值迹象，每</w:t>
      </w:r>
      <w:r>
        <w:rPr>
          <w:spacing w:val="-77"/>
        </w:rPr>
        <w:t> </w:t>
      </w:r>
      <w:r>
        <w:rPr>
          <w:spacing w:val="-77"/>
        </w:rPr>
      </w:r>
      <w:r>
        <w:rPr/>
        <w:t>年都进行减值测试。</w:t>
      </w:r>
    </w:p>
    <w:p>
      <w:pPr>
        <w:pStyle w:val="BodyText"/>
        <w:spacing w:line="312" w:lineRule="exact" w:before="216"/>
        <w:ind w:right="136"/>
        <w:jc w:val="both"/>
      </w:pPr>
      <w:r>
        <w:rPr/>
        <w:t>可收回金额根据资产的公允价值减去处置费用后的净额与资产预计未来现金流量的</w:t>
      </w:r>
      <w:r>
        <w:rPr>
          <w:spacing w:val="-77"/>
        </w:rPr>
        <w:t> </w:t>
      </w:r>
      <w:r>
        <w:rPr>
          <w:spacing w:val="-77"/>
        </w:rPr>
      </w:r>
      <w:r>
        <w:rPr/>
        <w:t>现值两者之间较高者确定。本公司以单项资产为基础估计其可收回金额；难以对单</w:t>
      </w:r>
      <w:r>
        <w:rPr>
          <w:spacing w:val="-75"/>
        </w:rPr>
        <w:t> </w:t>
      </w:r>
      <w:r>
        <w:rPr>
          <w:spacing w:val="-75"/>
        </w:rPr>
      </w:r>
      <w:r>
        <w:rPr/>
        <w:t>项资产的可收回金额进行估计的，以该资产所属的资产组为基础确定资产组的可收</w:t>
      </w:r>
      <w:r>
        <w:rPr>
          <w:spacing w:val="-77"/>
        </w:rPr>
        <w:t> </w:t>
      </w:r>
      <w:r>
        <w:rPr>
          <w:spacing w:val="-77"/>
        </w:rPr>
      </w:r>
      <w:r>
        <w:rPr/>
        <w:t>回金额。资产组的认定，以资产组产生的主要现金流入是否独立于其他资产或者资</w:t>
      </w:r>
      <w:r>
        <w:rPr>
          <w:spacing w:val="-77"/>
        </w:rPr>
        <w:t> </w:t>
      </w:r>
      <w:r>
        <w:rPr>
          <w:spacing w:val="-77"/>
        </w:rPr>
      </w:r>
      <w:r>
        <w:rPr/>
        <w:t>产组的现金流入为依据。</w:t>
      </w:r>
    </w:p>
    <w:p>
      <w:pPr>
        <w:spacing w:line="240" w:lineRule="auto" w:before="7"/>
        <w:rPr>
          <w:rFonts w:ascii="宋体" w:hAnsi="宋体" w:cs="宋体" w:eastAsia="宋体" w:hint="default"/>
          <w:sz w:val="16"/>
          <w:szCs w:val="16"/>
        </w:rPr>
      </w:pPr>
    </w:p>
    <w:p>
      <w:pPr>
        <w:pStyle w:val="BodyText"/>
        <w:spacing w:line="312" w:lineRule="exact"/>
        <w:ind w:right="138"/>
        <w:jc w:val="both"/>
      </w:pPr>
      <w:r>
        <w:rPr/>
        <w:t>当资产或资产组的可收回金额低于其账面价值时，本公司将其账面价值减记至可收</w:t>
      </w:r>
      <w:r>
        <w:rPr>
          <w:spacing w:val="-77"/>
        </w:rPr>
        <w:t> </w:t>
      </w:r>
      <w:r>
        <w:rPr>
          <w:spacing w:val="-77"/>
        </w:rPr>
      </w:r>
      <w:r>
        <w:rPr/>
        <w:t>回金额，减记的金额计入当期损益，同时计提相应的资产减值准备。</w:t>
      </w:r>
    </w:p>
    <w:p>
      <w:pPr>
        <w:pStyle w:val="BodyText"/>
        <w:spacing w:line="312" w:lineRule="exact" w:before="216"/>
        <w:ind w:right="136"/>
        <w:jc w:val="both"/>
      </w:pPr>
      <w:r>
        <w:rPr/>
        <w:t>就商誉的减值测试而言，对于因企业合并形成的商誉的账面价值，自购买日起按照</w:t>
      </w:r>
      <w:r>
        <w:rPr>
          <w:spacing w:val="-77"/>
        </w:rPr>
        <w:t> </w:t>
      </w:r>
      <w:r>
        <w:rPr>
          <w:spacing w:val="-77"/>
        </w:rPr>
      </w:r>
      <w:r>
        <w:rPr/>
        <w:t>合理的方法分摊至相关的资产组；难以分摊至相关的资产组的，将其分摊至相关的</w:t>
      </w:r>
      <w:r>
        <w:rPr>
          <w:spacing w:val="-77"/>
        </w:rPr>
        <w:t> </w:t>
      </w:r>
      <w:r>
        <w:rPr>
          <w:spacing w:val="-77"/>
        </w:rPr>
      </w:r>
      <w:r>
        <w:rPr/>
        <w:t>资产组组合。相关的资产组或资产组组合，是能够从企业合并的协同效应中受益的</w:t>
      </w:r>
      <w:r>
        <w:rPr>
          <w:spacing w:val="-76"/>
        </w:rPr>
        <w:t> </w:t>
      </w:r>
      <w:r>
        <w:rPr>
          <w:spacing w:val="-76"/>
        </w:rPr>
      </w:r>
      <w:r>
        <w:rPr/>
        <w:t>资产组或者资产组组合，且不大于本公司确定的报告分部。</w:t>
      </w:r>
    </w:p>
    <w:p>
      <w:pPr>
        <w:pStyle w:val="BodyText"/>
        <w:spacing w:line="237" w:lineRule="auto" w:before="188"/>
        <w:ind w:right="138"/>
        <w:jc w:val="both"/>
      </w:pPr>
      <w:r>
        <w:rPr/>
        <w:t>减值测试时，如与商誉相关的资产组或者资产组组合存在减值迹象的，首先对不包</w:t>
      </w:r>
      <w:r>
        <w:rPr>
          <w:spacing w:val="-77"/>
        </w:rPr>
        <w:t> </w:t>
      </w:r>
      <w:r>
        <w:rPr>
          <w:spacing w:val="-77"/>
        </w:rPr>
      </w:r>
      <w:r>
        <w:rPr/>
        <w:t>含商誉的资产组或者资产组组合进行减值测试，计算可收回金额，确认相应的减值</w:t>
      </w:r>
      <w:r>
        <w:rPr>
          <w:spacing w:val="-77"/>
        </w:rPr>
        <w:t> </w:t>
      </w:r>
      <w:r>
        <w:rPr>
          <w:spacing w:val="-77"/>
        </w:rPr>
      </w:r>
      <w:r>
        <w:rPr/>
        <w:t>损失。然后对包含商誉的资产组或者资产组组合进行减值测试，比较其账面价值与</w:t>
      </w:r>
      <w:r>
        <w:rPr>
          <w:spacing w:val="-77"/>
        </w:rPr>
        <w:t> </w:t>
      </w:r>
      <w:r>
        <w:rPr>
          <w:spacing w:val="-77"/>
        </w:rPr>
      </w:r>
      <w:r>
        <w:rPr/>
        <w:t>可收回金额，如可收回金额低于账面价值的，确认商誉的减值损失。</w:t>
      </w:r>
    </w:p>
    <w:p>
      <w:pPr>
        <w:spacing w:after="0" w:line="237" w:lineRule="auto"/>
        <w:jc w:val="both"/>
        <w:sectPr>
          <w:pgSz w:w="11910" w:h="16840"/>
          <w:pgMar w:header="884" w:footer="1007" w:top="1160" w:bottom="1200" w:left="1240" w:right="1280"/>
        </w:sectPr>
      </w:pPr>
    </w:p>
    <w:p>
      <w:pPr>
        <w:spacing w:line="240" w:lineRule="auto" w:before="13"/>
        <w:rPr>
          <w:rFonts w:ascii="宋体" w:hAnsi="宋体" w:cs="宋体" w:eastAsia="宋体" w:hint="default"/>
          <w:sz w:val="14"/>
          <w:szCs w:val="14"/>
        </w:rPr>
      </w:pPr>
    </w:p>
    <w:p>
      <w:pPr>
        <w:pStyle w:val="BodyText"/>
        <w:spacing w:line="240" w:lineRule="auto" w:before="26"/>
        <w:ind w:right="160"/>
        <w:jc w:val="left"/>
      </w:pPr>
      <w:r>
        <w:rPr/>
        <w:t>资产减值损失一经确认，在以后会计期间不再转回。</w:t>
      </w:r>
    </w:p>
    <w:p>
      <w:pPr>
        <w:spacing w:line="240" w:lineRule="auto" w:before="12"/>
        <w:rPr>
          <w:rFonts w:ascii="宋体" w:hAnsi="宋体" w:cs="宋体" w:eastAsia="宋体" w:hint="default"/>
          <w:sz w:val="24"/>
          <w:szCs w:val="24"/>
        </w:rPr>
      </w:pPr>
    </w:p>
    <w:p>
      <w:pPr>
        <w:spacing w:before="0"/>
        <w:ind w:left="558" w:right="1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、借款费用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16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160"/>
        <w:jc w:val="left"/>
      </w:pPr>
      <w:r>
        <w:rPr/>
        <w:t>（</w:t>
      </w:r>
      <w:r>
        <w:rPr>
          <w:rFonts w:ascii="Calibri" w:hAnsi="Calibri" w:cs="Calibri" w:eastAsia="Calibri" w:hint="default"/>
        </w:rPr>
        <w:t>1</w:t>
      </w:r>
      <w:r>
        <w:rPr/>
        <w:t>）借款费用资本化的确认原则</w:t>
      </w:r>
    </w:p>
    <w:p>
      <w:pPr>
        <w:pStyle w:val="BodyText"/>
        <w:spacing w:line="312" w:lineRule="exact" w:before="214"/>
        <w:ind w:right="178"/>
        <w:jc w:val="both"/>
      </w:pPr>
      <w:r>
        <w:rPr/>
        <w:t>本公司发生的借款费用，可直接归属于符合资本化条件的资产的购建或者生产的，</w:t>
      </w:r>
      <w:r>
        <w:rPr>
          <w:spacing w:val="-77"/>
        </w:rPr>
        <w:t> </w:t>
      </w:r>
      <w:r>
        <w:rPr>
          <w:spacing w:val="-77"/>
        </w:rPr>
      </w:r>
      <w:r>
        <w:rPr/>
        <w:t>予以资本化，计入相关资产成本；其他借款费用，在发生时根据其发生额确认为费</w:t>
      </w:r>
      <w:r>
        <w:rPr>
          <w:spacing w:val="-77"/>
        </w:rPr>
        <w:t> </w:t>
      </w:r>
      <w:r>
        <w:rPr>
          <w:spacing w:val="-77"/>
        </w:rPr>
      </w:r>
      <w:r>
        <w:rPr/>
        <w:t>用，计入当期损益。借款费用同时满足下列条件的，开始资本化：</w:t>
      </w:r>
    </w:p>
    <w:p>
      <w:pPr>
        <w:spacing w:line="240" w:lineRule="auto" w:before="7"/>
        <w:rPr>
          <w:rFonts w:ascii="宋体" w:hAnsi="宋体" w:cs="宋体" w:eastAsia="宋体" w:hint="default"/>
          <w:sz w:val="16"/>
          <w:szCs w:val="16"/>
        </w:rPr>
      </w:pPr>
    </w:p>
    <w:p>
      <w:pPr>
        <w:pStyle w:val="BodyText"/>
        <w:spacing w:line="312" w:lineRule="exact"/>
        <w:ind w:right="160"/>
        <w:jc w:val="left"/>
      </w:pPr>
      <w:r>
        <w:rPr/>
        <w:t>①</w:t>
      </w:r>
      <w:r>
        <w:rPr>
          <w:spacing w:val="33"/>
        </w:rPr>
        <w:t> </w:t>
      </w:r>
      <w:r>
        <w:rPr>
          <w:spacing w:val="-3"/>
        </w:rPr>
        <w:t>资产支出已经发生，资产支出包括为购建或者生产符合资本化条件的资产而以支</w:t>
      </w:r>
      <w:r>
        <w:rPr/>
        <w:t> 付现金、转移非现金资产或者承担带息债务形式发生的支出；</w:t>
      </w:r>
    </w:p>
    <w:p>
      <w:pPr>
        <w:pStyle w:val="BodyText"/>
        <w:spacing w:line="240" w:lineRule="auto" w:before="185"/>
        <w:ind w:right="160"/>
        <w:jc w:val="left"/>
      </w:pPr>
      <w:r>
        <w:rPr/>
        <w:t>②</w:t>
      </w:r>
      <w:r>
        <w:rPr>
          <w:spacing w:val="-1"/>
        </w:rPr>
        <w:t> </w:t>
      </w:r>
      <w:r>
        <w:rPr/>
        <w:t>借款费用已经发生；</w:t>
      </w:r>
    </w:p>
    <w:p>
      <w:pPr>
        <w:pStyle w:val="BodyText"/>
        <w:spacing w:line="240" w:lineRule="auto" w:before="214"/>
        <w:ind w:right="0"/>
        <w:jc w:val="left"/>
      </w:pPr>
      <w:r>
        <w:rPr/>
        <w:t>③</w:t>
      </w:r>
      <w:r>
        <w:rPr>
          <w:spacing w:val="-1"/>
        </w:rPr>
        <w:t> </w:t>
      </w:r>
      <w:r>
        <w:rPr/>
        <w:t>为使资产达到预定可使用或者可销售状态所必要的购建或者生产活动已经开始。</w:t>
      </w:r>
    </w:p>
    <w:p>
      <w:pPr>
        <w:spacing w:line="240" w:lineRule="auto" w:before="12"/>
        <w:rPr>
          <w:rFonts w:ascii="宋体" w:hAnsi="宋体" w:cs="宋体" w:eastAsia="宋体" w:hint="default"/>
          <w:sz w:val="24"/>
          <w:szCs w:val="24"/>
        </w:rPr>
      </w:pPr>
    </w:p>
    <w:p>
      <w:pPr>
        <w:spacing w:before="0"/>
        <w:ind w:left="558" w:right="16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74"/>
        <w:jc w:val="both"/>
      </w:pPr>
      <w:r>
        <w:rPr/>
        <w:t>本公司购建或者生产符合资本化条件的资产达到预定可使用或者可销售状态时，借</w:t>
      </w:r>
      <w:r>
        <w:rPr>
          <w:spacing w:val="-73"/>
        </w:rPr>
        <w:t> </w:t>
      </w:r>
      <w:r>
        <w:rPr>
          <w:spacing w:val="-73"/>
        </w:rPr>
      </w:r>
      <w:r>
        <w:rPr/>
        <w:t>款费用停止资本化。在符合资本化条件的资产达到预定可使用或者可销售状态之后</w:t>
      </w:r>
      <w:r>
        <w:rPr>
          <w:spacing w:val="-77"/>
        </w:rPr>
        <w:t> </w:t>
      </w:r>
      <w:r>
        <w:rPr>
          <w:spacing w:val="-77"/>
        </w:rPr>
      </w:r>
      <w:r>
        <w:rPr/>
        <w:t>所发生的借款费用，在发生时根据其发生额确认为费用，计入当期损益。</w:t>
      </w:r>
    </w:p>
    <w:p>
      <w:pPr>
        <w:spacing w:line="240" w:lineRule="auto" w:before="9"/>
        <w:rPr>
          <w:rFonts w:ascii="宋体" w:hAnsi="宋体" w:cs="宋体" w:eastAsia="宋体" w:hint="default"/>
          <w:sz w:val="22"/>
          <w:szCs w:val="22"/>
        </w:rPr>
      </w:pPr>
    </w:p>
    <w:p>
      <w:pPr>
        <w:spacing w:before="0"/>
        <w:ind w:left="558" w:right="16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60"/>
        <w:jc w:val="left"/>
      </w:pPr>
      <w:r>
        <w:rPr/>
        <w:t>符合资本化条件的资产在购建或者生产过程中发生非正常中断、且中断时间连续超</w:t>
      </w:r>
      <w:r>
        <w:rPr>
          <w:spacing w:val="-77"/>
        </w:rPr>
        <w:t> </w:t>
      </w:r>
      <w:r>
        <w:rPr>
          <w:spacing w:val="-77"/>
        </w:rPr>
      </w:r>
      <w:r>
        <w:rPr/>
        <w:t>过</w:t>
      </w:r>
      <w:r>
        <w:rPr>
          <w:rFonts w:ascii="Calibri" w:hAnsi="Calibri" w:cs="Calibri" w:eastAsia="Calibri" w:hint="default"/>
        </w:rPr>
        <w:t>3</w:t>
      </w:r>
      <w:r>
        <w:rPr/>
        <w:t>个月的，暂停借款费用的资本化正常中断期间的借款费用继续资本化。</w:t>
      </w:r>
    </w:p>
    <w:p>
      <w:pPr>
        <w:spacing w:line="240" w:lineRule="auto" w:before="9"/>
        <w:rPr>
          <w:rFonts w:ascii="宋体" w:hAnsi="宋体" w:cs="宋体" w:eastAsia="宋体" w:hint="default"/>
          <w:sz w:val="22"/>
          <w:szCs w:val="22"/>
        </w:rPr>
      </w:pPr>
    </w:p>
    <w:p>
      <w:pPr>
        <w:spacing w:line="520" w:lineRule="auto" w:before="0"/>
        <w:ind w:left="558" w:right="180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100"/>
          <w:sz w:val="21"/>
          <w:szCs w:val="21"/>
        </w:rPr>
        <w:t> </w:t>
      </w:r>
      <w:r>
        <w:rPr>
          <w:rFonts w:ascii="宋体" w:hAnsi="宋体" w:cs="宋体" w:eastAsia="宋体" w:hint="default"/>
          <w:spacing w:val="-2"/>
          <w:sz w:val="21"/>
          <w:szCs w:val="21"/>
        </w:rPr>
        <w:t>注：采用实际利率计算利息费用的，说明实际利率的计算过程。</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、生物资产</w:t>
      </w:r>
      <w:r>
        <w:rPr>
          <w:rFonts w:ascii="宋体" w:hAnsi="宋体" w:cs="宋体" w:eastAsia="宋体" w:hint="default"/>
          <w:sz w:val="21"/>
          <w:szCs w:val="21"/>
        </w:rPr>
      </w:r>
    </w:p>
    <w:p>
      <w:pPr>
        <w:spacing w:line="520" w:lineRule="auto" w:before="49"/>
        <w:ind w:left="558" w:right="7584"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、油气资产</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after="0" w:line="520" w:lineRule="auto"/>
        <w:jc w:val="left"/>
        <w:rPr>
          <w:rFonts w:ascii="宋体" w:hAnsi="宋体" w:cs="宋体" w:eastAsia="宋体" w:hint="default"/>
          <w:sz w:val="21"/>
          <w:szCs w:val="21"/>
        </w:rPr>
        <w:sectPr>
          <w:pgSz w:w="11910" w:h="16840"/>
          <w:pgMar w:header="884" w:footer="1007" w:top="1160" w:bottom="1200" w:left="1240" w:right="1240"/>
        </w:sectPr>
      </w:pPr>
    </w:p>
    <w:p>
      <w:pPr>
        <w:spacing w:line="240" w:lineRule="auto" w:before="4"/>
        <w:rPr>
          <w:rFonts w:ascii="宋体" w:hAnsi="宋体" w:cs="宋体" w:eastAsia="宋体" w:hint="default"/>
          <w:sz w:val="16"/>
          <w:szCs w:val="16"/>
        </w:rPr>
      </w:pPr>
    </w:p>
    <w:p>
      <w:pPr>
        <w:spacing w:before="36"/>
        <w:ind w:left="558"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、无形资产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02"/>
        <w:jc w:val="left"/>
      </w:pPr>
      <w:r>
        <w:rPr/>
        <w:t>无形资产按照成本进行初始计量，并于取得无形资产时分析判断其使用寿命。使用 寿命为有限的，自无形资产可供使用时起，采用能反映与该资产有关的经济利益的 </w:t>
      </w:r>
      <w:r>
        <w:rPr>
          <w:spacing w:val="-2"/>
        </w:rPr>
        <w:t>预期实现方式的摊销方法，在预计使用年限内摊销；无法可靠确定预期实现方式的，</w:t>
      </w:r>
      <w:r>
        <w:rPr>
          <w:spacing w:val="-114"/>
        </w:rPr>
        <w:t> </w:t>
      </w:r>
      <w:r>
        <w:rPr>
          <w:spacing w:val="-114"/>
        </w:rPr>
      </w:r>
      <w:r>
        <w:rPr/>
        <w:t>采用直线法摊销；使用寿命不确定的无形资产，不作摊销</w:t>
      </w:r>
    </w:p>
    <w:p>
      <w:pPr>
        <w:spacing w:line="240" w:lineRule="auto" w:before="9"/>
        <w:rPr>
          <w:rFonts w:ascii="宋体" w:hAnsi="宋体" w:cs="宋体" w:eastAsia="宋体" w:hint="default"/>
          <w:sz w:val="22"/>
          <w:szCs w:val="22"/>
        </w:rPr>
      </w:pPr>
    </w:p>
    <w:p>
      <w:pPr>
        <w:spacing w:before="0"/>
        <w:ind w:left="558"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240" w:lineRule="auto"/>
        <w:ind w:right="102"/>
        <w:jc w:val="left"/>
      </w:pPr>
      <w:r>
        <w:rPr/>
        <w:t>使用寿命有限的无形资产摊销方法如下：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tbl>
      <w:tblPr>
        <w:tblW w:w="0" w:type="auto"/>
        <w:jc w:val="left"/>
        <w:tblInd w:w="524" w:type="dxa"/>
        <w:tblLayout w:type="fixed"/>
        <w:tblCellMar>
          <w:top w:w="0" w:type="dxa"/>
          <w:left w:w="0" w:type="dxa"/>
          <w:bottom w:w="0" w:type="dxa"/>
          <w:right w:w="0" w:type="dxa"/>
        </w:tblCellMar>
        <w:tblLook w:val="01E0"/>
      </w:tblPr>
      <w:tblGrid>
        <w:gridCol w:w="2084"/>
        <w:gridCol w:w="2026"/>
        <w:gridCol w:w="4640"/>
      </w:tblGrid>
      <w:tr>
        <w:trPr>
          <w:trHeight w:val="322" w:hRule="exact"/>
        </w:trPr>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76" w:right="0"/>
              <w:jc w:val="left"/>
              <w:rPr>
                <w:rFonts w:ascii="宋体" w:hAnsi="宋体" w:cs="宋体" w:eastAsia="宋体" w:hint="default"/>
                <w:sz w:val="21"/>
                <w:szCs w:val="21"/>
              </w:rPr>
            </w:pPr>
            <w:r>
              <w:rPr>
                <w:rFonts w:ascii="宋体" w:hAnsi="宋体" w:cs="宋体" w:eastAsia="宋体" w:hint="default"/>
                <w:b/>
                <w:bCs/>
                <w:sz w:val="21"/>
                <w:szCs w:val="21"/>
              </w:rPr>
              <w:t>预计使用寿命</w:t>
            </w:r>
            <w:r>
              <w:rPr>
                <w:rFonts w:ascii="宋体" w:hAnsi="宋体" w:cs="宋体" w:eastAsia="宋体" w:hint="default"/>
                <w:sz w:val="21"/>
                <w:szCs w:val="21"/>
              </w:rPr>
            </w:r>
          </w:p>
        </w:tc>
        <w:tc>
          <w:tcPr>
            <w:tcW w:w="4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依据</w:t>
            </w:r>
            <w:r>
              <w:rPr>
                <w:rFonts w:ascii="宋体" w:hAnsi="宋体" w:cs="宋体" w:eastAsia="宋体" w:hint="default"/>
                <w:sz w:val="21"/>
                <w:szCs w:val="21"/>
              </w:rPr>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5-10</w:t>
            </w:r>
            <w:r>
              <w:rPr>
                <w:rFonts w:ascii="Calibri" w:hAnsi="Calibri" w:cs="Calibri" w:eastAsia="Calibri" w:hint="default"/>
                <w:spacing w:val="3"/>
                <w:sz w:val="21"/>
                <w:szCs w:val="21"/>
              </w:rPr>
              <w:t> </w:t>
            </w:r>
            <w:r>
              <w:rPr>
                <w:rFonts w:ascii="宋体" w:hAnsi="宋体" w:cs="宋体" w:eastAsia="宋体" w:hint="default"/>
                <w:sz w:val="21"/>
                <w:szCs w:val="21"/>
              </w:rPr>
              <w:t>年</w:t>
            </w:r>
          </w:p>
        </w:tc>
        <w:tc>
          <w:tcPr>
            <w:tcW w:w="46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直线法</w:t>
            </w:r>
          </w:p>
        </w:tc>
      </w:tr>
      <w:tr>
        <w:trPr>
          <w:trHeight w:val="322"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w:t>
            </w:r>
          </w:p>
        </w:tc>
        <w:tc>
          <w:tcPr>
            <w:tcW w:w="46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直线法</w:t>
            </w:r>
          </w:p>
        </w:tc>
      </w:tr>
    </w:tbl>
    <w:p>
      <w:pPr>
        <w:spacing w:line="262" w:lineRule="exact" w:before="0"/>
        <w:ind w:left="558" w:right="0" w:firstLine="0"/>
        <w:jc w:val="both"/>
        <w:rPr>
          <w:rFonts w:ascii="宋体" w:hAnsi="宋体" w:cs="宋体" w:eastAsia="宋体" w:hint="default"/>
          <w:sz w:val="21"/>
          <w:szCs w:val="21"/>
        </w:rPr>
      </w:pPr>
      <w:r>
        <w:rPr>
          <w:rFonts w:ascii="宋体" w:hAnsi="宋体" w:cs="宋体" w:eastAsia="宋体" w:hint="default"/>
          <w:sz w:val="21"/>
          <w:szCs w:val="21"/>
        </w:rPr>
        <w:t>注：列示每项无形资产的预计使用寿命及依据。</w:t>
      </w:r>
    </w:p>
    <w:p>
      <w:pPr>
        <w:spacing w:line="240" w:lineRule="auto" w:before="10"/>
        <w:rPr>
          <w:rFonts w:ascii="宋体" w:hAnsi="宋体" w:cs="宋体" w:eastAsia="宋体" w:hint="default"/>
          <w:sz w:val="25"/>
          <w:szCs w:val="25"/>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）使用寿命不确定的无形资产的判断依据</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right="0"/>
        <w:jc w:val="both"/>
      </w:pPr>
      <w:r>
        <w:rPr/>
        <w:t>使用寿命不确定的无形资产，不作摊销</w:t>
      </w:r>
    </w:p>
    <w:p>
      <w:pPr>
        <w:spacing w:before="26"/>
        <w:ind w:left="558" w:right="0" w:firstLine="0"/>
        <w:jc w:val="both"/>
        <w:rPr>
          <w:rFonts w:ascii="宋体" w:hAnsi="宋体" w:cs="宋体" w:eastAsia="宋体" w:hint="default"/>
          <w:sz w:val="21"/>
          <w:szCs w:val="21"/>
        </w:rPr>
      </w:pPr>
      <w:r>
        <w:rPr>
          <w:rFonts w:ascii="宋体" w:hAnsi="宋体" w:cs="宋体" w:eastAsia="宋体" w:hint="default"/>
          <w:sz w:val="21"/>
          <w:szCs w:val="21"/>
        </w:rPr>
        <w:t>注：应逐项说明使用寿命不确定的依据。</w:t>
      </w:r>
    </w:p>
    <w:p>
      <w:pPr>
        <w:spacing w:line="240" w:lineRule="auto" w:before="10"/>
        <w:rPr>
          <w:rFonts w:ascii="宋体" w:hAnsi="宋体" w:cs="宋体" w:eastAsia="宋体" w:hint="default"/>
          <w:sz w:val="25"/>
          <w:szCs w:val="25"/>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）无形资产减值准备的计提</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238"/>
        <w:jc w:val="both"/>
      </w:pPr>
      <w:r>
        <w:rPr/>
        <w:t>本公司对子公司、联营企业和合营企业的长期股权投资、采用成本模式进行后续计</w:t>
      </w:r>
      <w:r>
        <w:rPr>
          <w:spacing w:val="-77"/>
        </w:rPr>
        <w:t> </w:t>
      </w:r>
      <w:r>
        <w:rPr>
          <w:spacing w:val="-77"/>
        </w:rPr>
      </w:r>
      <w:r>
        <w:rPr/>
        <w:t>量的投资性房地产、固定资产、在建工程、无形资产、商誉等（存货、按公允价值</w:t>
      </w:r>
      <w:r>
        <w:rPr>
          <w:spacing w:val="-77"/>
        </w:rPr>
        <w:t> </w:t>
      </w:r>
      <w:r>
        <w:rPr>
          <w:spacing w:val="-77"/>
        </w:rPr>
      </w:r>
      <w:r>
        <w:rPr/>
        <w:t>模式计量的投资性房地产、递延所得税资产、金融资产除外）的资产减值，按以下</w:t>
      </w:r>
      <w:r>
        <w:rPr>
          <w:spacing w:val="-77"/>
        </w:rPr>
        <w:t> </w:t>
      </w:r>
      <w:r>
        <w:rPr>
          <w:spacing w:val="-77"/>
        </w:rPr>
      </w:r>
      <w:r>
        <w:rPr/>
        <w:t>方法确定：</w:t>
      </w:r>
    </w:p>
    <w:p>
      <w:pPr>
        <w:pStyle w:val="BodyText"/>
        <w:spacing w:line="237" w:lineRule="auto" w:before="188"/>
        <w:ind w:right="236"/>
        <w:jc w:val="both"/>
      </w:pPr>
      <w:r>
        <w:rPr/>
        <w:t>本公司于资产负债表日判断资产是否存在可能发生减值的迹象，存在减值迹象的，</w:t>
      </w:r>
      <w:r>
        <w:rPr>
          <w:spacing w:val="-77"/>
        </w:rPr>
        <w:t> </w:t>
      </w:r>
      <w:r>
        <w:rPr>
          <w:spacing w:val="-77"/>
        </w:rPr>
      </w:r>
      <w:r>
        <w:rPr/>
        <w:t>本公司将估计其可收回金额，进行减值测试。对因企业合并所形成的商誉、使用寿</w:t>
      </w:r>
      <w:r>
        <w:rPr>
          <w:spacing w:val="-77"/>
        </w:rPr>
        <w:t> </w:t>
      </w:r>
      <w:r>
        <w:rPr>
          <w:spacing w:val="-77"/>
        </w:rPr>
      </w:r>
      <w:r>
        <w:rPr/>
        <w:t>命不确定的无形资产和尚未达到可使用状态的无形资产无论是否存在减值迹象，每</w:t>
      </w:r>
      <w:r>
        <w:rPr>
          <w:spacing w:val="-74"/>
        </w:rPr>
        <w:t> </w:t>
      </w:r>
      <w:r>
        <w:rPr>
          <w:spacing w:val="-74"/>
        </w:rPr>
      </w:r>
      <w:r>
        <w:rPr/>
        <w:t>年都进行减值测试。</w:t>
      </w:r>
    </w:p>
    <w:p>
      <w:pPr>
        <w:spacing w:line="240" w:lineRule="auto" w:before="9"/>
        <w:rPr>
          <w:rFonts w:ascii="宋体" w:hAnsi="宋体" w:cs="宋体" w:eastAsia="宋体" w:hint="default"/>
          <w:sz w:val="18"/>
          <w:szCs w:val="18"/>
        </w:rPr>
      </w:pPr>
    </w:p>
    <w:p>
      <w:pPr>
        <w:pStyle w:val="BodyText"/>
        <w:spacing w:line="312" w:lineRule="exact"/>
        <w:ind w:right="238"/>
        <w:jc w:val="both"/>
      </w:pPr>
      <w:r>
        <w:rPr/>
        <w:t>可收回金额根据资产的公允价值减去处置费用后的净额与资产预计未来现金流量的</w:t>
      </w:r>
      <w:r>
        <w:rPr>
          <w:spacing w:val="-77"/>
        </w:rPr>
        <w:t> </w:t>
      </w:r>
      <w:r>
        <w:rPr>
          <w:spacing w:val="-77"/>
        </w:rPr>
      </w:r>
      <w:r>
        <w:rPr/>
        <w:t>现值两者之间较高者确定。本公司以单项资产为基础估计其可收回金额；难以对单</w:t>
      </w:r>
      <w:r>
        <w:rPr>
          <w:spacing w:val="-77"/>
        </w:rPr>
        <w:t> </w:t>
      </w:r>
      <w:r>
        <w:rPr>
          <w:spacing w:val="-77"/>
        </w:rPr>
      </w:r>
      <w:r>
        <w:rPr/>
        <w:t>项资产的可收回金额进行估计的，以该资产所属的资产组为基础确定资产组的可收</w:t>
      </w:r>
      <w:r>
        <w:rPr>
          <w:spacing w:val="-77"/>
        </w:rPr>
        <w:t> </w:t>
      </w:r>
      <w:r>
        <w:rPr>
          <w:spacing w:val="-77"/>
        </w:rPr>
      </w:r>
      <w:r>
        <w:rPr/>
        <w:t>回金额。资产组的认定，以资产组产生的主要现金流入是否独立于其他资产或者资</w:t>
      </w:r>
      <w:r>
        <w:rPr>
          <w:spacing w:val="-77"/>
        </w:rPr>
        <w:t> </w:t>
      </w:r>
      <w:r>
        <w:rPr>
          <w:spacing w:val="-77"/>
        </w:rPr>
      </w:r>
      <w:r>
        <w:rPr/>
        <w:t>产组的现金流入为依据。</w:t>
      </w:r>
    </w:p>
    <w:p>
      <w:pPr>
        <w:spacing w:line="240" w:lineRule="auto" w:before="7"/>
        <w:rPr>
          <w:rFonts w:ascii="宋体" w:hAnsi="宋体" w:cs="宋体" w:eastAsia="宋体" w:hint="default"/>
          <w:sz w:val="16"/>
          <w:szCs w:val="16"/>
        </w:rPr>
      </w:pPr>
    </w:p>
    <w:p>
      <w:pPr>
        <w:pStyle w:val="BodyText"/>
        <w:spacing w:line="312" w:lineRule="exact"/>
        <w:ind w:right="237"/>
        <w:jc w:val="both"/>
      </w:pPr>
      <w:r>
        <w:rPr/>
        <w:t>当资产或资产组的可收回金额低于其账面价值时，本公司将其账面价值减记至可收</w:t>
      </w:r>
      <w:r>
        <w:rPr>
          <w:spacing w:val="-77"/>
        </w:rPr>
        <w:t> </w:t>
      </w:r>
      <w:r>
        <w:rPr>
          <w:spacing w:val="-77"/>
        </w:rPr>
      </w:r>
      <w:r>
        <w:rPr/>
        <w:t>回金额，减记的金额计入当期损益，同时计提相应的资产减值准备。</w:t>
      </w:r>
    </w:p>
    <w:p>
      <w:pPr>
        <w:pStyle w:val="BodyText"/>
        <w:spacing w:line="240" w:lineRule="auto" w:before="185"/>
        <w:ind w:right="0"/>
        <w:jc w:val="both"/>
      </w:pPr>
      <w:r>
        <w:rPr/>
        <w:t>就商誉的减值测试而言，对于因企业合并形成的商誉的账面价值，自购买日起按照</w:t>
      </w:r>
    </w:p>
    <w:p>
      <w:pPr>
        <w:spacing w:after="0" w:line="240" w:lineRule="auto"/>
        <w:jc w:val="both"/>
        <w:sectPr>
          <w:pgSz w:w="11910" w:h="16840"/>
          <w:pgMar w:header="884" w:footer="1007" w:top="1160" w:bottom="1200" w:left="1240" w:right="1180"/>
        </w:sectPr>
      </w:pPr>
    </w:p>
    <w:p>
      <w:pPr>
        <w:spacing w:line="240" w:lineRule="auto" w:before="13"/>
        <w:rPr>
          <w:rFonts w:ascii="宋体" w:hAnsi="宋体" w:cs="宋体" w:eastAsia="宋体" w:hint="default"/>
          <w:sz w:val="14"/>
          <w:szCs w:val="14"/>
        </w:rPr>
      </w:pPr>
    </w:p>
    <w:p>
      <w:pPr>
        <w:pStyle w:val="BodyText"/>
        <w:spacing w:line="312" w:lineRule="exact" w:before="56"/>
        <w:ind w:right="138"/>
        <w:jc w:val="both"/>
      </w:pPr>
      <w:r>
        <w:rPr/>
        <w:t>合理的方法分摊至相关的资产组；难以分摊至相关的资产组的，将其分摊至相关的</w:t>
      </w:r>
      <w:r>
        <w:rPr>
          <w:spacing w:val="-77"/>
        </w:rPr>
        <w:t> </w:t>
      </w:r>
      <w:r>
        <w:rPr>
          <w:spacing w:val="-77"/>
        </w:rPr>
      </w:r>
      <w:r>
        <w:rPr/>
        <w:t>资产组组合。相关的资产组或资产组组合，是能够从企业合并的协同效应中受益的</w:t>
      </w:r>
      <w:r>
        <w:rPr>
          <w:spacing w:val="-77"/>
        </w:rPr>
        <w:t> </w:t>
      </w:r>
      <w:r>
        <w:rPr>
          <w:spacing w:val="-77"/>
        </w:rPr>
      </w:r>
      <w:r>
        <w:rPr/>
        <w:t>资产组或者资产组组合，且不大于本公司确定的报告分部。</w:t>
      </w:r>
    </w:p>
    <w:p>
      <w:pPr>
        <w:spacing w:line="240" w:lineRule="auto" w:before="7"/>
        <w:rPr>
          <w:rFonts w:ascii="宋体" w:hAnsi="宋体" w:cs="宋体" w:eastAsia="宋体" w:hint="default"/>
          <w:sz w:val="16"/>
          <w:szCs w:val="16"/>
        </w:rPr>
      </w:pPr>
    </w:p>
    <w:p>
      <w:pPr>
        <w:pStyle w:val="BodyText"/>
        <w:spacing w:line="312" w:lineRule="exact"/>
        <w:ind w:right="138"/>
        <w:jc w:val="both"/>
      </w:pPr>
      <w:r>
        <w:rPr/>
        <w:t>减值测试时，如与商誉相关的资产组或者资产组组合存在减值迹象的，首先对不包</w:t>
      </w:r>
      <w:r>
        <w:rPr>
          <w:spacing w:val="-77"/>
        </w:rPr>
        <w:t> </w:t>
      </w:r>
      <w:r>
        <w:rPr>
          <w:spacing w:val="-77"/>
        </w:rPr>
      </w:r>
      <w:r>
        <w:rPr/>
        <w:t>含商誉的资产组或者资产组组合进行减值测试，计算可收回金额，确认相应的减值</w:t>
      </w:r>
      <w:r>
        <w:rPr>
          <w:spacing w:val="-77"/>
        </w:rPr>
        <w:t> </w:t>
      </w:r>
      <w:r>
        <w:rPr>
          <w:spacing w:val="-77"/>
        </w:rPr>
      </w:r>
      <w:r>
        <w:rPr/>
        <w:t>损失。然后对包含商誉的资产组或者资产组组合进行减值测试，比较其账面价值与</w:t>
      </w:r>
      <w:r>
        <w:rPr>
          <w:spacing w:val="-77"/>
        </w:rPr>
        <w:t> </w:t>
      </w:r>
      <w:r>
        <w:rPr>
          <w:spacing w:val="-77"/>
        </w:rPr>
      </w:r>
      <w:r>
        <w:rPr/>
        <w:t>可收回金额，如可收回金额低于账面价值的，确认商誉的减值损失。</w:t>
      </w:r>
    </w:p>
    <w:p>
      <w:pPr>
        <w:pStyle w:val="BodyText"/>
        <w:spacing w:line="240" w:lineRule="auto" w:before="185"/>
        <w:ind w:right="0"/>
        <w:jc w:val="both"/>
      </w:pPr>
      <w:r>
        <w:rPr/>
        <w:t>资产减值损失一经确认，在以后会计期间不再转回。</w:t>
      </w:r>
    </w:p>
    <w:p>
      <w:pPr>
        <w:spacing w:line="240" w:lineRule="auto" w:before="12"/>
        <w:rPr>
          <w:rFonts w:ascii="宋体" w:hAnsi="宋体" w:cs="宋体" w:eastAsia="宋体" w:hint="default"/>
          <w:sz w:val="24"/>
          <w:szCs w:val="24"/>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）划分公司内部研究开发项目的研究阶段和开发阶段具体标准</w:t>
      </w:r>
      <w:r>
        <w:rPr>
          <w:rFonts w:ascii="宋体" w:hAnsi="宋体" w:cs="宋体" w:eastAsia="宋体" w:hint="default"/>
          <w:sz w:val="21"/>
          <w:szCs w:val="21"/>
        </w:rPr>
      </w:r>
    </w:p>
    <w:p>
      <w:pPr>
        <w:spacing w:line="240" w:lineRule="auto" w:before="9"/>
        <w:rPr>
          <w:rFonts w:ascii="宋体" w:hAnsi="宋体" w:cs="宋体" w:eastAsia="宋体" w:hint="default"/>
          <w:b/>
          <w:bCs/>
          <w:sz w:val="22"/>
          <w:szCs w:val="22"/>
        </w:rPr>
      </w:pPr>
    </w:p>
    <w:p>
      <w:pPr>
        <w:pStyle w:val="BodyText"/>
        <w:spacing w:line="403" w:lineRule="auto"/>
        <w:ind w:right="138"/>
        <w:jc w:val="both"/>
      </w:pPr>
      <w:r>
        <w:rPr/>
        <w:t>本公司将内部研究开发项目的支出，区分为研究阶段支出和开发阶段支出。 研究阶段的支出，于发生时计入当期损益。</w:t>
      </w:r>
    </w:p>
    <w:p>
      <w:pPr>
        <w:pStyle w:val="BodyText"/>
        <w:spacing w:line="237" w:lineRule="auto" w:before="53"/>
        <w:ind w:right="133"/>
        <w:jc w:val="both"/>
      </w:pPr>
      <w:r>
        <w:rPr/>
        <w:t>开发阶段的支出，同时满足下列条件的，才能予以资本化，即：完成该无形资产以</w:t>
      </w:r>
      <w:r>
        <w:rPr>
          <w:spacing w:val="-77"/>
        </w:rPr>
        <w:t> </w:t>
      </w:r>
      <w:r>
        <w:rPr>
          <w:spacing w:val="-77"/>
        </w:rPr>
      </w:r>
      <w:r>
        <w:rPr/>
        <w:t>使其能够使用或出售在技术上具有可行性；具有完成该无形资产并使用或出售的意</w:t>
      </w:r>
      <w:r>
        <w:rPr>
          <w:spacing w:val="-77"/>
        </w:rPr>
        <w:t> </w:t>
      </w:r>
      <w:r>
        <w:rPr>
          <w:spacing w:val="-77"/>
        </w:rPr>
      </w:r>
      <w:r>
        <w:rPr/>
        <w:t>图；无形资产产生经济利益的方式，包括能够证明运用该无形资产生产的产品存在</w:t>
      </w:r>
      <w:r>
        <w:rPr>
          <w:spacing w:val="-77"/>
        </w:rPr>
        <w:t> </w:t>
      </w:r>
      <w:r>
        <w:rPr>
          <w:spacing w:val="-77"/>
        </w:rPr>
      </w:r>
      <w:r>
        <w:rPr/>
        <w:t>市场或无形资产自身存在市场，无形资产将在内部使用的，能够证明其有用性；有</w:t>
      </w:r>
      <w:r>
        <w:rPr>
          <w:spacing w:val="-72"/>
        </w:rPr>
        <w:t> </w:t>
      </w:r>
      <w:r>
        <w:rPr>
          <w:spacing w:val="-72"/>
        </w:rPr>
      </w:r>
      <w:r>
        <w:rPr/>
        <w:t>足够的技术、财务资源和其他资源支持，以完成该无形资产的开发，并有能力使用</w:t>
      </w:r>
      <w:r>
        <w:rPr>
          <w:spacing w:val="-77"/>
        </w:rPr>
        <w:t> </w:t>
      </w:r>
      <w:r>
        <w:rPr>
          <w:spacing w:val="-77"/>
        </w:rPr>
      </w:r>
      <w:r>
        <w:rPr/>
        <w:t>或出售该无形资产；归属于该无形资产开发阶段的支出能够可靠地计量。不满足上</w:t>
      </w:r>
      <w:r>
        <w:rPr>
          <w:spacing w:val="-77"/>
        </w:rPr>
        <w:t> </w:t>
      </w:r>
      <w:r>
        <w:rPr>
          <w:spacing w:val="-77"/>
        </w:rPr>
      </w:r>
      <w:r>
        <w:rPr/>
        <w:t>述条件的开发支出计入当期损益。</w:t>
      </w:r>
    </w:p>
    <w:p>
      <w:pPr>
        <w:spacing w:line="240" w:lineRule="auto" w:before="9"/>
        <w:rPr>
          <w:rFonts w:ascii="宋体" w:hAnsi="宋体" w:cs="宋体" w:eastAsia="宋体" w:hint="default"/>
          <w:sz w:val="18"/>
          <w:szCs w:val="18"/>
        </w:rPr>
      </w:pPr>
    </w:p>
    <w:p>
      <w:pPr>
        <w:pStyle w:val="BodyText"/>
        <w:spacing w:line="312" w:lineRule="exact"/>
        <w:ind w:right="138"/>
        <w:jc w:val="both"/>
      </w:pPr>
      <w:r>
        <w:rPr/>
        <w:t>本公司研究开发项目在满足上述条件，通过技术可行性及经济可行性研究，形成项</w:t>
      </w:r>
      <w:r>
        <w:rPr>
          <w:spacing w:val="-77"/>
        </w:rPr>
        <w:t> </w:t>
      </w:r>
      <w:r>
        <w:rPr>
          <w:spacing w:val="-77"/>
        </w:rPr>
      </w:r>
      <w:r>
        <w:rPr/>
        <w:t>目立项后，进入开发阶段。</w:t>
      </w:r>
    </w:p>
    <w:p>
      <w:pPr>
        <w:spacing w:line="240" w:lineRule="auto" w:before="9"/>
        <w:rPr>
          <w:rFonts w:ascii="宋体" w:hAnsi="宋体" w:cs="宋体" w:eastAsia="宋体" w:hint="default"/>
          <w:sz w:val="22"/>
          <w:szCs w:val="22"/>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）内部研究开发项目支出的核算</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37" w:lineRule="auto"/>
        <w:ind w:right="134"/>
        <w:jc w:val="both"/>
      </w:pPr>
      <w:r>
        <w:rPr/>
        <w:t>开发阶段的支出，同时满足下列条件的，才能予以资本化，即：完成该无形资产以</w:t>
      </w:r>
      <w:r>
        <w:rPr>
          <w:spacing w:val="-77"/>
        </w:rPr>
        <w:t> </w:t>
      </w:r>
      <w:r>
        <w:rPr>
          <w:spacing w:val="-77"/>
        </w:rPr>
      </w:r>
      <w:r>
        <w:rPr/>
        <w:t>使其能够使用或出售在技术上具有可行性；具有完成该无形资产并使用或出售的意</w:t>
      </w:r>
      <w:r>
        <w:rPr>
          <w:spacing w:val="-77"/>
        </w:rPr>
        <w:t> </w:t>
      </w:r>
      <w:r>
        <w:rPr>
          <w:spacing w:val="-77"/>
        </w:rPr>
      </w:r>
      <w:r>
        <w:rPr/>
        <w:t>图；无形资产产生经济利益的方式，包括能够证明运用该无形资产生产的产品存在</w:t>
      </w:r>
      <w:r>
        <w:rPr>
          <w:spacing w:val="-73"/>
        </w:rPr>
        <w:t> </w:t>
      </w:r>
      <w:r>
        <w:rPr>
          <w:spacing w:val="-73"/>
        </w:rPr>
      </w:r>
      <w:r>
        <w:rPr/>
        <w:t>市场或无形资产自身存在市场，无形资产将在内部使用的，能够证明其有用性；有</w:t>
      </w:r>
      <w:r>
        <w:rPr>
          <w:spacing w:val="-77"/>
        </w:rPr>
        <w:t> </w:t>
      </w:r>
      <w:r>
        <w:rPr>
          <w:spacing w:val="-77"/>
        </w:rPr>
      </w:r>
      <w:r>
        <w:rPr/>
        <w:t>足够的技术、财务资源和其他资源支持，以完成该无形资产的开发，并有能力使用</w:t>
      </w:r>
      <w:r>
        <w:rPr>
          <w:spacing w:val="-77"/>
        </w:rPr>
        <w:t> </w:t>
      </w:r>
      <w:r>
        <w:rPr>
          <w:spacing w:val="-77"/>
        </w:rPr>
      </w:r>
      <w:r>
        <w:rPr/>
        <w:t>或出售该无形资产；归属于该无形资产开发阶段的支出能够可靠地计量。不满足上</w:t>
      </w:r>
      <w:r>
        <w:rPr>
          <w:spacing w:val="-77"/>
        </w:rPr>
        <w:t> </w:t>
      </w:r>
      <w:r>
        <w:rPr>
          <w:spacing w:val="-77"/>
        </w:rPr>
      </w:r>
      <w:r>
        <w:rPr/>
        <w:t>述条件的开发支出计入当期损益。</w:t>
      </w:r>
    </w:p>
    <w:p>
      <w:pPr>
        <w:spacing w:line="240" w:lineRule="auto" w:before="12"/>
        <w:rPr>
          <w:rFonts w:ascii="宋体" w:hAnsi="宋体" w:cs="宋体" w:eastAsia="宋体" w:hint="default"/>
          <w:sz w:val="24"/>
          <w:szCs w:val="24"/>
        </w:rPr>
      </w:pPr>
    </w:p>
    <w:p>
      <w:pPr>
        <w:spacing w:before="0"/>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38"/>
        <w:jc w:val="both"/>
      </w:pPr>
      <w:r>
        <w:rPr/>
        <w:t>本公司发生的长期待摊费用按实际成本计价，并按预计受益期限平均摊销。对不能</w:t>
      </w:r>
      <w:r>
        <w:rPr>
          <w:spacing w:val="-77"/>
        </w:rPr>
        <w:t> </w:t>
      </w:r>
      <w:r>
        <w:rPr>
          <w:spacing w:val="-77"/>
        </w:rPr>
      </w:r>
      <w:r>
        <w:rPr/>
        <w:t>使以后会计期间受益的长期待摊费用项目，其摊余价值全部计入当期损益。</w:t>
      </w:r>
    </w:p>
    <w:p>
      <w:pPr>
        <w:spacing w:line="240" w:lineRule="auto" w:before="9"/>
        <w:rPr>
          <w:rFonts w:ascii="宋体" w:hAnsi="宋体" w:cs="宋体" w:eastAsia="宋体" w:hint="default"/>
          <w:sz w:val="22"/>
          <w:szCs w:val="22"/>
        </w:rPr>
      </w:pPr>
    </w:p>
    <w:p>
      <w:pPr>
        <w:spacing w:line="506" w:lineRule="auto" w:before="0"/>
        <w:ind w:left="558" w:right="6292"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21</w:t>
      </w:r>
      <w:r>
        <w:rPr>
          <w:rFonts w:ascii="宋体" w:hAnsi="宋体" w:cs="宋体" w:eastAsia="宋体" w:hint="default"/>
          <w:b/>
          <w:bCs/>
          <w:spacing w:val="-1"/>
          <w:sz w:val="21"/>
          <w:szCs w:val="21"/>
        </w:rPr>
        <w:t>、附回购条件的资产转让</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无</w:t>
      </w:r>
    </w:p>
    <w:p>
      <w:pPr>
        <w:spacing w:after="0" w:line="506" w:lineRule="auto"/>
        <w:jc w:val="left"/>
        <w:rPr>
          <w:rFonts w:ascii="宋体" w:hAnsi="宋体" w:cs="宋体" w:eastAsia="宋体" w:hint="default"/>
          <w:sz w:val="21"/>
          <w:szCs w:val="21"/>
        </w:rPr>
        <w:sectPr>
          <w:footerReference w:type="default" r:id="rId44"/>
          <w:pgSz w:w="11910" w:h="16840"/>
          <w:pgMar w:footer="1007" w:header="884" w:top="1160" w:bottom="1200" w:left="1240" w:right="1280"/>
          <w:pgNumType w:start="110"/>
        </w:sectPr>
      </w:pPr>
    </w:p>
    <w:p>
      <w:pPr>
        <w:spacing w:line="240" w:lineRule="auto" w:before="4"/>
        <w:rPr>
          <w:rFonts w:ascii="宋体" w:hAnsi="宋体" w:cs="宋体" w:eastAsia="宋体" w:hint="default"/>
          <w:sz w:val="16"/>
          <w:szCs w:val="16"/>
        </w:rPr>
      </w:pPr>
    </w:p>
    <w:p>
      <w:pPr>
        <w:spacing w:before="36"/>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236"/>
        <w:jc w:val="both"/>
      </w:pPr>
      <w:r>
        <w:rPr/>
        <w:t>预计负债按照履行相关现时义务所需支出的最佳估计数进行初始计量，并综合考虑</w:t>
      </w:r>
      <w:r>
        <w:rPr>
          <w:spacing w:val="-75"/>
        </w:rPr>
        <w:t> </w:t>
      </w:r>
      <w:r>
        <w:rPr>
          <w:spacing w:val="-75"/>
        </w:rPr>
      </w:r>
      <w:r>
        <w:rPr/>
        <w:t>与或有事项有关的风险、不确定性和货币时间价值等因素。货币时间价值影响重大</w:t>
      </w:r>
      <w:r>
        <w:rPr>
          <w:spacing w:val="-77"/>
        </w:rPr>
        <w:t> </w:t>
      </w:r>
      <w:r>
        <w:rPr>
          <w:spacing w:val="-77"/>
        </w:rPr>
      </w:r>
      <w:r>
        <w:rPr/>
        <w:t>的，通过对相关未来现金流出进行折现后确定最佳估计数。本公司于资产负债表日</w:t>
      </w:r>
      <w:r>
        <w:rPr>
          <w:spacing w:val="-77"/>
        </w:rPr>
        <w:t> </w:t>
      </w:r>
      <w:r>
        <w:rPr>
          <w:spacing w:val="-77"/>
        </w:rPr>
      </w:r>
      <w:r>
        <w:rPr/>
        <w:t>对预计负债的账面价值进行复核，并对账面价值进行调整以反映当前最佳估计数。</w:t>
      </w:r>
    </w:p>
    <w:p>
      <w:pPr>
        <w:spacing w:line="240" w:lineRule="auto" w:before="9"/>
        <w:rPr>
          <w:rFonts w:ascii="宋体" w:hAnsi="宋体" w:cs="宋体" w:eastAsia="宋体" w:hint="default"/>
          <w:sz w:val="22"/>
          <w:szCs w:val="22"/>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both"/>
      </w:pPr>
      <w:r>
        <w:rPr/>
        <w:t>如果与或有事项相关的义务同时符合以下条件，本公司将其确认为预计负债：</w:t>
      </w:r>
    </w:p>
    <w:p>
      <w:pPr>
        <w:pStyle w:val="BodyText"/>
        <w:spacing w:line="240" w:lineRule="auto" w:before="214"/>
        <w:ind w:right="0"/>
        <w:jc w:val="both"/>
      </w:pPr>
      <w:r>
        <w:rPr/>
        <w:t>（</w:t>
      </w:r>
      <w:r>
        <w:rPr>
          <w:rFonts w:ascii="宋体" w:hAnsi="宋体" w:cs="宋体" w:eastAsia="宋体" w:hint="default"/>
        </w:rPr>
        <w:t>1</w:t>
      </w:r>
      <w:r>
        <w:rPr/>
        <w:t>）该义务是本公司承担的现时义务；</w:t>
      </w:r>
    </w:p>
    <w:p>
      <w:pPr>
        <w:pStyle w:val="BodyText"/>
        <w:spacing w:line="240" w:lineRule="auto" w:before="214"/>
        <w:ind w:right="0"/>
        <w:jc w:val="both"/>
      </w:pPr>
      <w:r>
        <w:rPr/>
        <w:t>（</w:t>
      </w:r>
      <w:r>
        <w:rPr>
          <w:rFonts w:ascii="宋体" w:hAnsi="宋体" w:cs="宋体" w:eastAsia="宋体" w:hint="default"/>
        </w:rPr>
        <w:t>2</w:t>
      </w:r>
      <w:r>
        <w:rPr/>
        <w:t>）该义务的履行很可能导致经济利益流出本公司；</w:t>
      </w:r>
    </w:p>
    <w:p>
      <w:pPr>
        <w:pStyle w:val="BodyText"/>
        <w:spacing w:line="240" w:lineRule="auto" w:before="214"/>
        <w:ind w:right="0"/>
        <w:jc w:val="both"/>
      </w:pPr>
      <w:r>
        <w:rPr/>
        <w:t>（</w:t>
      </w:r>
      <w:r>
        <w:rPr>
          <w:rFonts w:ascii="宋体" w:hAnsi="宋体" w:cs="宋体" w:eastAsia="宋体" w:hint="default"/>
        </w:rPr>
        <w:t>3</w:t>
      </w:r>
      <w:r>
        <w:rPr/>
        <w:t>）该义务的金额能够可靠地计量。</w:t>
      </w:r>
    </w:p>
    <w:p>
      <w:pPr>
        <w:spacing w:line="240" w:lineRule="auto" w:before="12"/>
        <w:rPr>
          <w:rFonts w:ascii="宋体" w:hAnsi="宋体" w:cs="宋体" w:eastAsia="宋体" w:hint="default"/>
          <w:sz w:val="24"/>
          <w:szCs w:val="24"/>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pStyle w:val="BodyText"/>
        <w:spacing w:line="237" w:lineRule="auto"/>
        <w:ind w:right="238"/>
        <w:jc w:val="both"/>
      </w:pPr>
      <w:r>
        <w:rPr/>
        <w:t>预计负债按照履行相关现时义务所需支出的最佳估计数进行初始计量，并综合考虑</w:t>
      </w:r>
      <w:r>
        <w:rPr>
          <w:spacing w:val="-77"/>
        </w:rPr>
        <w:t> </w:t>
      </w:r>
      <w:r>
        <w:rPr>
          <w:spacing w:val="-77"/>
        </w:rPr>
      </w:r>
      <w:r>
        <w:rPr/>
        <w:t>与或有事项有关的风险、不确定性和货币时间价值等因素。货币时间价值影响重大</w:t>
      </w:r>
      <w:r>
        <w:rPr>
          <w:spacing w:val="-77"/>
        </w:rPr>
        <w:t> </w:t>
      </w:r>
      <w:r>
        <w:rPr>
          <w:spacing w:val="-77"/>
        </w:rPr>
      </w:r>
      <w:r>
        <w:rPr/>
        <w:t>的，通过对相关未来现金流出进行折现后确定最佳估计数。本公司于资产负债表日</w:t>
      </w:r>
      <w:r>
        <w:rPr>
          <w:spacing w:val="-77"/>
        </w:rPr>
        <w:t> </w:t>
      </w:r>
      <w:r>
        <w:rPr>
          <w:spacing w:val="-77"/>
        </w:rPr>
      </w:r>
      <w:r>
        <w:rPr/>
        <w:t>对预计负债的账面价值进行复核，并对账面价值进行调整以反映当前最佳估计数。</w:t>
      </w:r>
    </w:p>
    <w:p>
      <w:pPr>
        <w:spacing w:line="240" w:lineRule="auto" w:before="9"/>
        <w:rPr>
          <w:rFonts w:ascii="宋体" w:hAnsi="宋体" w:cs="宋体" w:eastAsia="宋体" w:hint="default"/>
          <w:sz w:val="18"/>
          <w:szCs w:val="18"/>
        </w:rPr>
      </w:pPr>
    </w:p>
    <w:p>
      <w:pPr>
        <w:pStyle w:val="BodyText"/>
        <w:spacing w:line="312" w:lineRule="exact"/>
        <w:ind w:right="238"/>
        <w:jc w:val="both"/>
      </w:pPr>
      <w:r>
        <w:rPr/>
        <w:t>如果清偿已确认预计负债所需支出全部或部分预期由第三方或其他方补偿，则补偿</w:t>
      </w:r>
      <w:r>
        <w:rPr>
          <w:spacing w:val="-77"/>
        </w:rPr>
        <w:t> </w:t>
      </w:r>
      <w:r>
        <w:rPr>
          <w:spacing w:val="-77"/>
        </w:rPr>
      </w:r>
      <w:r>
        <w:rPr/>
        <w:t>金额只能在基本确定能收到时，作为资产单独确认。确认的补偿金额不超过所确认</w:t>
      </w:r>
      <w:r>
        <w:rPr>
          <w:spacing w:val="-77"/>
        </w:rPr>
        <w:t> </w:t>
      </w:r>
      <w:r>
        <w:rPr>
          <w:spacing w:val="-77"/>
        </w:rPr>
      </w:r>
      <w:r>
        <w:rPr/>
        <w:t>负债的账面价值。</w:t>
      </w:r>
    </w:p>
    <w:p>
      <w:pPr>
        <w:spacing w:line="240" w:lineRule="auto" w:before="9"/>
        <w:rPr>
          <w:rFonts w:ascii="宋体" w:hAnsi="宋体" w:cs="宋体" w:eastAsia="宋体" w:hint="default"/>
          <w:sz w:val="22"/>
          <w:szCs w:val="22"/>
        </w:rPr>
      </w:pPr>
    </w:p>
    <w:p>
      <w:pPr>
        <w:spacing w:before="0"/>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、股份支付及权益工具</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506" w:lineRule="auto" w:before="0"/>
        <w:ind w:left="558" w:right="17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）股份支付的种类</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本公司股份支付分为以权益结算的股份支付和以现金结算的股份支付。</w:t>
      </w:r>
    </w:p>
    <w:p>
      <w:pPr>
        <w:spacing w:before="104"/>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02"/>
        <w:jc w:val="left"/>
      </w:pPr>
      <w:r>
        <w:rPr/>
        <w:t>本公司对于授予的存在活跃市场的期权等权益工具，按照活跃市场中的报价确定其</w:t>
      </w:r>
      <w:r>
        <w:rPr>
          <w:spacing w:val="-77"/>
        </w:rPr>
        <w:t> </w:t>
      </w:r>
      <w:r>
        <w:rPr>
          <w:spacing w:val="-77"/>
        </w:rPr>
      </w:r>
      <w:r>
        <w:rPr/>
        <w:t>公允价值。对于授予的不存在活跃市场的期权等权益工具，采用期权定价模型等确</w:t>
      </w:r>
      <w:r>
        <w:rPr>
          <w:spacing w:val="-77"/>
        </w:rPr>
        <w:t> </w:t>
      </w:r>
      <w:r>
        <w:rPr>
          <w:spacing w:val="-77"/>
        </w:rPr>
      </w:r>
      <w:r>
        <w:rPr/>
        <w:t>定其公允价值。选用的期权定价模型考虑以下因素：</w:t>
      </w:r>
      <w:r>
        <w:rPr>
          <w:rFonts w:ascii="Calibri" w:hAnsi="Calibri" w:cs="Calibri" w:eastAsia="Calibri" w:hint="default"/>
        </w:rPr>
        <w:t>A</w:t>
      </w:r>
      <w:r>
        <w:rPr/>
        <w:t>、期权的行权价格；</w:t>
      </w:r>
      <w:r>
        <w:rPr>
          <w:rFonts w:ascii="Calibri" w:hAnsi="Calibri" w:cs="Calibri" w:eastAsia="Calibri" w:hint="default"/>
        </w:rPr>
        <w:t>B</w:t>
      </w:r>
      <w:r>
        <w:rPr/>
        <w:t>、期权</w:t>
      </w:r>
      <w:r>
        <w:rPr>
          <w:spacing w:val="-101"/>
        </w:rPr>
        <w:t> </w:t>
      </w:r>
      <w:r>
        <w:rPr>
          <w:spacing w:val="-3"/>
        </w:rPr>
        <w:t>的有效期；</w:t>
      </w:r>
      <w:r>
        <w:rPr>
          <w:rFonts w:ascii="Calibri" w:hAnsi="Calibri" w:cs="Calibri" w:eastAsia="Calibri" w:hint="default"/>
          <w:spacing w:val="-3"/>
        </w:rPr>
        <w:t>C</w:t>
      </w:r>
      <w:r>
        <w:rPr>
          <w:spacing w:val="-3"/>
        </w:rPr>
        <w:t>、标的股份的现行价格；</w:t>
      </w:r>
      <w:r>
        <w:rPr>
          <w:rFonts w:ascii="Calibri" w:hAnsi="Calibri" w:cs="Calibri" w:eastAsia="Calibri" w:hint="default"/>
          <w:spacing w:val="-3"/>
        </w:rPr>
        <w:t>D</w:t>
      </w:r>
      <w:r>
        <w:rPr>
          <w:spacing w:val="-3"/>
        </w:rPr>
        <w:t>、股价预计波动率；</w:t>
      </w:r>
      <w:r>
        <w:rPr>
          <w:rFonts w:ascii="Calibri" w:hAnsi="Calibri" w:cs="Calibri" w:eastAsia="Calibri" w:hint="default"/>
          <w:spacing w:val="-3"/>
        </w:rPr>
        <w:t>E</w:t>
      </w:r>
      <w:r>
        <w:rPr>
          <w:spacing w:val="-3"/>
        </w:rPr>
        <w:t>、股份的预计股利；</w:t>
      </w:r>
      <w:r>
        <w:rPr>
          <w:rFonts w:ascii="Calibri" w:hAnsi="Calibri" w:cs="Calibri" w:eastAsia="Calibri" w:hint="default"/>
          <w:spacing w:val="-3"/>
        </w:rPr>
        <w:t>F</w:t>
      </w:r>
      <w:r>
        <w:rPr>
          <w:spacing w:val="-3"/>
        </w:rPr>
        <w:t>、</w:t>
      </w:r>
      <w:r>
        <w:rPr>
          <w:spacing w:val="-97"/>
        </w:rPr>
        <w:t> </w:t>
      </w:r>
      <w:r>
        <w:rPr/>
        <w:t>期权有效期内的无风险利率。</w:t>
      </w:r>
    </w:p>
    <w:p>
      <w:pPr>
        <w:spacing w:line="240" w:lineRule="auto" w:before="9"/>
        <w:rPr>
          <w:rFonts w:ascii="宋体" w:hAnsi="宋体" w:cs="宋体" w:eastAsia="宋体" w:hint="default"/>
          <w:sz w:val="22"/>
          <w:szCs w:val="22"/>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558" w:right="102" w:firstLine="0"/>
        <w:jc w:val="left"/>
        <w:rPr>
          <w:rFonts w:ascii="宋体" w:hAnsi="宋体" w:cs="宋体" w:eastAsia="宋体" w:hint="default"/>
          <w:sz w:val="21"/>
          <w:szCs w:val="21"/>
        </w:rPr>
      </w:pPr>
      <w:r>
        <w:rPr>
          <w:rFonts w:ascii="宋体" w:hAnsi="宋体" w:cs="宋体" w:eastAsia="宋体" w:hint="default"/>
          <w:spacing w:val="-2"/>
          <w:sz w:val="21"/>
          <w:szCs w:val="21"/>
        </w:rPr>
        <w:t>等待期内每个资产负债表日，本公司根据最新取得的可行权职工人数变动等后续信息作出最佳</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估计，修正预计可行权的权益工具数量。在可行权日，最终预计可行权权益工具的数量应当与</w:t>
      </w:r>
    </w:p>
    <w:p>
      <w:pPr>
        <w:spacing w:after="0" w:line="273" w:lineRule="auto"/>
        <w:jc w:val="left"/>
        <w:rPr>
          <w:rFonts w:ascii="宋体" w:hAnsi="宋体" w:cs="宋体" w:eastAsia="宋体" w:hint="default"/>
          <w:sz w:val="21"/>
          <w:szCs w:val="21"/>
        </w:rPr>
        <w:sectPr>
          <w:pgSz w:w="11910" w:h="16840"/>
          <w:pgMar w:header="884" w:footer="1007" w:top="1160" w:bottom="1200" w:left="1240" w:right="1180"/>
        </w:sectPr>
      </w:pPr>
    </w:p>
    <w:p>
      <w:pPr>
        <w:spacing w:line="240" w:lineRule="auto" w:before="4"/>
        <w:rPr>
          <w:rFonts w:ascii="宋体" w:hAnsi="宋体" w:cs="宋体" w:eastAsia="宋体" w:hint="default"/>
          <w:sz w:val="16"/>
          <w:szCs w:val="16"/>
        </w:rPr>
      </w:pPr>
    </w:p>
    <w:p>
      <w:pPr>
        <w:spacing w:before="36"/>
        <w:ind w:left="558" w:right="0" w:firstLine="0"/>
        <w:jc w:val="both"/>
        <w:rPr>
          <w:rFonts w:ascii="宋体" w:hAnsi="宋体" w:cs="宋体" w:eastAsia="宋体" w:hint="default"/>
          <w:sz w:val="21"/>
          <w:szCs w:val="21"/>
        </w:rPr>
      </w:pPr>
      <w:r>
        <w:rPr>
          <w:rFonts w:ascii="宋体" w:hAnsi="宋体" w:cs="宋体" w:eastAsia="宋体" w:hint="default"/>
          <w:sz w:val="21"/>
          <w:szCs w:val="21"/>
        </w:rPr>
        <w:t>实际可行权数量一致。</w:t>
      </w:r>
    </w:p>
    <w:p>
      <w:pPr>
        <w:spacing w:line="240" w:lineRule="auto" w:before="10"/>
        <w:rPr>
          <w:rFonts w:ascii="宋体" w:hAnsi="宋体" w:cs="宋体" w:eastAsia="宋体" w:hint="default"/>
          <w:sz w:val="25"/>
          <w:szCs w:val="25"/>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33"/>
        <w:jc w:val="both"/>
      </w:pPr>
      <w:r>
        <w:rPr/>
        <w:t>以权益结算的股份支付，按授予职工权益工具的公允价值计量。授予后立即可行权</w:t>
      </w:r>
      <w:r>
        <w:rPr>
          <w:spacing w:val="-77"/>
        </w:rPr>
        <w:t> </w:t>
      </w:r>
      <w:r>
        <w:rPr>
          <w:spacing w:val="-77"/>
        </w:rPr>
      </w:r>
      <w:r>
        <w:rPr/>
        <w:t>的，在授予日按照权益工具的公允价值计入相关成本或费用，相应增加资本公积。</w:t>
      </w:r>
      <w:r>
        <w:rPr>
          <w:spacing w:val="-77"/>
        </w:rPr>
        <w:t> </w:t>
      </w:r>
      <w:r>
        <w:rPr>
          <w:spacing w:val="-77"/>
        </w:rPr>
      </w:r>
      <w:r>
        <w:rPr/>
        <w:t>在完成等待期内的服务或达到规定业绩条件才可行权的，在等待期内的每个资产负</w:t>
      </w:r>
      <w:r>
        <w:rPr>
          <w:spacing w:val="-77"/>
        </w:rPr>
        <w:t> </w:t>
      </w:r>
      <w:r>
        <w:rPr>
          <w:spacing w:val="-77"/>
        </w:rPr>
      </w:r>
      <w:r>
        <w:rPr/>
        <w:t>债表日，以对可行权权益工具数量的最佳估计为基础，按照权益工具授予日的公允</w:t>
      </w:r>
      <w:r>
        <w:rPr>
          <w:spacing w:val="-77"/>
        </w:rPr>
        <w:t> </w:t>
      </w:r>
      <w:r>
        <w:rPr>
          <w:spacing w:val="-77"/>
        </w:rPr>
      </w:r>
      <w:r>
        <w:rPr/>
        <w:t>价值，将当期取得的服务计入相关成本或费用和资本公积。在可行权日之后不再对</w:t>
      </w:r>
      <w:r>
        <w:rPr>
          <w:spacing w:val="-72"/>
        </w:rPr>
        <w:t> </w:t>
      </w:r>
      <w:r>
        <w:rPr>
          <w:spacing w:val="-72"/>
        </w:rPr>
      </w:r>
      <w:r>
        <w:rPr/>
        <w:t>已确认的相关成本或费用和所有者权益总额进行调整。</w:t>
      </w:r>
    </w:p>
    <w:p>
      <w:pPr>
        <w:spacing w:line="240" w:lineRule="auto" w:before="7"/>
        <w:rPr>
          <w:rFonts w:ascii="宋体" w:hAnsi="宋体" w:cs="宋体" w:eastAsia="宋体" w:hint="default"/>
          <w:sz w:val="16"/>
          <w:szCs w:val="16"/>
        </w:rPr>
      </w:pPr>
    </w:p>
    <w:p>
      <w:pPr>
        <w:pStyle w:val="BodyText"/>
        <w:spacing w:line="312" w:lineRule="exact"/>
        <w:ind w:right="138"/>
        <w:jc w:val="both"/>
      </w:pPr>
      <w:r>
        <w:rPr/>
        <w:t>以现金结算的股份支付，按照本公司承担的以股份或其他权益工具为基础计算确定</w:t>
      </w:r>
      <w:r>
        <w:rPr>
          <w:spacing w:val="-77"/>
        </w:rPr>
        <w:t> </w:t>
      </w:r>
      <w:r>
        <w:rPr>
          <w:spacing w:val="-77"/>
        </w:rPr>
      </w:r>
      <w:r>
        <w:rPr/>
        <w:t>的负债的公允价值计量。授予后立即可行权的，在授予日以本公司承担负债的公允</w:t>
      </w:r>
      <w:r>
        <w:rPr>
          <w:spacing w:val="-77"/>
        </w:rPr>
        <w:t> </w:t>
      </w:r>
      <w:r>
        <w:rPr>
          <w:spacing w:val="-77"/>
        </w:rPr>
      </w:r>
      <w:r>
        <w:rPr/>
        <w:t>价值计入相关成本或费用，相应增加负债。在完成等待期内的服务或达到规定业绩</w:t>
      </w:r>
      <w:r>
        <w:rPr>
          <w:spacing w:val="-77"/>
        </w:rPr>
        <w:t> </w:t>
      </w:r>
      <w:r>
        <w:rPr>
          <w:spacing w:val="-77"/>
        </w:rPr>
      </w:r>
      <w:r>
        <w:rPr/>
        <w:t>条件以后才可行权的以现金结算的股份支付，在等待期内的每个资产负债表日，以</w:t>
      </w:r>
      <w:r>
        <w:rPr>
          <w:spacing w:val="-77"/>
        </w:rPr>
        <w:t> </w:t>
      </w:r>
      <w:r>
        <w:rPr>
          <w:spacing w:val="-77"/>
        </w:rPr>
      </w:r>
      <w:r>
        <w:rPr/>
        <w:t>对可行权情况的最佳估计为基础，按照本公司承担负债的公允价值金额，将当期取</w:t>
      </w:r>
      <w:r>
        <w:rPr>
          <w:spacing w:val="-77"/>
        </w:rPr>
        <w:t> </w:t>
      </w:r>
      <w:r>
        <w:rPr>
          <w:spacing w:val="-77"/>
        </w:rPr>
      </w:r>
      <w:r>
        <w:rPr/>
        <w:t>得的服务计入成本或费用和相应的负债。在相关负债结算前的每个资产负债表日以</w:t>
      </w:r>
      <w:r>
        <w:rPr>
          <w:spacing w:val="-77"/>
        </w:rPr>
        <w:t> </w:t>
      </w:r>
      <w:r>
        <w:rPr>
          <w:spacing w:val="-77"/>
        </w:rPr>
      </w:r>
      <w:r>
        <w:rPr/>
        <w:t>及结算日，对负债的公允价值重新计量，其变动计入当期损益。</w:t>
      </w:r>
    </w:p>
    <w:p>
      <w:pPr>
        <w:pStyle w:val="BodyText"/>
        <w:spacing w:line="237" w:lineRule="auto" w:before="188"/>
        <w:ind w:right="138"/>
        <w:jc w:val="both"/>
      </w:pPr>
      <w:r>
        <w:rPr/>
        <w:t>本公司对股份支付计划进行修改时，若修改增加了所授予权益工具的公允价值，按</w:t>
      </w:r>
      <w:r>
        <w:rPr>
          <w:spacing w:val="-77"/>
        </w:rPr>
        <w:t> </w:t>
      </w:r>
      <w:r>
        <w:rPr>
          <w:spacing w:val="-77"/>
        </w:rPr>
      </w:r>
      <w:r>
        <w:rPr/>
        <w:t>照权益工具公允价值的增加相应地确认取得服务的增加；若修改增加了所授予权益</w:t>
      </w:r>
      <w:r>
        <w:rPr>
          <w:spacing w:val="-77"/>
        </w:rPr>
        <w:t> </w:t>
      </w:r>
      <w:r>
        <w:rPr>
          <w:spacing w:val="-77"/>
        </w:rPr>
      </w:r>
      <w:r>
        <w:rPr/>
        <w:t>工具的数量，则将增加的权益工具的公允价值相应地确认为取得服务的增加。权益</w:t>
      </w:r>
      <w:r>
        <w:rPr>
          <w:spacing w:val="-77"/>
        </w:rPr>
        <w:t> </w:t>
      </w:r>
      <w:r>
        <w:rPr>
          <w:spacing w:val="-77"/>
        </w:rPr>
      </w:r>
      <w:r>
        <w:rPr/>
        <w:t>工具公允价值的增加是指修改前后的权益工具在修改日的公允价值之间的差额。若</w:t>
      </w:r>
      <w:r>
        <w:rPr>
          <w:spacing w:val="-77"/>
        </w:rPr>
        <w:t> </w:t>
      </w:r>
      <w:r>
        <w:rPr>
          <w:spacing w:val="-77"/>
        </w:rPr>
      </w:r>
      <w:r>
        <w:rPr/>
        <w:t>修改减少了股份支付公允价值总额或采用了其他不利于职工的方式修改股份支付计</w:t>
      </w:r>
      <w:r>
        <w:rPr>
          <w:spacing w:val="-77"/>
        </w:rPr>
        <w:t> </w:t>
      </w:r>
      <w:r>
        <w:rPr>
          <w:spacing w:val="-77"/>
        </w:rPr>
      </w:r>
      <w:r>
        <w:rPr/>
        <w:t>划的条款和条件，则仍继续对取得的服务进行会计处理，视同该变更从未发生，除</w:t>
      </w:r>
      <w:r>
        <w:rPr>
          <w:spacing w:val="-77"/>
        </w:rPr>
        <w:t> </w:t>
      </w:r>
      <w:r>
        <w:rPr>
          <w:spacing w:val="-77"/>
        </w:rPr>
      </w:r>
      <w:r>
        <w:rPr/>
        <w:t>非本公司取消了部分或全部已授予的权益工具。</w:t>
      </w:r>
    </w:p>
    <w:p>
      <w:pPr>
        <w:spacing w:line="240" w:lineRule="auto" w:before="9"/>
        <w:rPr>
          <w:rFonts w:ascii="宋体" w:hAnsi="宋体" w:cs="宋体" w:eastAsia="宋体" w:hint="default"/>
          <w:sz w:val="18"/>
          <w:szCs w:val="18"/>
        </w:rPr>
      </w:pPr>
    </w:p>
    <w:p>
      <w:pPr>
        <w:pStyle w:val="BodyText"/>
        <w:spacing w:line="312" w:lineRule="exact"/>
        <w:ind w:right="138"/>
        <w:jc w:val="both"/>
      </w:pPr>
      <w:r>
        <w:rPr/>
        <w:t>在等待期内，如果取消了授予的权益工具（因未满足可行权条件的非市场条件而被</w:t>
      </w:r>
      <w:r>
        <w:rPr>
          <w:spacing w:val="-77"/>
        </w:rPr>
        <w:t> </w:t>
      </w:r>
      <w:r>
        <w:rPr>
          <w:spacing w:val="-77"/>
        </w:rPr>
      </w:r>
      <w:r>
        <w:rPr/>
        <w:t>取消的除外），本公司对取消所授予的权益性工具作为加速行权处理，将剩余等待</w:t>
      </w:r>
      <w:r>
        <w:rPr>
          <w:spacing w:val="-77"/>
        </w:rPr>
        <w:t> </w:t>
      </w:r>
      <w:r>
        <w:rPr>
          <w:spacing w:val="-77"/>
        </w:rPr>
      </w:r>
      <w:r>
        <w:rPr/>
        <w:t>期内应确认的金额立即计入当期损益，同时确认资本公积。职工或其他方能够选择</w:t>
      </w:r>
      <w:r>
        <w:rPr>
          <w:spacing w:val="-77"/>
        </w:rPr>
        <w:t> </w:t>
      </w:r>
      <w:r>
        <w:rPr>
          <w:spacing w:val="-77"/>
        </w:rPr>
      </w:r>
      <w:r>
        <w:rPr/>
        <w:t>满足非可行权条件但在等待期内未满足的，本公司将其作为授予权益工具的取消处</w:t>
      </w:r>
      <w:r>
        <w:rPr>
          <w:spacing w:val="-77"/>
        </w:rPr>
        <w:t> </w:t>
      </w:r>
      <w:r>
        <w:rPr>
          <w:spacing w:val="-77"/>
        </w:rPr>
      </w:r>
      <w:r>
        <w:rPr/>
        <w:t>理。</w:t>
      </w:r>
    </w:p>
    <w:p>
      <w:pPr>
        <w:spacing w:line="240" w:lineRule="auto" w:before="10"/>
        <w:rPr>
          <w:rFonts w:ascii="宋体" w:hAnsi="宋体" w:cs="宋体" w:eastAsia="宋体" w:hint="default"/>
          <w:sz w:val="22"/>
          <w:szCs w:val="22"/>
        </w:rPr>
      </w:pPr>
    </w:p>
    <w:p>
      <w:pPr>
        <w:spacing w:line="506" w:lineRule="auto" w:before="0"/>
        <w:ind w:left="558" w:right="69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、回购本公司股份</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before="104"/>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、收入</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273" w:lineRule="auto" w:before="0"/>
        <w:ind w:left="558" w:right="208" w:firstLine="0"/>
        <w:jc w:val="both"/>
        <w:rPr>
          <w:rFonts w:ascii="宋体" w:hAnsi="宋体" w:cs="宋体" w:eastAsia="宋体" w:hint="default"/>
          <w:sz w:val="21"/>
          <w:szCs w:val="21"/>
        </w:rPr>
      </w:pPr>
      <w:r>
        <w:rPr>
          <w:rFonts w:ascii="宋体" w:hAnsi="宋体" w:cs="宋体" w:eastAsia="宋体" w:hint="default"/>
          <w:spacing w:val="-2"/>
          <w:sz w:val="21"/>
          <w:szCs w:val="21"/>
        </w:rPr>
        <w:t>在已将商品所有权上的主要风险和报酬转移给购货方，既没有保留通常与所有权相联系的继续</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管理权，也没有对已售商品实施有效控制，收入的金额能够可靠地计量，相关的经济利益很可</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能流入企业，相关的已发生或将发生的成本能够可靠地计量时，确认商品销售收入的实现。</w:t>
      </w:r>
    </w:p>
    <w:p>
      <w:pPr>
        <w:spacing w:after="0" w:line="273" w:lineRule="auto"/>
        <w:jc w:val="both"/>
        <w:rPr>
          <w:rFonts w:ascii="宋体" w:hAnsi="宋体" w:cs="宋体" w:eastAsia="宋体" w:hint="default"/>
          <w:sz w:val="21"/>
          <w:szCs w:val="21"/>
        </w:rPr>
        <w:sectPr>
          <w:pgSz w:w="11910" w:h="16840"/>
          <w:pgMar w:header="884" w:footer="1007" w:top="1160" w:bottom="1200" w:left="1240" w:right="1280"/>
        </w:sectPr>
      </w:pPr>
    </w:p>
    <w:p>
      <w:pPr>
        <w:spacing w:line="240" w:lineRule="auto" w:before="4"/>
        <w:rPr>
          <w:rFonts w:ascii="宋体" w:hAnsi="宋体" w:cs="宋体" w:eastAsia="宋体" w:hint="default"/>
          <w:sz w:val="16"/>
          <w:szCs w:val="16"/>
        </w:rPr>
      </w:pPr>
    </w:p>
    <w:p>
      <w:pPr>
        <w:spacing w:before="36"/>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198"/>
        <w:jc w:val="both"/>
      </w:pPr>
      <w:r>
        <w:rPr/>
        <w:t>与资产使用权让渡相关的经济利益能够流入及收入的金额能够可靠地计量时，本公</w:t>
      </w:r>
      <w:r>
        <w:rPr>
          <w:spacing w:val="-77"/>
        </w:rPr>
        <w:t> </w:t>
      </w:r>
      <w:r>
        <w:rPr>
          <w:spacing w:val="-77"/>
        </w:rPr>
      </w:r>
      <w:r>
        <w:rPr/>
        <w:t>司确认收入。</w:t>
      </w:r>
    </w:p>
    <w:p>
      <w:pPr>
        <w:spacing w:line="240" w:lineRule="auto" w:before="9"/>
        <w:rPr>
          <w:rFonts w:ascii="宋体" w:hAnsi="宋体" w:cs="宋体" w:eastAsia="宋体" w:hint="default"/>
          <w:sz w:val="22"/>
          <w:szCs w:val="22"/>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）确认提供劳务收入的依据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98"/>
        <w:jc w:val="both"/>
      </w:pPr>
      <w:r>
        <w:rPr/>
        <w:t>对在提供劳务交易的结果能够可靠估计的情况下，本公司于资产负债表日按完工百</w:t>
      </w:r>
      <w:r>
        <w:rPr>
          <w:spacing w:val="-77"/>
        </w:rPr>
        <w:t> </w:t>
      </w:r>
      <w:r>
        <w:rPr>
          <w:spacing w:val="-77"/>
        </w:rPr>
      </w:r>
      <w:r>
        <w:rPr/>
        <w:t>分比法确认收入。</w:t>
      </w:r>
    </w:p>
    <w:p>
      <w:pPr>
        <w:pStyle w:val="BodyText"/>
        <w:spacing w:line="528" w:lineRule="exact" w:before="43"/>
        <w:ind w:right="106"/>
        <w:jc w:val="both"/>
      </w:pPr>
      <w:r>
        <w:rPr/>
        <w:t>劳务交易的完工进度按已经提供的劳务占应提供劳务总量的比例确定。 提供劳务交易的结果能够可靠估计是指同时满足：</w:t>
      </w:r>
      <w:r>
        <w:rPr>
          <w:rFonts w:ascii="Calibri" w:hAnsi="Calibri" w:cs="Calibri" w:eastAsia="Calibri" w:hint="default"/>
        </w:rPr>
        <w:t>A</w:t>
      </w:r>
      <w:r>
        <w:rPr/>
        <w:t>、收入的金额能够可靠地计量；</w:t>
      </w:r>
    </w:p>
    <w:p>
      <w:pPr>
        <w:pStyle w:val="BodyText"/>
        <w:spacing w:line="254" w:lineRule="exact"/>
        <w:ind w:right="0"/>
        <w:jc w:val="both"/>
      </w:pPr>
      <w:r>
        <w:rPr>
          <w:rFonts w:ascii="Calibri" w:hAnsi="Calibri" w:cs="Calibri" w:eastAsia="Calibri" w:hint="default"/>
          <w:spacing w:val="-4"/>
        </w:rPr>
        <w:t>B</w:t>
      </w:r>
      <w:r>
        <w:rPr>
          <w:spacing w:val="-4"/>
        </w:rPr>
        <w:t>、相关的经济利益很可能流入企业；</w:t>
      </w:r>
      <w:r>
        <w:rPr>
          <w:rFonts w:ascii="Calibri" w:hAnsi="Calibri" w:cs="Calibri" w:eastAsia="Calibri" w:hint="default"/>
          <w:spacing w:val="-4"/>
        </w:rPr>
        <w:t>C</w:t>
      </w:r>
      <w:r>
        <w:rPr>
          <w:spacing w:val="-4"/>
        </w:rPr>
        <w:t>、交易的完工程度能够可靠地确定；</w:t>
      </w:r>
      <w:r>
        <w:rPr>
          <w:rFonts w:ascii="Calibri" w:hAnsi="Calibri" w:cs="Calibri" w:eastAsia="Calibri" w:hint="default"/>
          <w:spacing w:val="-4"/>
        </w:rPr>
        <w:t>D</w:t>
      </w:r>
      <w:r>
        <w:rPr>
          <w:spacing w:val="-4"/>
        </w:rPr>
        <w:t>、交易</w:t>
      </w:r>
    </w:p>
    <w:p>
      <w:pPr>
        <w:pStyle w:val="BodyText"/>
        <w:spacing w:line="298" w:lineRule="exact"/>
        <w:ind w:right="0"/>
        <w:jc w:val="both"/>
      </w:pPr>
      <w:r>
        <w:rPr/>
        <w:t>中已发生和将发生的成本能够可靠地计量。</w:t>
      </w:r>
    </w:p>
    <w:p>
      <w:pPr>
        <w:spacing w:line="240" w:lineRule="auto" w:before="9"/>
        <w:rPr>
          <w:rFonts w:ascii="宋体" w:hAnsi="宋体" w:cs="宋体" w:eastAsia="宋体" w:hint="default"/>
          <w:sz w:val="18"/>
          <w:szCs w:val="18"/>
        </w:rPr>
      </w:pPr>
    </w:p>
    <w:p>
      <w:pPr>
        <w:pStyle w:val="BodyText"/>
        <w:spacing w:line="312" w:lineRule="exact"/>
        <w:ind w:right="198"/>
        <w:jc w:val="both"/>
      </w:pPr>
      <w:r>
        <w:rPr/>
        <w:t>如果提供劳务交易的结果不能够可靠估计，则按已经发生并预计能够得到补偿的劳</w:t>
      </w:r>
      <w:r>
        <w:rPr>
          <w:spacing w:val="-77"/>
        </w:rPr>
        <w:t> </w:t>
      </w:r>
      <w:r>
        <w:rPr>
          <w:spacing w:val="-77"/>
        </w:rPr>
      </w:r>
      <w:r>
        <w:rPr/>
        <w:t>务成本金额确认提供的劳务收入，并将已发生的劳务成本作为当期费用。已经发生</w:t>
      </w:r>
      <w:r>
        <w:rPr>
          <w:spacing w:val="-77"/>
        </w:rPr>
        <w:t> </w:t>
      </w:r>
      <w:r>
        <w:rPr>
          <w:spacing w:val="-77"/>
        </w:rPr>
      </w:r>
      <w:r>
        <w:rPr/>
        <w:t>的劳务成本如预计不能得到补偿的，则不确认收入。</w:t>
      </w:r>
    </w:p>
    <w:p>
      <w:pPr>
        <w:spacing w:line="240" w:lineRule="auto" w:before="9"/>
        <w:rPr>
          <w:rFonts w:ascii="宋体" w:hAnsi="宋体" w:cs="宋体" w:eastAsia="宋体" w:hint="default"/>
          <w:sz w:val="22"/>
          <w:szCs w:val="22"/>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）按完工百分比法确认提供劳务的收入和建造合同收入时，确定合同完工进度的依据和方法</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right="0"/>
        <w:jc w:val="both"/>
      </w:pPr>
      <w:r>
        <w:rPr/>
        <w:t>劳务交易的完工进度按已经提供的劳务占应提供劳务总量的比例确定。</w:t>
      </w:r>
    </w:p>
    <w:p>
      <w:pPr>
        <w:spacing w:line="240" w:lineRule="auto" w:before="9"/>
        <w:rPr>
          <w:rFonts w:ascii="宋体" w:hAnsi="宋体" w:cs="宋体" w:eastAsia="宋体" w:hint="default"/>
          <w:sz w:val="18"/>
          <w:szCs w:val="18"/>
        </w:rPr>
      </w:pPr>
    </w:p>
    <w:p>
      <w:pPr>
        <w:pStyle w:val="BodyText"/>
        <w:spacing w:line="312" w:lineRule="exact"/>
        <w:ind w:right="124"/>
        <w:jc w:val="both"/>
      </w:pPr>
      <w:r>
        <w:rPr/>
        <w:t>提供劳务交易的结果能够可靠估计是指同时满足：</w:t>
      </w:r>
      <w:r>
        <w:rPr>
          <w:rFonts w:ascii="宋体" w:hAnsi="宋体" w:cs="宋体" w:eastAsia="宋体" w:hint="default"/>
        </w:rPr>
        <w:t>A</w:t>
      </w:r>
      <w:r>
        <w:rPr/>
        <w:t>、收入的金额能够可靠地计量； </w:t>
      </w:r>
      <w:r>
        <w:rPr>
          <w:rFonts w:ascii="宋体" w:hAnsi="宋体" w:cs="宋体" w:eastAsia="宋体" w:hint="default"/>
          <w:spacing w:val="-2"/>
        </w:rPr>
        <w:t>B</w:t>
      </w:r>
      <w:r>
        <w:rPr>
          <w:spacing w:val="-2"/>
        </w:rPr>
        <w:t>、相关的经济利益很可能流入企业；</w:t>
      </w:r>
      <w:r>
        <w:rPr>
          <w:rFonts w:ascii="宋体" w:hAnsi="宋体" w:cs="宋体" w:eastAsia="宋体" w:hint="default"/>
          <w:spacing w:val="-2"/>
        </w:rPr>
        <w:t>C</w:t>
      </w:r>
      <w:r>
        <w:rPr>
          <w:spacing w:val="-2"/>
        </w:rPr>
        <w:t>、交易的完工程度能够可靠地确定；</w:t>
      </w:r>
      <w:r>
        <w:rPr>
          <w:rFonts w:ascii="宋体" w:hAnsi="宋体" w:cs="宋体" w:eastAsia="宋体" w:hint="default"/>
          <w:spacing w:val="-2"/>
        </w:rPr>
        <w:t>D</w:t>
      </w:r>
      <w:r>
        <w:rPr>
          <w:spacing w:val="-2"/>
        </w:rPr>
        <w:t>、交易</w:t>
      </w:r>
      <w:r>
        <w:rPr>
          <w:spacing w:val="-115"/>
        </w:rPr>
        <w:t> </w:t>
      </w:r>
      <w:r>
        <w:rPr>
          <w:spacing w:val="-115"/>
        </w:rPr>
      </w:r>
      <w:r>
        <w:rPr/>
        <w:t>中已发生和将发生的成本能够可靠地计量。</w:t>
      </w:r>
    </w:p>
    <w:p>
      <w:pPr>
        <w:pStyle w:val="BodyText"/>
        <w:spacing w:line="312" w:lineRule="exact" w:before="216"/>
        <w:ind w:right="198"/>
        <w:jc w:val="both"/>
      </w:pPr>
      <w:r>
        <w:rPr/>
        <w:t>如果提供劳务交易的结果不能够可靠估计，则按已经发生并预计能够得到补偿的劳</w:t>
      </w:r>
      <w:r>
        <w:rPr>
          <w:spacing w:val="-77"/>
        </w:rPr>
        <w:t> </w:t>
      </w:r>
      <w:r>
        <w:rPr>
          <w:spacing w:val="-77"/>
        </w:rPr>
      </w:r>
      <w:r>
        <w:rPr/>
        <w:t>务成本金额确认提供的劳务收入，并将已发生的劳务成本作为当期费用。已经发生</w:t>
      </w:r>
      <w:r>
        <w:rPr>
          <w:spacing w:val="-77"/>
        </w:rPr>
        <w:t> </w:t>
      </w:r>
      <w:r>
        <w:rPr>
          <w:spacing w:val="-77"/>
        </w:rPr>
      </w:r>
      <w:r>
        <w:rPr/>
        <w:t>的劳务成本如预计不能得到补偿的，则不确认收入。</w:t>
      </w:r>
    </w:p>
    <w:p>
      <w:pPr>
        <w:spacing w:line="240" w:lineRule="auto" w:before="9"/>
        <w:rPr>
          <w:rFonts w:ascii="宋体" w:hAnsi="宋体" w:cs="宋体" w:eastAsia="宋体" w:hint="default"/>
          <w:sz w:val="22"/>
          <w:szCs w:val="22"/>
        </w:rPr>
      </w:pPr>
    </w:p>
    <w:p>
      <w:pPr>
        <w:spacing w:before="0"/>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、政府补助</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）会计处理方法</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198"/>
        <w:jc w:val="both"/>
      </w:pPr>
      <w:r>
        <w:rPr/>
        <w:t>对于货币性资产的政府补助，按照收到或应收的金额计量。其中，存在确凿证据表</w:t>
      </w:r>
      <w:r>
        <w:rPr>
          <w:spacing w:val="-77"/>
        </w:rPr>
        <w:t> </w:t>
      </w:r>
      <w:r>
        <w:rPr>
          <w:spacing w:val="-77"/>
        </w:rPr>
      </w:r>
      <w:r>
        <w:rPr/>
        <w:t>明该项补助是按照固定的定额标准拨付的，可以按照应收的金额计量，否则应当按</w:t>
      </w:r>
      <w:r>
        <w:rPr>
          <w:spacing w:val="-77"/>
        </w:rPr>
        <w:t> </w:t>
      </w:r>
      <w:r>
        <w:rPr>
          <w:spacing w:val="-77"/>
        </w:rPr>
      </w:r>
      <w:r>
        <w:rPr/>
        <w:t>照实际收到的金额计量。对于非货币性资产的政府补助，按照公允价值计量；公允</w:t>
      </w:r>
      <w:r>
        <w:rPr>
          <w:spacing w:val="-78"/>
        </w:rPr>
        <w:t> </w:t>
      </w:r>
      <w:r>
        <w:rPr>
          <w:spacing w:val="-78"/>
        </w:rPr>
      </w:r>
      <w:r>
        <w:rPr/>
        <w:t>价值不能够可靠取得的，按照名义金额</w:t>
      </w:r>
      <w:r>
        <w:rPr>
          <w:rFonts w:ascii="Calibri" w:hAnsi="Calibri" w:cs="Calibri" w:eastAsia="Calibri" w:hint="default"/>
        </w:rPr>
        <w:t>1</w:t>
      </w:r>
      <w:r>
        <w:rPr/>
        <w:t>元计量。</w:t>
      </w:r>
    </w:p>
    <w:p>
      <w:pPr>
        <w:pStyle w:val="BodyText"/>
        <w:spacing w:line="237" w:lineRule="auto" w:before="188"/>
        <w:ind w:right="198"/>
        <w:jc w:val="both"/>
      </w:pPr>
      <w:r>
        <w:rPr/>
        <w:t>与资产相关的政府补助，确认为递延收益，并在相关资产使用期限内平均分配，计</w:t>
      </w:r>
      <w:r>
        <w:rPr>
          <w:spacing w:val="-77"/>
        </w:rPr>
        <w:t> </w:t>
      </w:r>
      <w:r>
        <w:rPr>
          <w:spacing w:val="-77"/>
        </w:rPr>
      </w:r>
      <w:r>
        <w:rPr/>
        <w:t>入当期损益。与收益相关的政府补助，如果用于补偿已发生的相关费用或损失，则</w:t>
      </w:r>
      <w:r>
        <w:rPr>
          <w:spacing w:val="-77"/>
        </w:rPr>
        <w:t> </w:t>
      </w:r>
      <w:r>
        <w:rPr>
          <w:spacing w:val="-77"/>
        </w:rPr>
      </w:r>
      <w:r>
        <w:rPr/>
        <w:t>计入当期损益；如果用于补偿以后期间的相关费用或损失，则计入递延收益，于费</w:t>
      </w:r>
    </w:p>
    <w:p>
      <w:pPr>
        <w:spacing w:after="0" w:line="237" w:lineRule="auto"/>
        <w:jc w:val="both"/>
        <w:sectPr>
          <w:pgSz w:w="11910" w:h="16840"/>
          <w:pgMar w:header="884" w:footer="1007" w:top="1160" w:bottom="1200" w:left="1240" w:right="1220"/>
        </w:sectPr>
      </w:pPr>
    </w:p>
    <w:p>
      <w:pPr>
        <w:spacing w:line="240" w:lineRule="auto" w:before="13"/>
        <w:rPr>
          <w:rFonts w:ascii="宋体" w:hAnsi="宋体" w:cs="宋体" w:eastAsia="宋体" w:hint="default"/>
          <w:sz w:val="14"/>
          <w:szCs w:val="14"/>
        </w:rPr>
      </w:pPr>
    </w:p>
    <w:p>
      <w:pPr>
        <w:pStyle w:val="BodyText"/>
        <w:spacing w:line="240" w:lineRule="auto" w:before="26"/>
        <w:ind w:right="102"/>
        <w:jc w:val="left"/>
      </w:pPr>
      <w:r>
        <w:rPr/>
        <w:t>用确认期间计入当期损益。按照名义金额计量的政府补助，直接计入当期损益。</w:t>
      </w:r>
    </w:p>
    <w:p>
      <w:pPr>
        <w:spacing w:line="240" w:lineRule="auto" w:before="9"/>
        <w:rPr>
          <w:rFonts w:ascii="宋体" w:hAnsi="宋体" w:cs="宋体" w:eastAsia="宋体" w:hint="default"/>
          <w:sz w:val="18"/>
          <w:szCs w:val="18"/>
        </w:rPr>
      </w:pPr>
    </w:p>
    <w:p>
      <w:pPr>
        <w:pStyle w:val="BodyText"/>
        <w:spacing w:line="312" w:lineRule="exact"/>
        <w:ind w:right="102"/>
        <w:jc w:val="left"/>
      </w:pPr>
      <w:r>
        <w:rPr/>
        <w:t>已确认的政府补助需要返还时，存在相关递延收益余额的，冲减相关递延收益账面</w:t>
      </w:r>
      <w:r>
        <w:rPr>
          <w:spacing w:val="-77"/>
        </w:rPr>
        <w:t> </w:t>
      </w:r>
      <w:r>
        <w:rPr>
          <w:spacing w:val="-77"/>
        </w:rPr>
      </w:r>
      <w:r>
        <w:rPr/>
        <w:t>余额，超出部分计入当期损益；不存在相关递延收益的，直接计入当期损益。</w:t>
      </w:r>
    </w:p>
    <w:p>
      <w:pPr>
        <w:spacing w:line="240" w:lineRule="auto" w:before="9"/>
        <w:rPr>
          <w:rFonts w:ascii="宋体" w:hAnsi="宋体" w:cs="宋体" w:eastAsia="宋体" w:hint="default"/>
          <w:sz w:val="22"/>
          <w:szCs w:val="22"/>
        </w:rPr>
      </w:pPr>
    </w:p>
    <w:p>
      <w:pPr>
        <w:spacing w:before="0"/>
        <w:ind w:left="558"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37" w:lineRule="auto"/>
        <w:ind w:right="233"/>
        <w:jc w:val="both"/>
      </w:pPr>
      <w:r>
        <w:rPr/>
        <w:t>对于可抵扣暂时性差异、能够结转以后年度的可抵扣亏损和税款抵减，本公司以很</w:t>
      </w:r>
      <w:r>
        <w:rPr>
          <w:spacing w:val="-77"/>
        </w:rPr>
        <w:t> </w:t>
      </w:r>
      <w:r>
        <w:rPr>
          <w:spacing w:val="-77"/>
        </w:rPr>
      </w:r>
      <w:r>
        <w:rPr/>
        <w:t>可能取得用来抵扣可抵扣暂时性差异、可抵扣亏损和税款抵减的未来应纳税所得额</w:t>
      </w:r>
      <w:r>
        <w:rPr>
          <w:spacing w:val="-77"/>
        </w:rPr>
        <w:t> </w:t>
      </w:r>
      <w:r>
        <w:rPr>
          <w:spacing w:val="-77"/>
        </w:rPr>
      </w:r>
      <w:r>
        <w:rPr/>
        <w:t>为限，确认由此产生的递延所得税资产，除非该可抵扣暂时性差异是在以下交易中</w:t>
      </w:r>
      <w:r>
        <w:rPr>
          <w:spacing w:val="-77"/>
        </w:rPr>
        <w:t> </w:t>
      </w:r>
      <w:r>
        <w:rPr>
          <w:spacing w:val="-77"/>
        </w:rPr>
      </w:r>
      <w:r>
        <w:rPr>
          <w:spacing w:val="-2"/>
        </w:rPr>
        <w:t>产生的：（</w:t>
      </w:r>
      <w:r>
        <w:rPr>
          <w:rFonts w:ascii="宋体" w:hAnsi="宋体" w:cs="宋体" w:eastAsia="宋体" w:hint="default"/>
          <w:spacing w:val="-2"/>
        </w:rPr>
        <w:t>1</w:t>
      </w:r>
      <w:r>
        <w:rPr>
          <w:spacing w:val="-2"/>
        </w:rPr>
        <w:t>）该交易不是企业合并，并且交易发生时既不影响会计利润也不影响应</w:t>
      </w:r>
      <w:r>
        <w:rPr>
          <w:spacing w:val="-115"/>
        </w:rPr>
        <w:t> </w:t>
      </w:r>
      <w:r>
        <w:rPr>
          <w:spacing w:val="-115"/>
        </w:rPr>
      </w:r>
      <w:r>
        <w:rPr>
          <w:spacing w:val="-2"/>
        </w:rPr>
        <w:t>纳税所得额；（</w:t>
      </w:r>
      <w:r>
        <w:rPr>
          <w:rFonts w:ascii="宋体" w:hAnsi="宋体" w:cs="宋体" w:eastAsia="宋体" w:hint="default"/>
          <w:spacing w:val="-2"/>
        </w:rPr>
        <w:t>2</w:t>
      </w:r>
      <w:r>
        <w:rPr>
          <w:spacing w:val="-2"/>
        </w:rPr>
        <w:t>）对于与子公司、合营企业及联营企业投资相关的可抵扣暂时性差</w:t>
      </w:r>
      <w:r>
        <w:rPr>
          <w:spacing w:val="-115"/>
        </w:rPr>
        <w:t> </w:t>
      </w:r>
      <w:r>
        <w:rPr>
          <w:spacing w:val="-115"/>
        </w:rPr>
      </w:r>
      <w:r>
        <w:rPr/>
        <w:t>异，同时满足下列条件的，确认相应的递延所得税资产：暂时性差异在可预见的未</w:t>
      </w:r>
      <w:r>
        <w:rPr>
          <w:spacing w:val="-73"/>
        </w:rPr>
        <w:t> </w:t>
      </w:r>
      <w:r>
        <w:rPr>
          <w:spacing w:val="-73"/>
        </w:rPr>
      </w:r>
      <w:r>
        <w:rPr/>
        <w:t>来很可能转回，且未来很可能获得用来抵扣可抵扣暂时性差异的应纳税所得额。于</w:t>
      </w:r>
      <w:r>
        <w:rPr>
          <w:spacing w:val="-77"/>
        </w:rPr>
        <w:t> </w:t>
      </w:r>
      <w:r>
        <w:rPr>
          <w:spacing w:val="-77"/>
        </w:rPr>
      </w:r>
      <w:r>
        <w:rPr/>
        <w:t>资产负债表日，本公司对递延所得税资产和递延所得税负债，按照预期收回该资产</w:t>
      </w:r>
      <w:r>
        <w:rPr>
          <w:spacing w:val="-77"/>
        </w:rPr>
        <w:t> </w:t>
      </w:r>
      <w:r>
        <w:rPr>
          <w:spacing w:val="-77"/>
        </w:rPr>
      </w:r>
      <w:r>
        <w:rPr/>
        <w:t>或清偿该负债期间的适用税率计量，并反映资产负债表日预期收回资产或清偿负债</w:t>
      </w:r>
      <w:r>
        <w:rPr>
          <w:spacing w:val="-77"/>
        </w:rPr>
        <w:t> </w:t>
      </w:r>
      <w:r>
        <w:rPr>
          <w:spacing w:val="-77"/>
        </w:rPr>
      </w:r>
      <w:r>
        <w:rPr/>
        <w:t>方式的所得税影响。于资产负债表日，本公司对递延所得税资产的账面价值进行复</w:t>
      </w:r>
      <w:r>
        <w:rPr>
          <w:spacing w:val="-77"/>
        </w:rPr>
        <w:t> </w:t>
      </w:r>
      <w:r>
        <w:rPr>
          <w:spacing w:val="-77"/>
        </w:rPr>
      </w:r>
      <w:r>
        <w:rPr/>
        <w:t>核。如果未来期间很可能无法获得足够的应纳税所得额用以抵扣递延所得税资产的</w:t>
      </w:r>
      <w:r>
        <w:rPr>
          <w:spacing w:val="-77"/>
        </w:rPr>
        <w:t> </w:t>
      </w:r>
      <w:r>
        <w:rPr>
          <w:spacing w:val="-77"/>
        </w:rPr>
      </w:r>
      <w:r>
        <w:rPr/>
        <w:t>利益，减记递延所得税资产的账面价值。在很可能获得足够的应纳税所得额时，减</w:t>
      </w:r>
      <w:r>
        <w:rPr>
          <w:spacing w:val="-77"/>
        </w:rPr>
        <w:t> </w:t>
      </w:r>
      <w:r>
        <w:rPr>
          <w:spacing w:val="-77"/>
        </w:rPr>
      </w:r>
      <w:r>
        <w:rPr/>
        <w:t>记的金额予以转回。</w:t>
      </w:r>
    </w:p>
    <w:p>
      <w:pPr>
        <w:spacing w:line="240" w:lineRule="auto" w:before="12"/>
        <w:rPr>
          <w:rFonts w:ascii="宋体" w:hAnsi="宋体" w:cs="宋体" w:eastAsia="宋体" w:hint="default"/>
          <w:sz w:val="24"/>
          <w:szCs w:val="24"/>
        </w:rPr>
      </w:pPr>
    </w:p>
    <w:p>
      <w:pPr>
        <w:spacing w:before="0"/>
        <w:ind w:left="558"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sz w:val="21"/>
          <w:szCs w:val="21"/>
        </w:rPr>
      </w:r>
    </w:p>
    <w:p>
      <w:pPr>
        <w:spacing w:line="240" w:lineRule="auto" w:before="13"/>
        <w:rPr>
          <w:rFonts w:ascii="宋体" w:hAnsi="宋体" w:cs="宋体" w:eastAsia="宋体" w:hint="default"/>
          <w:b/>
          <w:bCs/>
          <w:sz w:val="24"/>
          <w:szCs w:val="24"/>
        </w:rPr>
      </w:pPr>
    </w:p>
    <w:p>
      <w:pPr>
        <w:pStyle w:val="BodyText"/>
        <w:spacing w:line="312" w:lineRule="exact"/>
        <w:ind w:right="98"/>
        <w:jc w:val="left"/>
      </w:pPr>
      <w:r>
        <w:rPr/>
        <w:t>本公司根据资产、负债于资产负债表日的账面价值与计税基础之间的暂时性差异，</w:t>
      </w:r>
      <w:r>
        <w:rPr>
          <w:spacing w:val="-77"/>
        </w:rPr>
        <w:t> </w:t>
      </w:r>
      <w:r>
        <w:rPr>
          <w:spacing w:val="-77"/>
        </w:rPr>
      </w:r>
      <w:r>
        <w:rPr/>
        <w:t>采用资产负债表债务法确认递延所得税。各项应纳税暂时性差异均确认相关的递延</w:t>
      </w:r>
      <w:r>
        <w:rPr>
          <w:spacing w:val="-77"/>
        </w:rPr>
        <w:t> </w:t>
      </w:r>
      <w:r>
        <w:rPr>
          <w:spacing w:val="-77"/>
        </w:rPr>
      </w:r>
      <w:r>
        <w:rPr/>
        <w:t>所得税负债，除非该应纳税暂时性差异是在以下交易中产生的：（</w:t>
      </w:r>
      <w:r>
        <w:rPr>
          <w:rFonts w:ascii="宋体" w:hAnsi="宋体" w:cs="宋体" w:eastAsia="宋体" w:hint="default"/>
        </w:rPr>
        <w:t>1</w:t>
      </w:r>
      <w:r>
        <w:rPr/>
        <w:t>）商誉的初始确 认，或者具有以下特征的交易中产生的资产或负债的初始确认：该交易不是企业合</w:t>
      </w:r>
      <w:r>
        <w:rPr>
          <w:spacing w:val="-77"/>
        </w:rPr>
        <w:t> </w:t>
      </w:r>
      <w:r>
        <w:rPr>
          <w:spacing w:val="-77"/>
        </w:rPr>
      </w:r>
      <w:r>
        <w:rPr>
          <w:spacing w:val="-5"/>
        </w:rPr>
        <w:t>并，并且交易发生时既不影响会计利润也不影响应纳税所得额；（</w:t>
      </w:r>
      <w:r>
        <w:rPr>
          <w:rFonts w:ascii="宋体" w:hAnsi="宋体" w:cs="宋体" w:eastAsia="宋体" w:hint="default"/>
          <w:spacing w:val="-5"/>
        </w:rPr>
        <w:t>2</w:t>
      </w:r>
      <w:r>
        <w:rPr>
          <w:spacing w:val="-5"/>
        </w:rPr>
        <w:t>）对于与子公司、</w:t>
      </w:r>
      <w:r>
        <w:rPr/>
        <w:t> 合营企业及联营企业投资相关的应纳税暂时性差异，该暂时性差异转回的时间能够</w:t>
      </w:r>
      <w:r>
        <w:rPr>
          <w:spacing w:val="-77"/>
        </w:rPr>
        <w:t> </w:t>
      </w:r>
      <w:r>
        <w:rPr>
          <w:spacing w:val="-77"/>
        </w:rPr>
      </w:r>
      <w:r>
        <w:rPr/>
        <w:t>控制并且该暂时性差异在可预见的未来很可能不会转回</w:t>
      </w:r>
    </w:p>
    <w:p>
      <w:pPr>
        <w:spacing w:line="240" w:lineRule="auto" w:before="10"/>
        <w:rPr>
          <w:rFonts w:ascii="宋体" w:hAnsi="宋体" w:cs="宋体" w:eastAsia="宋体" w:hint="default"/>
          <w:sz w:val="22"/>
          <w:szCs w:val="22"/>
        </w:rPr>
      </w:pPr>
    </w:p>
    <w:p>
      <w:pPr>
        <w:spacing w:before="0"/>
        <w:ind w:left="558"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、经营租赁、融资租赁</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58"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）经营租赁会计处理</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right="102"/>
        <w:jc w:val="left"/>
      </w:pPr>
      <w:r>
        <w:rPr/>
        <w:t>（</w:t>
      </w:r>
      <w:r>
        <w:rPr>
          <w:rFonts w:ascii="Calibri" w:hAnsi="Calibri" w:cs="Calibri" w:eastAsia="Calibri" w:hint="default"/>
        </w:rPr>
        <w:t>1</w:t>
      </w:r>
      <w:r>
        <w:rPr/>
        <w:t>）本公司作为出租人</w:t>
      </w:r>
    </w:p>
    <w:p>
      <w:pPr>
        <w:pStyle w:val="BodyText"/>
        <w:spacing w:line="312" w:lineRule="exact" w:before="214"/>
        <w:ind w:right="102"/>
        <w:jc w:val="left"/>
      </w:pPr>
      <w:r>
        <w:rPr/>
        <w:t>经营租赁中的租金，本公司在租赁期内各个期间按照直线法确认当期损益。发生的</w:t>
      </w:r>
      <w:r>
        <w:rPr>
          <w:spacing w:val="-77"/>
        </w:rPr>
        <w:t> </w:t>
      </w:r>
      <w:r>
        <w:rPr>
          <w:spacing w:val="-77"/>
        </w:rPr>
      </w:r>
      <w:r>
        <w:rPr/>
        <w:t>初始直接费用，计入当期损益。</w:t>
      </w:r>
    </w:p>
    <w:p>
      <w:pPr>
        <w:pStyle w:val="BodyText"/>
        <w:spacing w:line="240" w:lineRule="auto" w:before="185"/>
        <w:ind w:right="102"/>
        <w:jc w:val="left"/>
      </w:pPr>
      <w:r>
        <w:rPr/>
        <w:t>（</w:t>
      </w:r>
      <w:r>
        <w:rPr>
          <w:rFonts w:ascii="宋体" w:hAnsi="宋体" w:cs="宋体" w:eastAsia="宋体" w:hint="default"/>
        </w:rPr>
        <w:t>2</w:t>
      </w:r>
      <w:r>
        <w:rPr/>
        <w:t>）本公司作为承租人</w:t>
      </w:r>
    </w:p>
    <w:p>
      <w:pPr>
        <w:spacing w:line="240" w:lineRule="auto" w:before="10"/>
        <w:rPr>
          <w:rFonts w:ascii="宋体" w:hAnsi="宋体" w:cs="宋体" w:eastAsia="宋体" w:hint="default"/>
          <w:sz w:val="18"/>
          <w:szCs w:val="18"/>
        </w:rPr>
      </w:pPr>
    </w:p>
    <w:p>
      <w:pPr>
        <w:pStyle w:val="BodyText"/>
        <w:spacing w:line="312" w:lineRule="exact"/>
        <w:ind w:right="102"/>
        <w:jc w:val="left"/>
      </w:pPr>
      <w:r>
        <w:rPr/>
        <w:t>经营租赁中的租金，本公司在租赁期内各个期间按照直线法计入相关资产成本或当</w:t>
      </w:r>
      <w:r>
        <w:rPr>
          <w:spacing w:val="-77"/>
        </w:rPr>
        <w:t> </w:t>
      </w:r>
      <w:r>
        <w:rPr>
          <w:spacing w:val="-77"/>
        </w:rPr>
      </w:r>
      <w:r>
        <w:rPr/>
        <w:t>期损益；发生的初始直接费用，计入当期损益。</w:t>
      </w:r>
    </w:p>
    <w:p>
      <w:pPr>
        <w:spacing w:after="0" w:line="312" w:lineRule="exact"/>
        <w:jc w:val="left"/>
        <w:sectPr>
          <w:pgSz w:w="11910" w:h="16840"/>
          <w:pgMar w:header="884" w:footer="1007" w:top="1160" w:bottom="1200" w:left="1240" w:right="1180"/>
        </w:sectPr>
      </w:pPr>
    </w:p>
    <w:p>
      <w:pPr>
        <w:spacing w:line="240" w:lineRule="auto" w:before="4"/>
        <w:rPr>
          <w:rFonts w:ascii="宋体" w:hAnsi="宋体" w:cs="宋体" w:eastAsia="宋体" w:hint="default"/>
          <w:sz w:val="16"/>
          <w:szCs w:val="16"/>
        </w:rPr>
      </w:pPr>
    </w:p>
    <w:p>
      <w:pPr>
        <w:spacing w:before="36"/>
        <w:ind w:left="558"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）融资租赁会计处理</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right="102"/>
        <w:jc w:val="left"/>
      </w:pPr>
      <w:r>
        <w:rPr/>
        <w:t>（</w:t>
      </w:r>
      <w:r>
        <w:rPr>
          <w:rFonts w:ascii="Calibri" w:hAnsi="Calibri" w:cs="Calibri" w:eastAsia="Calibri" w:hint="default"/>
        </w:rPr>
        <w:t>1</w:t>
      </w:r>
      <w:r>
        <w:rPr/>
        <w:t>）本公司作为出租人</w:t>
      </w:r>
    </w:p>
    <w:p>
      <w:pPr>
        <w:pStyle w:val="BodyText"/>
        <w:spacing w:line="312" w:lineRule="exact" w:before="214"/>
        <w:ind w:right="235"/>
        <w:jc w:val="both"/>
      </w:pPr>
      <w:r>
        <w:rPr/>
        <w:t>融资租赁中，在租赁开始日本公司按最低租赁收款额与初始直接费用之和作为应收</w:t>
      </w:r>
      <w:r>
        <w:rPr>
          <w:spacing w:val="-77"/>
        </w:rPr>
        <w:t> </w:t>
      </w:r>
      <w:r>
        <w:rPr>
          <w:spacing w:val="-77"/>
        </w:rPr>
      </w:r>
      <w:r>
        <w:rPr/>
        <w:t>融资租赁款的入账价值，同时记录未担保余值；将最低租赁收款额、初始直接费用</w:t>
      </w:r>
      <w:r>
        <w:rPr>
          <w:spacing w:val="-77"/>
        </w:rPr>
        <w:t> </w:t>
      </w:r>
      <w:r>
        <w:rPr>
          <w:spacing w:val="-77"/>
        </w:rPr>
      </w:r>
      <w:r>
        <w:rPr/>
        <w:t>及未担保余值之和与其现值之和的差额确认为未实现融资收益。未实现融资收益在</w:t>
      </w:r>
      <w:r>
        <w:rPr>
          <w:spacing w:val="-75"/>
        </w:rPr>
        <w:t> </w:t>
      </w:r>
      <w:r>
        <w:rPr>
          <w:spacing w:val="-75"/>
        </w:rPr>
      </w:r>
      <w:r>
        <w:rPr/>
        <w:t>租赁期内各个期间采用实际利率法计算确认当期的融资收入</w:t>
      </w:r>
    </w:p>
    <w:p>
      <w:pPr>
        <w:pStyle w:val="BodyText"/>
        <w:spacing w:line="240" w:lineRule="auto" w:before="185"/>
        <w:ind w:right="102"/>
        <w:jc w:val="left"/>
      </w:pPr>
      <w:r>
        <w:rPr/>
        <w:t>（</w:t>
      </w:r>
      <w:r>
        <w:rPr>
          <w:rFonts w:ascii="Calibri" w:hAnsi="Calibri" w:cs="Calibri" w:eastAsia="Calibri" w:hint="default"/>
        </w:rPr>
        <w:t>2</w:t>
      </w:r>
      <w:r>
        <w:rPr/>
        <w:t>）本公司作为承租人</w:t>
      </w:r>
    </w:p>
    <w:p>
      <w:pPr>
        <w:pStyle w:val="BodyText"/>
        <w:spacing w:line="237" w:lineRule="auto" w:before="186"/>
        <w:ind w:right="102"/>
        <w:jc w:val="left"/>
      </w:pPr>
      <w:r>
        <w:rPr/>
        <w:t>融资租赁中，在租赁开始日本公司将租赁资产公允价值与最低租赁付款额现值两者</w:t>
      </w:r>
      <w:r>
        <w:rPr>
          <w:spacing w:val="-77"/>
        </w:rPr>
        <w:t> </w:t>
      </w:r>
      <w:r>
        <w:rPr>
          <w:spacing w:val="-77"/>
        </w:rPr>
      </w:r>
      <w:r>
        <w:rPr>
          <w:spacing w:val="-2"/>
        </w:rPr>
        <w:t>中较低者作为租入资产的入账价值，将最低租赁付款额作为长期应付款的入账价值，</w:t>
      </w:r>
      <w:r>
        <w:rPr>
          <w:spacing w:val="-116"/>
        </w:rPr>
        <w:t> </w:t>
      </w:r>
      <w:r>
        <w:rPr>
          <w:spacing w:val="-116"/>
        </w:rPr>
      </w:r>
      <w:r>
        <w:rPr/>
        <w:t>其差额作为未确认融资费用。初始直接费用计入租入资产价值。未确认融资费用在</w:t>
      </w:r>
      <w:r>
        <w:rPr>
          <w:spacing w:val="-77"/>
        </w:rPr>
        <w:t> </w:t>
      </w:r>
      <w:r>
        <w:rPr>
          <w:spacing w:val="-77"/>
        </w:rPr>
      </w:r>
      <w:r>
        <w:rPr/>
        <w:t>租赁期内各个期间采用实际利率法计算确认当期的融资费用。本公司采用与自有固</w:t>
      </w:r>
      <w:r>
        <w:rPr>
          <w:spacing w:val="-77"/>
        </w:rPr>
        <w:t> </w:t>
      </w:r>
      <w:r>
        <w:rPr>
          <w:spacing w:val="-77"/>
        </w:rPr>
      </w:r>
      <w:r>
        <w:rPr/>
        <w:t>定资产相一致的折旧政策计提租赁资产折旧。</w:t>
      </w:r>
    </w:p>
    <w:p>
      <w:pPr>
        <w:spacing w:line="240" w:lineRule="auto" w:before="12"/>
        <w:rPr>
          <w:rFonts w:ascii="宋体" w:hAnsi="宋体" w:cs="宋体" w:eastAsia="宋体" w:hint="default"/>
          <w:sz w:val="24"/>
          <w:szCs w:val="24"/>
        </w:rPr>
      </w:pPr>
    </w:p>
    <w:p>
      <w:pPr>
        <w:spacing w:line="506" w:lineRule="auto" w:before="0"/>
        <w:ind w:left="558" w:right="648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）售后租回的会计处理</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506" w:lineRule="auto" w:before="104"/>
        <w:ind w:left="558" w:right="722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、持有待售资产</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506" w:lineRule="auto" w:before="104"/>
        <w:ind w:left="558" w:right="701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、资产证券化业务</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506" w:lineRule="auto" w:before="104"/>
        <w:ind w:left="558" w:right="764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、套期会计</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before="104"/>
        <w:ind w:left="558"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、主要会计政策、会计估计的变更</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58" w:right="102" w:firstLine="0"/>
        <w:jc w:val="left"/>
        <w:rPr>
          <w:rFonts w:ascii="宋体" w:hAnsi="宋体" w:cs="宋体" w:eastAsia="宋体" w:hint="default"/>
          <w:sz w:val="21"/>
          <w:szCs w:val="21"/>
        </w:rPr>
      </w:pPr>
      <w:r>
        <w:rPr>
          <w:rFonts w:ascii="宋体" w:hAnsi="宋体" w:cs="宋体" w:eastAsia="宋体" w:hint="default"/>
          <w:sz w:val="21"/>
          <w:szCs w:val="21"/>
        </w:rPr>
        <w:t>本报告期主要会计政策、会计估计是否变更</w:t>
      </w:r>
    </w:p>
    <w:p>
      <w:pPr>
        <w:spacing w:before="37"/>
        <w:ind w:left="558" w:right="102"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是 </w:t>
      </w:r>
      <w:r>
        <w:rPr>
          <w:rFonts w:ascii="Calibri" w:hAnsi="Calibri" w:cs="Calibri" w:eastAsia="Calibri" w:hint="default"/>
          <w:sz w:val="21"/>
          <w:szCs w:val="21"/>
        </w:rPr>
        <w:t>√  </w:t>
      </w:r>
      <w:r>
        <w:rPr>
          <w:rFonts w:ascii="宋体" w:hAnsi="宋体" w:cs="宋体" w:eastAsia="宋体" w:hint="default"/>
          <w:sz w:val="21"/>
          <w:szCs w:val="21"/>
        </w:rPr>
        <w:t>否</w:t>
      </w:r>
    </w:p>
    <w:p>
      <w:pPr>
        <w:spacing w:line="600" w:lineRule="atLeast" w:before="1"/>
        <w:ind w:left="558" w:right="42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本报告期主要会计政策是否变更</w:t>
      </w:r>
    </w:p>
    <w:p>
      <w:pPr>
        <w:spacing w:before="37"/>
        <w:ind w:left="558" w:right="102"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是 </w:t>
      </w:r>
      <w:r>
        <w:rPr>
          <w:rFonts w:ascii="Calibri" w:hAnsi="Calibri" w:cs="Calibri" w:eastAsia="Calibri" w:hint="default"/>
          <w:sz w:val="21"/>
          <w:szCs w:val="21"/>
        </w:rPr>
        <w:t>√  </w:t>
      </w:r>
      <w:r>
        <w:rPr>
          <w:rFonts w:ascii="宋体" w:hAnsi="宋体" w:cs="宋体" w:eastAsia="宋体" w:hint="default"/>
          <w:sz w:val="21"/>
          <w:szCs w:val="21"/>
        </w:rPr>
        <w:t>否</w:t>
      </w:r>
    </w:p>
    <w:p>
      <w:pPr>
        <w:spacing w:line="240" w:lineRule="auto" w:before="9"/>
        <w:rPr>
          <w:rFonts w:ascii="宋体" w:hAnsi="宋体" w:cs="宋体" w:eastAsia="宋体" w:hint="default"/>
          <w:sz w:val="23"/>
          <w:szCs w:val="23"/>
        </w:rPr>
      </w:pPr>
    </w:p>
    <w:p>
      <w:pPr>
        <w:spacing w:line="506" w:lineRule="auto" w:before="0"/>
        <w:ind w:left="558" w:right="424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本报告期主要会计估计是否变更</w:t>
      </w:r>
    </w:p>
    <w:p>
      <w:pPr>
        <w:spacing w:after="0" w:line="506" w:lineRule="auto"/>
        <w:jc w:val="left"/>
        <w:rPr>
          <w:rFonts w:ascii="宋体" w:hAnsi="宋体" w:cs="宋体" w:eastAsia="宋体" w:hint="default"/>
          <w:sz w:val="21"/>
          <w:szCs w:val="21"/>
        </w:rPr>
        <w:sectPr>
          <w:pgSz w:w="11910" w:h="16840"/>
          <w:pgMar w:header="884" w:footer="1007" w:top="1160" w:bottom="1200" w:left="1240" w:right="1180"/>
        </w:sectPr>
      </w:pPr>
    </w:p>
    <w:p>
      <w:pPr>
        <w:spacing w:line="240" w:lineRule="auto" w:before="4"/>
        <w:rPr>
          <w:rFonts w:ascii="宋体" w:hAnsi="宋体" w:cs="宋体" w:eastAsia="宋体" w:hint="default"/>
          <w:sz w:val="16"/>
          <w:szCs w:val="16"/>
        </w:rPr>
      </w:pPr>
    </w:p>
    <w:p>
      <w:pPr>
        <w:spacing w:before="36"/>
        <w:ind w:left="558" w:right="3889"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是 </w:t>
      </w:r>
      <w:r>
        <w:rPr>
          <w:rFonts w:ascii="Calibri" w:hAnsi="Calibri" w:cs="Calibri" w:eastAsia="Calibri" w:hint="default"/>
          <w:sz w:val="21"/>
          <w:szCs w:val="21"/>
        </w:rPr>
        <w:t>√  </w:t>
      </w:r>
      <w:r>
        <w:rPr>
          <w:rFonts w:ascii="宋体" w:hAnsi="宋体" w:cs="宋体" w:eastAsia="宋体" w:hint="default"/>
          <w:sz w:val="21"/>
          <w:szCs w:val="21"/>
        </w:rPr>
        <w:t>否</w:t>
      </w:r>
    </w:p>
    <w:p>
      <w:pPr>
        <w:spacing w:line="600" w:lineRule="atLeast" w:before="1"/>
        <w:ind w:left="558" w:right="388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、前期会计差错更正</w:t>
      </w:r>
      <w:r>
        <w:rPr>
          <w:rFonts w:ascii="宋体" w:hAnsi="宋体" w:cs="宋体" w:eastAsia="宋体" w:hint="default"/>
          <w:b/>
          <w:bCs/>
          <w:w w:val="100"/>
          <w:sz w:val="21"/>
          <w:szCs w:val="21"/>
        </w:rPr>
        <w:t> </w:t>
      </w:r>
      <w:r>
        <w:rPr>
          <w:rFonts w:ascii="宋体" w:hAnsi="宋体" w:cs="宋体" w:eastAsia="宋体" w:hint="default"/>
          <w:spacing w:val="-2"/>
          <w:sz w:val="21"/>
          <w:szCs w:val="21"/>
        </w:rPr>
        <w:t>本报告期是否发现前期会计差错</w:t>
      </w:r>
    </w:p>
    <w:p>
      <w:pPr>
        <w:spacing w:line="484" w:lineRule="auto" w:before="37"/>
        <w:ind w:left="558" w:right="2957" w:firstLine="0"/>
        <w:jc w:val="left"/>
        <w:rPr>
          <w:rFonts w:ascii="宋体" w:hAnsi="宋体" w:cs="宋体" w:eastAsia="宋体" w:hint="default"/>
          <w:sz w:val="24"/>
          <w:szCs w:val="24"/>
        </w:rPr>
      </w:pP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是</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Calibri" w:hAnsi="Calibri" w:cs="Calibri" w:eastAsia="Calibri" w:hint="default"/>
          <w:spacing w:val="11"/>
          <w:sz w:val="21"/>
          <w:szCs w:val="21"/>
        </w:rPr>
        <w:t> </w:t>
      </w:r>
      <w:r>
        <w:rPr>
          <w:rFonts w:ascii="宋体" w:hAnsi="宋体" w:cs="宋体" w:eastAsia="宋体" w:hint="default"/>
          <w:sz w:val="21"/>
          <w:szCs w:val="21"/>
        </w:rPr>
        <w:t>否</w:t>
      </w:r>
      <w:r>
        <w:rPr>
          <w:rFonts w:ascii="宋体" w:hAnsi="宋体" w:cs="宋体" w:eastAsia="宋体" w:hint="default"/>
          <w:spacing w:val="-102"/>
          <w:sz w:val="21"/>
          <w:szCs w:val="21"/>
        </w:rPr>
        <w:t> </w:t>
      </w:r>
      <w:r>
        <w:rPr>
          <w:rFonts w:ascii="Times New Roman" w:hAnsi="Times New Roman" w:cs="Times New Roman" w:eastAsia="Times New Roman" w:hint="default"/>
          <w:b/>
          <w:bCs/>
          <w:spacing w:val="-1"/>
          <w:sz w:val="21"/>
          <w:szCs w:val="21"/>
        </w:rPr>
        <w:t>34</w:t>
      </w:r>
      <w:r>
        <w:rPr>
          <w:rFonts w:ascii="宋体" w:hAnsi="宋体" w:cs="宋体" w:eastAsia="宋体" w:hint="default"/>
          <w:b/>
          <w:bCs/>
          <w:spacing w:val="-1"/>
          <w:sz w:val="21"/>
          <w:szCs w:val="21"/>
        </w:rPr>
        <w:t>、其他主要会计政策、会计估计和财务报表编制方法</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4"/>
          <w:szCs w:val="24"/>
        </w:rPr>
        <w:t>五、税项</w:t>
      </w:r>
      <w:r>
        <w:rPr>
          <w:rFonts w:ascii="宋体" w:hAnsi="宋体" w:cs="宋体" w:eastAsia="宋体" w:hint="default"/>
          <w:sz w:val="24"/>
          <w:szCs w:val="24"/>
        </w:rPr>
      </w:r>
    </w:p>
    <w:p>
      <w:pPr>
        <w:spacing w:before="81"/>
        <w:ind w:left="558" w:right="388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、公司主要税种和税率</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536" w:type="dxa"/>
        <w:tblLayout w:type="fixed"/>
        <w:tblCellMar>
          <w:top w:w="0" w:type="dxa"/>
          <w:left w:w="0" w:type="dxa"/>
          <w:bottom w:w="0" w:type="dxa"/>
          <w:right w:w="0" w:type="dxa"/>
        </w:tblCellMar>
        <w:tblLook w:val="01E0"/>
      </w:tblPr>
      <w:tblGrid>
        <w:gridCol w:w="3193"/>
        <w:gridCol w:w="2777"/>
        <w:gridCol w:w="2768"/>
      </w:tblGrid>
      <w:tr>
        <w:trPr>
          <w:trHeight w:val="32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税种</w:t>
            </w:r>
            <w:r>
              <w:rPr>
                <w:rFonts w:ascii="宋体" w:hAnsi="宋体" w:cs="宋体" w:eastAsia="宋体" w:hint="default"/>
                <w:sz w:val="21"/>
                <w:szCs w:val="21"/>
              </w:rPr>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计税依据</w:t>
            </w:r>
            <w:r>
              <w:rPr>
                <w:rFonts w:ascii="宋体" w:hAnsi="宋体" w:cs="宋体" w:eastAsia="宋体" w:hint="default"/>
                <w:sz w:val="21"/>
                <w:szCs w:val="21"/>
              </w:rPr>
            </w:r>
          </w:p>
        </w:tc>
        <w:tc>
          <w:tcPr>
            <w:tcW w:w="2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税率</w:t>
            </w:r>
            <w:r>
              <w:rPr>
                <w:rFonts w:ascii="宋体" w:hAnsi="宋体" w:cs="宋体" w:eastAsia="宋体" w:hint="default"/>
                <w:sz w:val="21"/>
                <w:szCs w:val="21"/>
              </w:rPr>
            </w:r>
          </w:p>
        </w:tc>
      </w:tr>
      <w:tr>
        <w:trPr>
          <w:trHeight w:val="32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增值税</w:t>
            </w:r>
          </w:p>
        </w:tc>
        <w:tc>
          <w:tcPr>
            <w:tcW w:w="2777" w:type="dxa"/>
            <w:tcBorders>
              <w:top w:val="single" w:sz="4" w:space="0" w:color="000000"/>
              <w:left w:val="single" w:sz="13" w:space="0" w:color="D2D2D2"/>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应税收入</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17%</w:t>
            </w:r>
          </w:p>
        </w:tc>
      </w:tr>
      <w:tr>
        <w:trPr>
          <w:trHeight w:val="32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消费税</w:t>
            </w:r>
          </w:p>
        </w:tc>
        <w:tc>
          <w:tcPr>
            <w:tcW w:w="2777" w:type="dxa"/>
            <w:tcBorders>
              <w:top w:val="single" w:sz="4" w:space="0" w:color="000000"/>
              <w:left w:val="single" w:sz="13" w:space="0" w:color="D2D2D2"/>
              <w:bottom w:val="single" w:sz="4" w:space="0" w:color="000000"/>
              <w:right w:val="single" w:sz="4" w:space="0" w:color="000000"/>
            </w:tcBorders>
          </w:tcPr>
          <w:p>
            <w:pPr/>
          </w:p>
        </w:tc>
        <w:tc>
          <w:tcPr>
            <w:tcW w:w="276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营业税</w:t>
            </w:r>
          </w:p>
        </w:tc>
        <w:tc>
          <w:tcPr>
            <w:tcW w:w="2777" w:type="dxa"/>
            <w:tcBorders>
              <w:top w:val="single" w:sz="4" w:space="0" w:color="000000"/>
              <w:left w:val="single" w:sz="13" w:space="0" w:color="D2D2D2"/>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应税收入</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5%</w:t>
            </w:r>
          </w:p>
        </w:tc>
      </w:tr>
      <w:tr>
        <w:trPr>
          <w:trHeight w:val="32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城市维护建设税</w:t>
            </w:r>
          </w:p>
        </w:tc>
        <w:tc>
          <w:tcPr>
            <w:tcW w:w="2777" w:type="dxa"/>
            <w:tcBorders>
              <w:top w:val="single" w:sz="4" w:space="0" w:color="000000"/>
              <w:left w:val="single" w:sz="13" w:space="0" w:color="D2D2D2"/>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应纳流转税额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 w:right="0"/>
              <w:jc w:val="center"/>
              <w:rPr>
                <w:rFonts w:ascii="Calibri" w:hAnsi="Calibri" w:cs="Calibri" w:eastAsia="Calibri" w:hint="default"/>
                <w:sz w:val="21"/>
                <w:szCs w:val="21"/>
              </w:rPr>
            </w:pPr>
            <w:r>
              <w:rPr>
                <w:rFonts w:ascii="Calibri"/>
                <w:sz w:val="21"/>
              </w:rPr>
              <w:t>7%</w:t>
            </w:r>
          </w:p>
        </w:tc>
      </w:tr>
      <w:tr>
        <w:trPr>
          <w:trHeight w:val="32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企业所得税</w:t>
            </w:r>
          </w:p>
        </w:tc>
        <w:tc>
          <w:tcPr>
            <w:tcW w:w="2777" w:type="dxa"/>
            <w:tcBorders>
              <w:top w:val="single" w:sz="4" w:space="0" w:color="000000"/>
              <w:left w:val="single" w:sz="13" w:space="0" w:color="D2D2D2"/>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应纳税所得额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25%</w:t>
            </w:r>
          </w:p>
        </w:tc>
      </w:tr>
    </w:tbl>
    <w:p>
      <w:pPr>
        <w:spacing w:line="264" w:lineRule="auto" w:before="0"/>
        <w:ind w:left="558" w:right="83" w:firstLine="0"/>
        <w:jc w:val="left"/>
        <w:rPr>
          <w:rFonts w:ascii="宋体" w:hAnsi="宋体" w:cs="宋体" w:eastAsia="宋体" w:hint="default"/>
          <w:sz w:val="21"/>
          <w:szCs w:val="21"/>
        </w:rPr>
      </w:pPr>
      <w:r>
        <w:rPr>
          <w:rFonts w:ascii="宋体" w:hAnsi="宋体" w:cs="宋体" w:eastAsia="宋体" w:hint="default"/>
          <w:spacing w:val="-3"/>
          <w:sz w:val="21"/>
          <w:szCs w:val="21"/>
        </w:rPr>
        <w:t>注：</w:t>
      </w:r>
      <w:r>
        <w:rPr>
          <w:rFonts w:ascii="Calibri" w:hAnsi="Calibri" w:cs="Calibri" w:eastAsia="Calibri" w:hint="default"/>
          <w:spacing w:val="-3"/>
          <w:sz w:val="21"/>
          <w:szCs w:val="21"/>
        </w:rPr>
        <w:t>1</w:t>
      </w:r>
      <w:r>
        <w:rPr>
          <w:rFonts w:ascii="宋体" w:hAnsi="宋体" w:cs="宋体" w:eastAsia="宋体" w:hint="default"/>
          <w:spacing w:val="-3"/>
          <w:sz w:val="21"/>
          <w:szCs w:val="21"/>
        </w:rPr>
        <w:t>、按税种分项说明报告期执行的法定税率。各分公司、分厂异地独立缴纳所得税的，应说</w:t>
      </w:r>
      <w:r>
        <w:rPr>
          <w:rFonts w:ascii="宋体" w:hAnsi="宋体" w:cs="宋体" w:eastAsia="宋体" w:hint="default"/>
          <w:spacing w:val="-17"/>
          <w:sz w:val="21"/>
          <w:szCs w:val="21"/>
        </w:rPr>
        <w:t> </w:t>
      </w:r>
      <w:r>
        <w:rPr>
          <w:rFonts w:ascii="宋体" w:hAnsi="宋体" w:cs="宋体" w:eastAsia="宋体" w:hint="default"/>
          <w:spacing w:val="-17"/>
          <w:sz w:val="21"/>
          <w:szCs w:val="21"/>
        </w:rPr>
      </w:r>
      <w:r>
        <w:rPr>
          <w:rFonts w:ascii="宋体" w:hAnsi="宋体" w:cs="宋体" w:eastAsia="宋体" w:hint="default"/>
          <w:sz w:val="21"/>
          <w:szCs w:val="21"/>
        </w:rPr>
        <w:t>明各分公司、分厂执行的所得税税率。</w:t>
      </w:r>
      <w:r>
        <w:rPr>
          <w:rFonts w:ascii="宋体" w:hAnsi="宋体" w:cs="宋体" w:eastAsia="宋体" w:hint="default"/>
          <w:w w:val="100"/>
          <w:sz w:val="21"/>
          <w:szCs w:val="21"/>
        </w:rPr>
        <w:t> </w:t>
      </w:r>
      <w:r>
        <w:rPr>
          <w:rFonts w:ascii="Calibri" w:hAnsi="Calibri" w:cs="Calibri" w:eastAsia="Calibri" w:hint="default"/>
          <w:sz w:val="21"/>
          <w:szCs w:val="21"/>
        </w:rPr>
        <w:t>2</w:t>
      </w:r>
      <w:r>
        <w:rPr>
          <w:rFonts w:ascii="宋体" w:hAnsi="宋体" w:cs="宋体" w:eastAsia="宋体" w:hint="default"/>
          <w:sz w:val="21"/>
          <w:szCs w:val="21"/>
        </w:rPr>
        <w:t>、若公司同一税种在同一期间适用不同税率，应分别税率详细列示，并分别说明适用范围。</w:t>
      </w:r>
      <w:r>
        <w:rPr>
          <w:rFonts w:ascii="宋体" w:hAnsi="宋体" w:cs="宋体" w:eastAsia="宋体" w:hint="default"/>
          <w:w w:val="100"/>
          <w:sz w:val="21"/>
          <w:szCs w:val="21"/>
        </w:rPr>
        <w:t> </w:t>
      </w:r>
      <w:r>
        <w:rPr>
          <w:rFonts w:ascii="宋体" w:hAnsi="宋体" w:cs="宋体" w:eastAsia="宋体" w:hint="default"/>
          <w:sz w:val="21"/>
          <w:szCs w:val="21"/>
        </w:rPr>
        <w:t>各分公司、分厂执行的所得税税率</w:t>
      </w:r>
      <w:r>
        <w:rPr>
          <w:rFonts w:ascii="宋体" w:hAnsi="宋体" w:cs="宋体" w:eastAsia="宋体" w:hint="default"/>
          <w:w w:val="100"/>
          <w:sz w:val="21"/>
          <w:szCs w:val="21"/>
        </w:rPr>
        <w:t> </w:t>
      </w:r>
      <w:r>
        <w:rPr>
          <w:rFonts w:ascii="宋体" w:hAnsi="宋体" w:cs="宋体" w:eastAsia="宋体" w:hint="default"/>
          <w:sz w:val="21"/>
          <w:szCs w:val="21"/>
        </w:rPr>
        <w:t>注：各分公司、分厂异地独立缴纳所得税的，应说明各分公司、分厂执行的所得税税率。</w:t>
      </w:r>
      <w:r>
        <w:rPr>
          <w:rFonts w:ascii="宋体" w:hAnsi="宋体" w:cs="宋体" w:eastAsia="宋体" w:hint="default"/>
          <w:w w:val="100"/>
          <w:sz w:val="21"/>
          <w:szCs w:val="21"/>
        </w:rPr>
        <w:t> </w:t>
      </w:r>
      <w:r>
        <w:rPr>
          <w:rFonts w:ascii="宋体" w:hAnsi="宋体" w:cs="宋体" w:eastAsia="宋体" w:hint="default"/>
          <w:sz w:val="21"/>
          <w:szCs w:val="21"/>
        </w:rPr>
        <w:t>本公司之子公司日本超图株式会社注册地为日本东京，适用税种及税率如下：</w:t>
      </w:r>
    </w:p>
    <w:p>
      <w:pPr>
        <w:spacing w:line="240" w:lineRule="auto" w:before="2"/>
        <w:rPr>
          <w:rFonts w:ascii="宋体" w:hAnsi="宋体" w:cs="宋体" w:eastAsia="宋体" w:hint="default"/>
          <w:sz w:val="2"/>
          <w:szCs w:val="2"/>
        </w:rPr>
      </w:pPr>
    </w:p>
    <w:tbl>
      <w:tblPr>
        <w:tblW w:w="0" w:type="auto"/>
        <w:jc w:val="left"/>
        <w:tblInd w:w="558" w:type="dxa"/>
        <w:tblLayout w:type="fixed"/>
        <w:tblCellMar>
          <w:top w:w="0" w:type="dxa"/>
          <w:left w:w="0" w:type="dxa"/>
          <w:bottom w:w="0" w:type="dxa"/>
          <w:right w:w="0" w:type="dxa"/>
        </w:tblCellMar>
        <w:tblLook w:val="01E0"/>
      </w:tblPr>
      <w:tblGrid>
        <w:gridCol w:w="2015"/>
        <w:gridCol w:w="3706"/>
        <w:gridCol w:w="2694"/>
      </w:tblGrid>
      <w:tr>
        <w:trPr>
          <w:trHeight w:val="470" w:hRule="exact"/>
        </w:trPr>
        <w:tc>
          <w:tcPr>
            <w:tcW w:w="2015" w:type="dxa"/>
            <w:tcBorders>
              <w:top w:val="single" w:sz="8" w:space="0" w:color="000000"/>
              <w:left w:val="nil" w:sz="6" w:space="0" w:color="auto"/>
              <w:bottom w:val="single" w:sz="4" w:space="0" w:color="000000"/>
              <w:right w:val="nil" w:sz="6" w:space="0" w:color="auto"/>
            </w:tcBorders>
          </w:tcPr>
          <w:p>
            <w:pPr>
              <w:pStyle w:val="TableParagraph"/>
              <w:spacing w:line="356"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税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种</w:t>
            </w:r>
            <w:r>
              <w:rPr>
                <w:rFonts w:ascii="Microsoft JhengHei" w:hAnsi="Microsoft JhengHei" w:cs="Microsoft JhengHei" w:eastAsia="Microsoft JhengHei" w:hint="default"/>
                <w:sz w:val="21"/>
                <w:szCs w:val="21"/>
              </w:rPr>
            </w:r>
          </w:p>
        </w:tc>
        <w:tc>
          <w:tcPr>
            <w:tcW w:w="3706" w:type="dxa"/>
            <w:tcBorders>
              <w:top w:val="single" w:sz="8" w:space="0" w:color="000000"/>
              <w:left w:val="nil" w:sz="6" w:space="0" w:color="auto"/>
              <w:bottom w:val="single" w:sz="4" w:space="0" w:color="000000"/>
              <w:right w:val="nil" w:sz="6" w:space="0" w:color="auto"/>
            </w:tcBorders>
          </w:tcPr>
          <w:p>
            <w:pPr>
              <w:pStyle w:val="TableParagraph"/>
              <w:spacing w:line="356" w:lineRule="exact"/>
              <w:ind w:left="85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计税依据</w:t>
            </w:r>
            <w:r>
              <w:rPr>
                <w:rFonts w:ascii="Microsoft JhengHei" w:hAnsi="Microsoft JhengHei" w:cs="Microsoft JhengHei" w:eastAsia="Microsoft JhengHei" w:hint="default"/>
                <w:sz w:val="21"/>
                <w:szCs w:val="21"/>
              </w:rPr>
            </w:r>
          </w:p>
        </w:tc>
        <w:tc>
          <w:tcPr>
            <w:tcW w:w="2694" w:type="dxa"/>
            <w:tcBorders>
              <w:top w:val="single" w:sz="8" w:space="0" w:color="000000"/>
              <w:left w:val="nil" w:sz="6" w:space="0" w:color="auto"/>
              <w:bottom w:val="single" w:sz="4" w:space="0" w:color="000000"/>
              <w:right w:val="nil" w:sz="6" w:space="0" w:color="auto"/>
            </w:tcBorders>
          </w:tcPr>
          <w:p>
            <w:pPr>
              <w:pStyle w:val="TableParagraph"/>
              <w:spacing w:line="356" w:lineRule="exact"/>
              <w:ind w:right="103"/>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法定税率</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11" w:hRule="exact"/>
        </w:trPr>
        <w:tc>
          <w:tcPr>
            <w:tcW w:w="201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08" w:right="0"/>
              <w:jc w:val="left"/>
              <w:rPr>
                <w:rFonts w:ascii="宋体" w:hAnsi="宋体" w:cs="宋体" w:eastAsia="宋体" w:hint="default"/>
                <w:sz w:val="21"/>
                <w:szCs w:val="21"/>
              </w:rPr>
            </w:pPr>
            <w:r>
              <w:rPr>
                <w:rFonts w:ascii="宋体" w:hAnsi="宋体" w:cs="宋体" w:eastAsia="宋体" w:hint="default"/>
                <w:sz w:val="21"/>
                <w:szCs w:val="21"/>
              </w:rPr>
              <w:t>法人税</w:t>
            </w:r>
          </w:p>
        </w:tc>
        <w:tc>
          <w:tcPr>
            <w:tcW w:w="3706"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85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694" w:type="dxa"/>
            <w:tcBorders>
              <w:top w:val="single" w:sz="4" w:space="0" w:color="000000"/>
              <w:left w:val="nil" w:sz="6" w:space="0" w:color="auto"/>
              <w:bottom w:val="nil" w:sz="6" w:space="0" w:color="auto"/>
              <w:right w:val="nil" w:sz="6" w:space="0" w:color="auto"/>
            </w:tcBorders>
          </w:tcPr>
          <w:p>
            <w:pPr>
              <w:pStyle w:val="TableParagraph"/>
              <w:spacing w:line="240" w:lineRule="auto" w:before="77"/>
              <w:ind w:right="106"/>
              <w:jc w:val="right"/>
              <w:rPr>
                <w:rFonts w:ascii="Arial Narrow" w:hAnsi="Arial Narrow" w:cs="Arial Narrow" w:eastAsia="Arial Narrow" w:hint="default"/>
                <w:sz w:val="21"/>
                <w:szCs w:val="21"/>
              </w:rPr>
            </w:pPr>
            <w:r>
              <w:rPr>
                <w:rFonts w:ascii="Arial Narrow"/>
                <w:spacing w:val="-1"/>
                <w:sz w:val="21"/>
              </w:rPr>
              <w:t>30.00</w:t>
            </w:r>
            <w:r>
              <w:rPr>
                <w:rFonts w:ascii="Arial Narrow"/>
                <w:sz w:val="21"/>
              </w:rPr>
            </w:r>
          </w:p>
        </w:tc>
      </w:tr>
      <w:tr>
        <w:trPr>
          <w:trHeight w:val="406" w:hRule="exact"/>
        </w:trPr>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法人事业税</w:t>
            </w:r>
          </w:p>
        </w:tc>
        <w:tc>
          <w:tcPr>
            <w:tcW w:w="370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85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69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Narrow" w:hAnsi="Arial Narrow" w:cs="Arial Narrow" w:eastAsia="Arial Narrow" w:hint="default"/>
                <w:sz w:val="21"/>
                <w:szCs w:val="21"/>
              </w:rPr>
            </w:pPr>
            <w:r>
              <w:rPr>
                <w:rFonts w:ascii="Arial Narrow"/>
                <w:spacing w:val="-1"/>
                <w:sz w:val="21"/>
              </w:rPr>
              <w:t>5.30</w:t>
            </w:r>
            <w:r>
              <w:rPr>
                <w:rFonts w:ascii="Arial Narrow"/>
                <w:sz w:val="21"/>
              </w:rPr>
            </w:r>
          </w:p>
        </w:tc>
      </w:tr>
      <w:tr>
        <w:trPr>
          <w:trHeight w:val="414" w:hRule="exact"/>
        </w:trPr>
        <w:tc>
          <w:tcPr>
            <w:tcW w:w="2015"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法人住民税</w:t>
            </w:r>
          </w:p>
        </w:tc>
        <w:tc>
          <w:tcPr>
            <w:tcW w:w="3706"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left="85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2694" w:type="dxa"/>
            <w:tcBorders>
              <w:top w:val="nil" w:sz="6" w:space="0" w:color="auto"/>
              <w:left w:val="nil" w:sz="6" w:space="0" w:color="auto"/>
              <w:bottom w:val="single" w:sz="8" w:space="0" w:color="000000"/>
              <w:right w:val="nil" w:sz="6" w:space="0" w:color="auto"/>
            </w:tcBorders>
          </w:tcPr>
          <w:p>
            <w:pPr>
              <w:pStyle w:val="TableParagraph"/>
              <w:spacing w:line="240" w:lineRule="auto" w:before="76"/>
              <w:ind w:right="106"/>
              <w:jc w:val="right"/>
              <w:rPr>
                <w:rFonts w:ascii="Arial Narrow" w:hAnsi="Arial Narrow" w:cs="Arial Narrow" w:eastAsia="Arial Narrow" w:hint="default"/>
                <w:sz w:val="21"/>
                <w:szCs w:val="21"/>
              </w:rPr>
            </w:pPr>
            <w:r>
              <w:rPr>
                <w:rFonts w:ascii="Arial Narrow"/>
                <w:spacing w:val="-1"/>
                <w:sz w:val="21"/>
              </w:rPr>
              <w:t>5.19</w:t>
            </w:r>
            <w:r>
              <w:rPr>
                <w:rFonts w:ascii="Arial Narrow"/>
                <w:sz w:val="21"/>
              </w:rPr>
            </w:r>
          </w:p>
        </w:tc>
      </w:tr>
    </w:tbl>
    <w:p>
      <w:pPr>
        <w:spacing w:line="240" w:lineRule="auto" w:before="3"/>
        <w:rPr>
          <w:rFonts w:ascii="宋体" w:hAnsi="宋体" w:cs="宋体" w:eastAsia="宋体" w:hint="default"/>
          <w:sz w:val="19"/>
          <w:szCs w:val="19"/>
        </w:rPr>
      </w:pPr>
    </w:p>
    <w:p>
      <w:pPr>
        <w:spacing w:before="36"/>
        <w:ind w:left="558" w:right="388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、税收优惠及批文</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pStyle w:val="BodyText"/>
        <w:spacing w:line="312" w:lineRule="exact"/>
        <w:ind w:right="83"/>
        <w:jc w:val="left"/>
      </w:pPr>
      <w:r>
        <w:rPr/>
        <w:t>根据财政部、国家税务总局</w:t>
      </w:r>
      <w:r>
        <w:rPr>
          <w:rFonts w:ascii="Calibri" w:hAnsi="Calibri" w:cs="Calibri" w:eastAsia="Calibri" w:hint="default"/>
        </w:rPr>
        <w:t>2011</w:t>
      </w:r>
      <w:r>
        <w:rPr/>
        <w:t>年</w:t>
      </w:r>
      <w:r>
        <w:rPr>
          <w:rFonts w:ascii="Calibri" w:hAnsi="Calibri" w:cs="Calibri" w:eastAsia="Calibri" w:hint="default"/>
        </w:rPr>
        <w:t>10</w:t>
      </w:r>
      <w:r>
        <w:rPr/>
        <w:t>月</w:t>
      </w:r>
      <w:r>
        <w:rPr>
          <w:rFonts w:ascii="Calibri" w:hAnsi="Calibri" w:cs="Calibri" w:eastAsia="Calibri" w:hint="default"/>
        </w:rPr>
        <w:t>13</w:t>
      </w:r>
      <w:r>
        <w:rPr/>
        <w:t>日发布的财税【</w:t>
      </w:r>
      <w:r>
        <w:rPr>
          <w:rFonts w:ascii="Calibri" w:hAnsi="Calibri" w:cs="Calibri" w:eastAsia="Calibri" w:hint="default"/>
        </w:rPr>
        <w:t>2011</w:t>
      </w:r>
      <w:r>
        <w:rPr/>
        <w:t>】</w:t>
      </w:r>
      <w:r>
        <w:rPr>
          <w:rFonts w:ascii="Calibri" w:hAnsi="Calibri" w:cs="Calibri" w:eastAsia="Calibri" w:hint="default"/>
        </w:rPr>
        <w:t>100</w:t>
      </w:r>
      <w:r>
        <w:rPr/>
        <w:t>号文《财政部、 国家税务总局关于软件产品增值税政策的通知》规定，本公司自</w:t>
      </w:r>
      <w:r>
        <w:rPr>
          <w:rFonts w:ascii="Calibri" w:hAnsi="Calibri" w:cs="Calibri" w:eastAsia="Calibri" w:hint="default"/>
        </w:rPr>
        <w:t>2011</w:t>
      </w:r>
      <w:r>
        <w:rPr/>
        <w:t>年</w:t>
      </w:r>
      <w:r>
        <w:rPr>
          <w:rFonts w:ascii="Calibri" w:hAnsi="Calibri" w:cs="Calibri" w:eastAsia="Calibri" w:hint="default"/>
        </w:rPr>
        <w:t>1</w:t>
      </w:r>
      <w:r>
        <w:rPr/>
        <w:t>月</w:t>
      </w:r>
      <w:r>
        <w:rPr>
          <w:rFonts w:ascii="Calibri" w:hAnsi="Calibri" w:cs="Calibri" w:eastAsia="Calibri" w:hint="default"/>
        </w:rPr>
        <w:t>1</w:t>
      </w:r>
      <w:r>
        <w:rPr/>
        <w:t>日起销</w:t>
      </w:r>
      <w:r>
        <w:rPr>
          <w:spacing w:val="-87"/>
        </w:rPr>
        <w:t> </w:t>
      </w:r>
      <w:r>
        <w:rPr/>
        <w:t>售自行开发生产的计算机软件产品按法定</w:t>
      </w:r>
      <w:r>
        <w:rPr>
          <w:rFonts w:ascii="Calibri" w:hAnsi="Calibri" w:cs="Calibri" w:eastAsia="Calibri" w:hint="default"/>
        </w:rPr>
        <w:t>17%</w:t>
      </w:r>
      <w:r>
        <w:rPr/>
        <w:t>的税率征收后，对实际税负超过</w:t>
      </w:r>
      <w:r>
        <w:rPr>
          <w:rFonts w:ascii="Calibri" w:hAnsi="Calibri" w:cs="Calibri" w:eastAsia="Calibri" w:hint="default"/>
        </w:rPr>
        <w:t>3%</w:t>
      </w:r>
      <w:r>
        <w:rPr/>
        <w:t>的</w:t>
      </w:r>
      <w:r>
        <w:rPr>
          <w:spacing w:val="-60"/>
        </w:rPr>
        <w:t> </w:t>
      </w:r>
      <w:r>
        <w:rPr/>
        <w:t>部分实行即征即退，所退税款用于研究开发软件产品和扩大再生产，不作为企业所</w:t>
      </w:r>
      <w:r>
        <w:rPr>
          <w:spacing w:val="-77"/>
        </w:rPr>
        <w:t> </w:t>
      </w:r>
      <w:r>
        <w:rPr>
          <w:spacing w:val="-77"/>
        </w:rPr>
      </w:r>
      <w:r>
        <w:rPr/>
        <w:t>得税应税收入，不予征收企业所得税。</w:t>
      </w:r>
    </w:p>
    <w:p>
      <w:pPr>
        <w:pStyle w:val="BodyText"/>
        <w:spacing w:line="232" w:lineRule="auto" w:before="193"/>
        <w:ind w:right="194"/>
        <w:jc w:val="both"/>
      </w:pPr>
      <w:r>
        <w:rPr/>
        <w:t>根据财政部和国家税务总局关于贯彻落实《中共中央国务院关于加强技术创新发展</w:t>
      </w:r>
      <w:r>
        <w:rPr>
          <w:spacing w:val="-73"/>
        </w:rPr>
        <w:t> </w:t>
      </w:r>
      <w:r>
        <w:rPr>
          <w:spacing w:val="-73"/>
        </w:rPr>
      </w:r>
      <w:r>
        <w:rPr/>
        <w:t>高科技实现产业化决定》（财税字</w:t>
      </w:r>
      <w:r>
        <w:rPr>
          <w:rFonts w:ascii="Calibri" w:hAnsi="Calibri" w:cs="Calibri" w:eastAsia="Calibri" w:hint="default"/>
        </w:rPr>
        <w:t>[1999]273</w:t>
      </w:r>
      <w:r>
        <w:rPr/>
        <w:t>号）有关税收问题文件规定，本公司从</w:t>
      </w:r>
      <w:r>
        <w:rPr>
          <w:spacing w:val="-112"/>
        </w:rPr>
        <w:t> </w:t>
      </w:r>
      <w:r>
        <w:rPr>
          <w:spacing w:val="-112"/>
        </w:rPr>
      </w:r>
      <w:r>
        <w:rPr/>
        <w:t>事技术转让、技术开发业务和与之相关的技术咨询、技术服务业务取得的收入，免</w:t>
      </w:r>
      <w:r>
        <w:rPr>
          <w:spacing w:val="-77"/>
        </w:rPr>
        <w:t> </w:t>
      </w:r>
      <w:r>
        <w:rPr>
          <w:spacing w:val="-77"/>
        </w:rPr>
      </w:r>
      <w:r>
        <w:rPr/>
        <w:t>征营业税。根据财政部、国家税务总局下发《关于在上海市开展交通运输业和部分</w:t>
      </w:r>
      <w:r>
        <w:rPr>
          <w:spacing w:val="-77"/>
        </w:rPr>
        <w:t> </w:t>
      </w:r>
      <w:r>
        <w:rPr>
          <w:spacing w:val="-77"/>
        </w:rPr>
      </w:r>
      <w:r>
        <w:rPr/>
        <w:t>现代服务业营业税改征增值税试点的通知》（财税</w:t>
      </w:r>
      <w:r>
        <w:rPr>
          <w:rFonts w:ascii="Calibri" w:hAnsi="Calibri" w:cs="Calibri" w:eastAsia="Calibri" w:hint="default"/>
        </w:rPr>
        <w:t>[2011]111</w:t>
      </w:r>
      <w:r>
        <w:rPr/>
        <w:t>号）和财政部、国家税</w:t>
      </w:r>
    </w:p>
    <w:p>
      <w:pPr>
        <w:spacing w:after="0" w:line="232" w:lineRule="auto"/>
        <w:jc w:val="both"/>
        <w:sectPr>
          <w:pgSz w:w="11910" w:h="16840"/>
          <w:pgMar w:header="884" w:footer="1007" w:top="1160" w:bottom="1200" w:left="1240" w:right="1220"/>
        </w:sectPr>
      </w:pPr>
    </w:p>
    <w:p>
      <w:pPr>
        <w:spacing w:line="240" w:lineRule="auto" w:before="13"/>
        <w:rPr>
          <w:rFonts w:ascii="宋体" w:hAnsi="宋体" w:cs="宋体" w:eastAsia="宋体" w:hint="default"/>
          <w:sz w:val="14"/>
          <w:szCs w:val="14"/>
        </w:rPr>
      </w:pPr>
    </w:p>
    <w:p>
      <w:pPr>
        <w:pStyle w:val="BodyText"/>
        <w:spacing w:line="312" w:lineRule="exact" w:before="56"/>
        <w:ind w:right="132"/>
        <w:jc w:val="both"/>
      </w:pPr>
      <w:r>
        <w:rPr>
          <w:spacing w:val="-2"/>
        </w:rPr>
        <w:t>务总局下发《关于在北京等</w:t>
      </w:r>
      <w:r>
        <w:rPr>
          <w:rFonts w:ascii="Calibri" w:hAnsi="Calibri" w:cs="Calibri" w:eastAsia="Calibri" w:hint="default"/>
          <w:spacing w:val="-2"/>
        </w:rPr>
        <w:t>8</w:t>
      </w:r>
      <w:r>
        <w:rPr>
          <w:spacing w:val="-2"/>
        </w:rPr>
        <w:t>省市开展交通运输业和部分现代服务业营业税改征增值</w:t>
      </w:r>
      <w:r>
        <w:rPr>
          <w:spacing w:val="-116"/>
        </w:rPr>
        <w:t> </w:t>
      </w:r>
      <w:r>
        <w:rPr>
          <w:spacing w:val="-3"/>
        </w:rPr>
        <w:t>税试点的通知》（财税</w:t>
      </w:r>
      <w:r>
        <w:rPr>
          <w:rFonts w:ascii="Calibri" w:hAnsi="Calibri" w:cs="Calibri" w:eastAsia="Calibri" w:hint="default"/>
          <w:spacing w:val="-3"/>
        </w:rPr>
        <w:t>[2012]71</w:t>
      </w:r>
      <w:r>
        <w:rPr>
          <w:spacing w:val="-3"/>
        </w:rPr>
        <w:t>号），在上海市等试点地区开始在交通运输业和部分</w:t>
      </w:r>
      <w:r>
        <w:rPr>
          <w:spacing w:val="-105"/>
        </w:rPr>
        <w:t> </w:t>
      </w:r>
      <w:r>
        <w:rPr>
          <w:spacing w:val="-105"/>
        </w:rPr>
      </w:r>
      <w:r>
        <w:rPr>
          <w:spacing w:val="-3"/>
        </w:rPr>
        <w:t>现代服务业实行营业税改征增值税；根据财税</w:t>
      </w:r>
      <w:r>
        <w:rPr>
          <w:rFonts w:ascii="Calibri" w:hAnsi="Calibri" w:cs="Calibri" w:eastAsia="Calibri" w:hint="default"/>
          <w:spacing w:val="-3"/>
        </w:rPr>
        <w:t>[2011]111</w:t>
      </w:r>
      <w:r>
        <w:rPr>
          <w:spacing w:val="-3"/>
        </w:rPr>
        <w:t>号文件附件</w:t>
      </w:r>
      <w:r>
        <w:rPr>
          <w:rFonts w:ascii="Calibri" w:hAnsi="Calibri" w:cs="Calibri" w:eastAsia="Calibri" w:hint="default"/>
          <w:spacing w:val="-3"/>
        </w:rPr>
        <w:t>2</w:t>
      </w:r>
      <w:r>
        <w:rPr>
          <w:spacing w:val="-3"/>
        </w:rPr>
        <w:t>：《交通运输业</w:t>
      </w:r>
      <w:r>
        <w:rPr>
          <w:spacing w:val="-104"/>
        </w:rPr>
        <w:t> </w:t>
      </w:r>
      <w:r>
        <w:rPr>
          <w:spacing w:val="-104"/>
        </w:rPr>
      </w:r>
      <w:r>
        <w:rPr/>
        <w:t>和部分现代服务业营业税改征增值税试点过渡政策的规定》，为实现试点纳税人原</w:t>
      </w:r>
      <w:r>
        <w:rPr>
          <w:spacing w:val="-77"/>
        </w:rPr>
        <w:t> </w:t>
      </w:r>
      <w:r>
        <w:rPr>
          <w:spacing w:val="-77"/>
        </w:rPr>
      </w:r>
      <w:r>
        <w:rPr/>
        <w:t>享受的营业税优惠政策平稳过渡，对试点纳税人提供技术转让、技术开发和与之相</w:t>
      </w:r>
      <w:r>
        <w:rPr>
          <w:spacing w:val="-77"/>
        </w:rPr>
        <w:t> </w:t>
      </w:r>
      <w:r>
        <w:rPr>
          <w:spacing w:val="-77"/>
        </w:rPr>
      </w:r>
      <w:r>
        <w:rPr/>
        <w:t>关的技术咨询、技术服务免征增值税。</w:t>
      </w:r>
    </w:p>
    <w:p>
      <w:pPr>
        <w:spacing w:line="240" w:lineRule="auto" w:before="7"/>
        <w:rPr>
          <w:rFonts w:ascii="宋体" w:hAnsi="宋体" w:cs="宋体" w:eastAsia="宋体" w:hint="default"/>
          <w:sz w:val="16"/>
          <w:szCs w:val="16"/>
        </w:rPr>
      </w:pPr>
    </w:p>
    <w:p>
      <w:pPr>
        <w:pStyle w:val="BodyText"/>
        <w:spacing w:line="312" w:lineRule="exact"/>
        <w:ind w:right="130"/>
        <w:jc w:val="both"/>
      </w:pPr>
      <w:r>
        <w:rPr/>
        <w:t>根据北京市科学技术委员会、北京市财政局、北京市国家税务局、北京市地方税务</w:t>
      </w:r>
      <w:r>
        <w:rPr>
          <w:spacing w:val="-77"/>
        </w:rPr>
        <w:t> </w:t>
      </w:r>
      <w:r>
        <w:rPr>
          <w:spacing w:val="-77"/>
        </w:rPr>
      </w:r>
      <w:r>
        <w:rPr/>
        <w:t>局于</w:t>
      </w:r>
      <w:r>
        <w:rPr>
          <w:rFonts w:ascii="Calibri" w:hAnsi="Calibri" w:cs="Calibri" w:eastAsia="Calibri" w:hint="default"/>
        </w:rPr>
        <w:t>2011</w:t>
      </w:r>
      <w:r>
        <w:rPr/>
        <w:t>年</w:t>
      </w:r>
      <w:r>
        <w:rPr>
          <w:rFonts w:ascii="Calibri" w:hAnsi="Calibri" w:cs="Calibri" w:eastAsia="Calibri" w:hint="default"/>
        </w:rPr>
        <w:t>09</w:t>
      </w:r>
      <w:r>
        <w:rPr/>
        <w:t>月</w:t>
      </w:r>
      <w:r>
        <w:rPr>
          <w:rFonts w:ascii="Calibri" w:hAnsi="Calibri" w:cs="Calibri" w:eastAsia="Calibri" w:hint="default"/>
        </w:rPr>
        <w:t>14</w:t>
      </w:r>
      <w:r>
        <w:rPr/>
        <w:t>日联合颁发的</w:t>
      </w:r>
      <w:r>
        <w:rPr>
          <w:rFonts w:ascii="Calibri" w:hAnsi="Calibri" w:cs="Calibri" w:eastAsia="Calibri" w:hint="default"/>
        </w:rPr>
        <w:t>GF201111000840</w:t>
      </w:r>
      <w:r>
        <w:rPr/>
        <w:t>号《高新技术企业证书》，本公司 被认定为高新技术企业，</w:t>
      </w:r>
      <w:r>
        <w:rPr>
          <w:rFonts w:ascii="Calibri" w:hAnsi="Calibri" w:cs="Calibri" w:eastAsia="Calibri" w:hint="default"/>
        </w:rPr>
        <w:t>2012</w:t>
      </w:r>
      <w:r>
        <w:rPr/>
        <w:t>年度执行</w:t>
      </w:r>
      <w:r>
        <w:rPr>
          <w:rFonts w:ascii="Calibri" w:hAnsi="Calibri" w:cs="Calibri" w:eastAsia="Calibri" w:hint="default"/>
        </w:rPr>
        <w:t>15%</w:t>
      </w:r>
      <w:r>
        <w:rPr/>
        <w:t>的企业所得税税率。</w:t>
      </w:r>
    </w:p>
    <w:p>
      <w:pPr>
        <w:spacing w:line="240" w:lineRule="auto" w:before="10"/>
        <w:rPr>
          <w:rFonts w:ascii="宋体" w:hAnsi="宋体" w:cs="宋体" w:eastAsia="宋体" w:hint="default"/>
          <w:sz w:val="22"/>
          <w:szCs w:val="22"/>
        </w:rPr>
      </w:pPr>
    </w:p>
    <w:p>
      <w:pPr>
        <w:spacing w:line="506" w:lineRule="auto" w:before="0"/>
        <w:ind w:left="558" w:right="764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04"/>
          <w:sz w:val="21"/>
          <w:szCs w:val="21"/>
        </w:rPr>
        <w:t> </w:t>
      </w:r>
      <w:r>
        <w:rPr>
          <w:rFonts w:ascii="宋体" w:hAnsi="宋体" w:cs="宋体" w:eastAsia="宋体" w:hint="default"/>
          <w:sz w:val="21"/>
          <w:szCs w:val="21"/>
        </w:rPr>
        <w:t>无</w:t>
      </w:r>
    </w:p>
    <w:p>
      <w:pPr>
        <w:spacing w:after="0" w:line="506" w:lineRule="auto"/>
        <w:jc w:val="left"/>
        <w:rPr>
          <w:rFonts w:ascii="宋体" w:hAnsi="宋体" w:cs="宋体" w:eastAsia="宋体" w:hint="default"/>
          <w:sz w:val="21"/>
          <w:szCs w:val="21"/>
        </w:rPr>
        <w:sectPr>
          <w:pgSz w:w="11910" w:h="16840"/>
          <w:pgMar w:header="884" w:footer="1007" w:top="1160" w:bottom="1200" w:left="1240" w:right="12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4"/>
        <w:spacing w:line="240" w:lineRule="auto" w:before="26"/>
        <w:ind w:left="558" w:right="0"/>
        <w:jc w:val="left"/>
        <w:rPr>
          <w:b w:val="0"/>
          <w:bCs w:val="0"/>
        </w:rPr>
      </w:pPr>
      <w:r>
        <w:rPr/>
        <w:t>六、企业合并及合并财务报表</w:t>
      </w:r>
      <w:r>
        <w:rPr>
          <w:b w:val="0"/>
          <w:bCs w:val="0"/>
        </w:rPr>
      </w:r>
    </w:p>
    <w:p>
      <w:pPr>
        <w:spacing w:line="240" w:lineRule="auto" w:before="9"/>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）通过设立或投资等方式取得的子公司</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36"/>
        <w:ind w:left="0" w:right="155" w:firstLine="0"/>
        <w:jc w:val="right"/>
        <w:rPr>
          <w:rFonts w:ascii="宋体" w:hAnsi="宋体" w:cs="宋体" w:eastAsia="宋体" w:hint="default"/>
          <w:sz w:val="21"/>
          <w:szCs w:val="21"/>
        </w:rPr>
      </w:pPr>
      <w:r>
        <w:rPr>
          <w:rFonts w:ascii="宋体" w:hAnsi="宋体" w:cs="宋体" w:eastAsia="宋体" w:hint="default"/>
          <w:b/>
          <w:bCs/>
          <w:sz w:val="21"/>
          <w:szCs w:val="21"/>
        </w:rPr>
        <w:t>单位：</w:t>
      </w:r>
      <w:r>
        <w:rPr>
          <w:rFonts w:ascii="宋体" w:hAnsi="宋体" w:cs="宋体" w:eastAsia="宋体" w:hint="default"/>
          <w:b/>
          <w:bCs/>
          <w:spacing w:val="-2"/>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12"/>
        <w:rPr>
          <w:rFonts w:ascii="宋体" w:hAnsi="宋体" w:cs="宋体" w:eastAsia="宋体" w:hint="default"/>
          <w:b/>
          <w:bCs/>
          <w:sz w:val="3"/>
          <w:szCs w:val="3"/>
        </w:rPr>
      </w:pPr>
    </w:p>
    <w:tbl>
      <w:tblPr>
        <w:tblW w:w="0" w:type="auto"/>
        <w:jc w:val="left"/>
        <w:tblInd w:w="524" w:type="dxa"/>
        <w:tblLayout w:type="fixed"/>
        <w:tblCellMar>
          <w:top w:w="0" w:type="dxa"/>
          <w:left w:w="0" w:type="dxa"/>
          <w:bottom w:w="0" w:type="dxa"/>
          <w:right w:w="0" w:type="dxa"/>
        </w:tblCellMar>
        <w:tblLook w:val="01E0"/>
      </w:tblPr>
      <w:tblGrid>
        <w:gridCol w:w="980"/>
        <w:gridCol w:w="974"/>
        <w:gridCol w:w="974"/>
        <w:gridCol w:w="977"/>
        <w:gridCol w:w="1171"/>
        <w:gridCol w:w="974"/>
        <w:gridCol w:w="1172"/>
        <w:gridCol w:w="1030"/>
        <w:gridCol w:w="569"/>
        <w:gridCol w:w="706"/>
        <w:gridCol w:w="567"/>
        <w:gridCol w:w="569"/>
        <w:gridCol w:w="1277"/>
        <w:gridCol w:w="2100"/>
      </w:tblGrid>
      <w:tr>
        <w:trPr>
          <w:trHeight w:val="1883" w:hRule="exact"/>
        </w:trPr>
        <w:tc>
          <w:tcPr>
            <w:tcW w:w="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73" w:lineRule="auto"/>
              <w:ind w:left="379" w:right="60" w:hanging="315"/>
              <w:jc w:val="left"/>
              <w:rPr>
                <w:rFonts w:ascii="宋体" w:hAnsi="宋体" w:cs="宋体" w:eastAsia="宋体" w:hint="default"/>
                <w:sz w:val="21"/>
                <w:szCs w:val="21"/>
              </w:rPr>
            </w:pPr>
            <w:r>
              <w:rPr>
                <w:rFonts w:ascii="宋体" w:hAnsi="宋体" w:cs="宋体" w:eastAsia="宋体" w:hint="default"/>
                <w:sz w:val="21"/>
                <w:szCs w:val="21"/>
              </w:rPr>
              <w:t>子公司全</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73" w:lineRule="auto"/>
              <w:ind w:left="374" w:right="60" w:hanging="315"/>
              <w:jc w:val="left"/>
              <w:rPr>
                <w:rFonts w:ascii="宋体" w:hAnsi="宋体" w:cs="宋体" w:eastAsia="宋体" w:hint="default"/>
                <w:sz w:val="21"/>
                <w:szCs w:val="21"/>
              </w:rPr>
            </w:pPr>
            <w:r>
              <w:rPr>
                <w:rFonts w:ascii="宋体" w:hAnsi="宋体" w:cs="宋体" w:eastAsia="宋体" w:hint="default"/>
                <w:sz w:val="21"/>
                <w:szCs w:val="21"/>
              </w:rPr>
              <w:t>子公司类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16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6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60"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73" w:lineRule="auto"/>
              <w:ind w:left="369" w:right="53" w:hanging="317"/>
              <w:jc w:val="left"/>
              <w:rPr>
                <w:rFonts w:ascii="宋体" w:hAnsi="宋体" w:cs="宋体" w:eastAsia="宋体" w:hint="default"/>
                <w:sz w:val="21"/>
                <w:szCs w:val="21"/>
              </w:rPr>
            </w:pPr>
            <w:r>
              <w:rPr>
                <w:rFonts w:ascii="宋体" w:hAnsi="宋体" w:cs="宋体" w:eastAsia="宋体" w:hint="default"/>
                <w:sz w:val="21"/>
                <w:szCs w:val="21"/>
              </w:rPr>
              <w:t>期末实际投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资额</w:t>
            </w:r>
          </w:p>
        </w:tc>
        <w:tc>
          <w:tcPr>
            <w:tcW w:w="1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91" w:right="84"/>
              <w:jc w:val="both"/>
              <w:rPr>
                <w:rFonts w:ascii="宋体" w:hAnsi="宋体" w:cs="宋体" w:eastAsia="宋体" w:hint="default"/>
                <w:sz w:val="21"/>
                <w:szCs w:val="21"/>
              </w:rPr>
            </w:pPr>
            <w:r>
              <w:rPr>
                <w:rFonts w:ascii="宋体" w:hAnsi="宋体" w:cs="宋体" w:eastAsia="宋体" w:hint="default"/>
                <w:sz w:val="21"/>
                <w:szCs w:val="21"/>
              </w:rPr>
              <w:t>实质上构</w:t>
            </w:r>
            <w:r>
              <w:rPr>
                <w:rFonts w:ascii="宋体" w:hAnsi="宋体" w:cs="宋体" w:eastAsia="宋体" w:hint="default"/>
                <w:w w:val="100"/>
                <w:sz w:val="21"/>
                <w:szCs w:val="21"/>
              </w:rPr>
              <w:t> </w:t>
            </w:r>
            <w:r>
              <w:rPr>
                <w:rFonts w:ascii="宋体" w:hAnsi="宋体" w:cs="宋体" w:eastAsia="宋体" w:hint="default"/>
                <w:sz w:val="21"/>
                <w:szCs w:val="21"/>
              </w:rPr>
              <w:t>成对子公</w:t>
            </w:r>
            <w:r>
              <w:rPr>
                <w:rFonts w:ascii="宋体" w:hAnsi="宋体" w:cs="宋体" w:eastAsia="宋体" w:hint="default"/>
                <w:w w:val="100"/>
                <w:sz w:val="21"/>
                <w:szCs w:val="21"/>
              </w:rPr>
              <w:t> </w:t>
            </w:r>
            <w:r>
              <w:rPr>
                <w:rFonts w:ascii="宋体" w:hAnsi="宋体" w:cs="宋体" w:eastAsia="宋体" w:hint="default"/>
                <w:sz w:val="21"/>
                <w:szCs w:val="21"/>
              </w:rPr>
              <w:t>司净投资</w:t>
            </w:r>
            <w:r>
              <w:rPr>
                <w:rFonts w:ascii="宋体" w:hAnsi="宋体" w:cs="宋体" w:eastAsia="宋体" w:hint="default"/>
                <w:w w:val="100"/>
                <w:sz w:val="21"/>
                <w:szCs w:val="21"/>
              </w:rPr>
              <w:t> </w:t>
            </w:r>
            <w:r>
              <w:rPr>
                <w:rFonts w:ascii="宋体" w:hAnsi="宋体" w:cs="宋体" w:eastAsia="宋体" w:hint="default"/>
                <w:sz w:val="21"/>
                <w:szCs w:val="21"/>
              </w:rPr>
              <w:t>的其他项</w:t>
            </w:r>
            <w:r>
              <w:rPr>
                <w:rFonts w:ascii="宋体" w:hAnsi="宋体" w:cs="宋体" w:eastAsia="宋体" w:hint="default"/>
                <w:w w:val="100"/>
                <w:sz w:val="21"/>
                <w:szCs w:val="21"/>
              </w:rPr>
              <w:t> </w:t>
            </w:r>
            <w:r>
              <w:rPr>
                <w:rFonts w:ascii="宋体" w:hAnsi="宋体" w:cs="宋体" w:eastAsia="宋体" w:hint="default"/>
                <w:sz w:val="21"/>
                <w:szCs w:val="21"/>
              </w:rPr>
              <w:t>目余额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90" w:lineRule="auto"/>
              <w:ind w:left="69" w:right="65"/>
              <w:jc w:val="both"/>
              <w:rPr>
                <w:rFonts w:ascii="Calibri" w:hAnsi="Calibri" w:cs="Calibri" w:eastAsia="Calibri"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Calibri" w:hAnsi="Calibri" w:cs="Calibri" w:eastAsia="Calibri" w:hint="default"/>
                <w:sz w:val="21"/>
                <w:szCs w:val="21"/>
              </w:rPr>
              <w:t>(%)</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90" w:lineRule="auto"/>
              <w:ind w:left="31" w:right="29"/>
              <w:jc w:val="center"/>
              <w:rPr>
                <w:rFonts w:ascii="Calibri" w:hAnsi="Calibri" w:cs="Calibri" w:eastAsia="Calibri" w:hint="default"/>
                <w:sz w:val="21"/>
                <w:szCs w:val="21"/>
              </w:rPr>
            </w:pPr>
            <w:r>
              <w:rPr>
                <w:rFonts w:ascii="宋体" w:hAnsi="宋体" w:cs="宋体" w:eastAsia="宋体" w:hint="default"/>
                <w:sz w:val="21"/>
                <w:szCs w:val="21"/>
              </w:rPr>
              <w:t>表决权</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Calibri" w:hAnsi="Calibri" w:cs="Calibri" w:eastAsia="Calibri" w:hint="default"/>
                <w:sz w:val="21"/>
                <w:szCs w:val="21"/>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73" w:lineRule="auto"/>
              <w:ind w:left="69" w:right="6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73" w:lineRule="auto"/>
              <w:ind w:left="69" w:right="65"/>
              <w:jc w:val="both"/>
              <w:rPr>
                <w:rFonts w:ascii="宋体" w:hAnsi="宋体" w:cs="宋体" w:eastAsia="宋体" w:hint="default"/>
                <w:sz w:val="21"/>
                <w:szCs w:val="21"/>
              </w:rPr>
            </w:pPr>
            <w:r>
              <w:rPr>
                <w:rFonts w:ascii="宋体" w:hAnsi="宋体" w:cs="宋体" w:eastAsia="宋体" w:hint="default"/>
                <w:sz w:val="21"/>
                <w:szCs w:val="21"/>
              </w:rPr>
              <w:t>少数</w:t>
            </w:r>
            <w:r>
              <w:rPr>
                <w:rFonts w:ascii="宋体" w:hAnsi="宋体" w:cs="宋体" w:eastAsia="宋体" w:hint="default"/>
                <w:spacing w:val="-103"/>
                <w:sz w:val="21"/>
                <w:szCs w:val="21"/>
              </w:rPr>
              <w:t> </w:t>
            </w: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权益</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22"/>
                <w:szCs w:val="22"/>
              </w:rPr>
            </w:pPr>
          </w:p>
          <w:p>
            <w:pPr>
              <w:pStyle w:val="TableParagraph"/>
              <w:spacing w:line="273" w:lineRule="auto"/>
              <w:ind w:left="105" w:right="105"/>
              <w:jc w:val="both"/>
              <w:rPr>
                <w:rFonts w:ascii="宋体" w:hAnsi="宋体" w:cs="宋体" w:eastAsia="宋体" w:hint="default"/>
                <w:sz w:val="21"/>
                <w:szCs w:val="21"/>
              </w:rPr>
            </w:pPr>
            <w:r>
              <w:rPr>
                <w:rFonts w:ascii="宋体" w:hAnsi="宋体" w:cs="宋体" w:eastAsia="宋体" w:hint="default"/>
                <w:sz w:val="21"/>
                <w:szCs w:val="21"/>
              </w:rPr>
              <w:t>少数股东权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益中用于冲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减少数股东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损益的金额</w:t>
            </w:r>
          </w:p>
        </w:tc>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98" w:right="96"/>
              <w:jc w:val="both"/>
              <w:rPr>
                <w:rFonts w:ascii="宋体" w:hAnsi="宋体" w:cs="宋体" w:eastAsia="宋体" w:hint="default"/>
                <w:sz w:val="21"/>
                <w:szCs w:val="21"/>
              </w:rPr>
            </w:pPr>
            <w:r>
              <w:rPr>
                <w:rFonts w:ascii="宋体" w:hAnsi="宋体" w:cs="宋体" w:eastAsia="宋体" w:hint="default"/>
                <w:sz w:val="21"/>
                <w:szCs w:val="21"/>
              </w:rPr>
              <w:t>从母公司所有者权益</w:t>
            </w:r>
            <w:r>
              <w:rPr>
                <w:rFonts w:ascii="宋体" w:hAnsi="宋体" w:cs="宋体" w:eastAsia="宋体" w:hint="default"/>
                <w:w w:val="100"/>
                <w:sz w:val="21"/>
                <w:szCs w:val="21"/>
              </w:rPr>
              <w:t> </w:t>
            </w:r>
            <w:r>
              <w:rPr>
                <w:rFonts w:ascii="宋体" w:hAnsi="宋体" w:cs="宋体" w:eastAsia="宋体" w:hint="default"/>
                <w:sz w:val="21"/>
                <w:szCs w:val="21"/>
              </w:rPr>
              <w:t>冲减子公司少数股东</w:t>
            </w:r>
            <w:r>
              <w:rPr>
                <w:rFonts w:ascii="宋体" w:hAnsi="宋体" w:cs="宋体" w:eastAsia="宋体" w:hint="default"/>
                <w:w w:val="100"/>
                <w:sz w:val="21"/>
                <w:szCs w:val="21"/>
              </w:rPr>
              <w:t> </w:t>
            </w:r>
            <w:r>
              <w:rPr>
                <w:rFonts w:ascii="宋体" w:hAnsi="宋体" w:cs="宋体" w:eastAsia="宋体" w:hint="default"/>
                <w:sz w:val="21"/>
                <w:szCs w:val="21"/>
              </w:rPr>
              <w:t>分担的本期亏损超过</w:t>
            </w:r>
            <w:r>
              <w:rPr>
                <w:rFonts w:ascii="宋体" w:hAnsi="宋体" w:cs="宋体" w:eastAsia="宋体" w:hint="default"/>
                <w:w w:val="100"/>
                <w:sz w:val="21"/>
                <w:szCs w:val="21"/>
              </w:rPr>
              <w:t> </w:t>
            </w:r>
            <w:r>
              <w:rPr>
                <w:rFonts w:ascii="宋体" w:hAnsi="宋体" w:cs="宋体" w:eastAsia="宋体" w:hint="default"/>
                <w:sz w:val="21"/>
                <w:szCs w:val="21"/>
              </w:rPr>
              <w:t>少数股东在该子公司</w:t>
            </w:r>
            <w:r>
              <w:rPr>
                <w:rFonts w:ascii="宋体" w:hAnsi="宋体" w:cs="宋体" w:eastAsia="宋体" w:hint="default"/>
                <w:w w:val="100"/>
                <w:sz w:val="21"/>
                <w:szCs w:val="21"/>
              </w:rPr>
              <w:t> </w:t>
            </w:r>
            <w:r>
              <w:rPr>
                <w:rFonts w:ascii="宋体" w:hAnsi="宋体" w:cs="宋体" w:eastAsia="宋体" w:hint="default"/>
                <w:sz w:val="21"/>
                <w:szCs w:val="21"/>
              </w:rPr>
              <w:t>年初所有者权益中所</w:t>
            </w:r>
            <w:r>
              <w:rPr>
                <w:rFonts w:ascii="宋体" w:hAnsi="宋体" w:cs="宋体" w:eastAsia="宋体" w:hint="default"/>
                <w:w w:val="100"/>
                <w:sz w:val="21"/>
                <w:szCs w:val="21"/>
              </w:rPr>
              <w:t> </w:t>
            </w:r>
            <w:r>
              <w:rPr>
                <w:rFonts w:ascii="宋体" w:hAnsi="宋体" w:cs="宋体" w:eastAsia="宋体" w:hint="default"/>
                <w:sz w:val="21"/>
                <w:szCs w:val="21"/>
              </w:rPr>
              <w:t>享有份额后的余额</w:t>
            </w:r>
          </w:p>
        </w:tc>
      </w:tr>
      <w:tr>
        <w:trPr>
          <w:trHeight w:val="1570"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24" w:right="101"/>
              <w:jc w:val="both"/>
              <w:rPr>
                <w:rFonts w:ascii="宋体" w:hAnsi="宋体" w:cs="宋体" w:eastAsia="宋体" w:hint="default"/>
                <w:sz w:val="21"/>
                <w:szCs w:val="21"/>
              </w:rPr>
            </w:pPr>
            <w:r>
              <w:rPr>
                <w:rFonts w:ascii="宋体" w:hAnsi="宋体" w:cs="宋体" w:eastAsia="宋体" w:hint="default"/>
                <w:sz w:val="21"/>
                <w:szCs w:val="21"/>
              </w:rPr>
              <w:t>北京超图</w:t>
            </w:r>
            <w:r>
              <w:rPr>
                <w:rFonts w:ascii="宋体" w:hAnsi="宋体" w:cs="宋体" w:eastAsia="宋体" w:hint="default"/>
                <w:w w:val="100"/>
                <w:sz w:val="21"/>
                <w:szCs w:val="21"/>
              </w:rPr>
              <w:t> </w:t>
            </w:r>
            <w:r>
              <w:rPr>
                <w:rFonts w:ascii="宋体" w:hAnsi="宋体" w:cs="宋体" w:eastAsia="宋体" w:hint="default"/>
                <w:sz w:val="21"/>
                <w:szCs w:val="21"/>
              </w:rPr>
              <w:t>信息技术</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全资</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3"/>
              <w:jc w:val="both"/>
              <w:rPr>
                <w:rFonts w:ascii="Calibri" w:hAnsi="Calibri" w:cs="Calibri" w:eastAsia="Calibri" w:hint="default"/>
                <w:sz w:val="21"/>
                <w:szCs w:val="21"/>
              </w:rPr>
            </w:pPr>
            <w:r>
              <w:rPr>
                <w:rFonts w:ascii="宋体" w:hAnsi="宋体" w:cs="宋体" w:eastAsia="宋体" w:hint="default"/>
                <w:sz w:val="21"/>
                <w:szCs w:val="21"/>
              </w:rPr>
              <w:t>北京市朝</w:t>
            </w:r>
            <w:r>
              <w:rPr>
                <w:rFonts w:ascii="宋体" w:hAnsi="宋体" w:cs="宋体" w:eastAsia="宋体" w:hint="default"/>
                <w:w w:val="100"/>
                <w:sz w:val="21"/>
                <w:szCs w:val="21"/>
              </w:rPr>
              <w:t> </w:t>
            </w:r>
            <w:r>
              <w:rPr>
                <w:rFonts w:ascii="宋体" w:hAnsi="宋体" w:cs="宋体" w:eastAsia="宋体" w:hint="default"/>
                <w:sz w:val="21"/>
                <w:szCs w:val="21"/>
              </w:rPr>
              <w:t>阳区安翔</w:t>
            </w:r>
            <w:r>
              <w:rPr>
                <w:rFonts w:ascii="宋体" w:hAnsi="宋体" w:cs="宋体" w:eastAsia="宋体" w:hint="default"/>
                <w:w w:val="100"/>
                <w:sz w:val="21"/>
                <w:szCs w:val="21"/>
              </w:rPr>
              <w:t> </w:t>
            </w:r>
            <w:r>
              <w:rPr>
                <w:rFonts w:ascii="宋体" w:hAnsi="宋体" w:cs="宋体" w:eastAsia="宋体" w:hint="default"/>
                <w:sz w:val="21"/>
                <w:szCs w:val="21"/>
              </w:rPr>
              <w:t>北里甲</w:t>
            </w:r>
            <w:r>
              <w:rPr>
                <w:rFonts w:ascii="宋体" w:hAnsi="宋体" w:cs="宋体" w:eastAsia="宋体" w:hint="default"/>
                <w:spacing w:val="-56"/>
                <w:sz w:val="21"/>
                <w:szCs w:val="21"/>
              </w:rPr>
              <w:t> </w:t>
            </w:r>
            <w:r>
              <w:rPr>
                <w:rFonts w:ascii="Calibri" w:hAnsi="Calibri" w:cs="Calibri" w:eastAsia="Calibri" w:hint="default"/>
                <w:sz w:val="21"/>
                <w:szCs w:val="21"/>
              </w:rPr>
              <w:t>11</w:t>
            </w:r>
          </w:p>
          <w:p>
            <w:pPr>
              <w:pStyle w:val="TableParagraph"/>
              <w:spacing w:line="276" w:lineRule="exact"/>
              <w:ind w:left="23" w:right="0"/>
              <w:jc w:val="both"/>
              <w:rPr>
                <w:rFonts w:ascii="宋体" w:hAnsi="宋体" w:cs="宋体" w:eastAsia="宋体" w:hint="default"/>
                <w:sz w:val="21"/>
                <w:szCs w:val="21"/>
              </w:rPr>
            </w:pPr>
            <w:r>
              <w:rPr>
                <w:rFonts w:ascii="宋体" w:hAnsi="宋体" w:cs="宋体" w:eastAsia="宋体" w:hint="default"/>
                <w:sz w:val="21"/>
                <w:szCs w:val="21"/>
              </w:rPr>
              <w:t>号院</w:t>
            </w:r>
            <w:r>
              <w:rPr>
                <w:rFonts w:ascii="宋体" w:hAnsi="宋体" w:cs="宋体" w:eastAsia="宋体" w:hint="default"/>
                <w:spacing w:val="-53"/>
                <w:sz w:val="21"/>
                <w:szCs w:val="21"/>
              </w:rPr>
              <w:t> </w:t>
            </w:r>
            <w:r>
              <w:rPr>
                <w:rFonts w:ascii="Calibri" w:hAnsi="Calibri" w:cs="Calibri" w:eastAsia="Calibri" w:hint="default"/>
                <w:sz w:val="21"/>
                <w:szCs w:val="21"/>
              </w:rPr>
              <w:t>1</w:t>
            </w:r>
            <w:r>
              <w:rPr>
                <w:rFonts w:ascii="Calibri" w:hAnsi="Calibri" w:cs="Calibri" w:eastAsia="Calibri" w:hint="default"/>
                <w:spacing w:val="8"/>
                <w:sz w:val="21"/>
                <w:szCs w:val="21"/>
              </w:rPr>
              <w:t> </w:t>
            </w:r>
            <w:r>
              <w:rPr>
                <w:rFonts w:ascii="宋体" w:hAnsi="宋体" w:cs="宋体" w:eastAsia="宋体" w:hint="default"/>
                <w:sz w:val="21"/>
                <w:szCs w:val="21"/>
              </w:rPr>
              <w:t>号</w:t>
            </w:r>
          </w:p>
          <w:p>
            <w:pPr>
              <w:pStyle w:val="TableParagraph"/>
              <w:spacing w:line="240" w:lineRule="auto" w:before="10"/>
              <w:ind w:left="23" w:right="0"/>
              <w:jc w:val="both"/>
              <w:rPr>
                <w:rFonts w:ascii="Calibri" w:hAnsi="Calibri" w:cs="Calibri" w:eastAsia="Calibri" w:hint="default"/>
                <w:sz w:val="21"/>
                <w:szCs w:val="21"/>
              </w:rPr>
            </w:pPr>
            <w:r>
              <w:rPr>
                <w:rFonts w:ascii="宋体" w:hAnsi="宋体" w:cs="宋体" w:eastAsia="宋体" w:hint="default"/>
                <w:sz w:val="21"/>
                <w:szCs w:val="21"/>
              </w:rPr>
              <w:t>楼</w:t>
            </w:r>
            <w:r>
              <w:rPr>
                <w:rFonts w:ascii="宋体" w:hAnsi="宋体" w:cs="宋体" w:eastAsia="宋体" w:hint="default"/>
                <w:spacing w:val="-54"/>
                <w:sz w:val="21"/>
                <w:szCs w:val="21"/>
              </w:rPr>
              <w:t> </w:t>
            </w:r>
            <w:r>
              <w:rPr>
                <w:rFonts w:ascii="Calibri" w:hAnsi="Calibri" w:cs="Calibri" w:eastAsia="Calibri" w:hint="default"/>
                <w:sz w:val="21"/>
                <w:szCs w:val="21"/>
              </w:rPr>
              <w:t>1310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73" w:lineRule="auto"/>
              <w:ind w:left="24" w:right="99"/>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w w:val="100"/>
                <w:sz w:val="21"/>
                <w:szCs w:val="21"/>
              </w:rPr>
              <w:t> </w:t>
            </w:r>
            <w:r>
              <w:rPr>
                <w:rFonts w:ascii="宋体" w:hAnsi="宋体" w:cs="宋体" w:eastAsia="宋体" w:hint="default"/>
                <w:sz w:val="21"/>
                <w:szCs w:val="21"/>
              </w:rPr>
              <w:t>销售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1"/>
              <w:jc w:val="center"/>
              <w:rPr>
                <w:rFonts w:ascii="Calibri" w:hAnsi="Calibri" w:cs="Calibri" w:eastAsia="Calibri" w:hint="default"/>
                <w:sz w:val="21"/>
                <w:szCs w:val="21"/>
              </w:rPr>
            </w:pPr>
            <w:r>
              <w:rPr>
                <w:rFonts w:ascii="Calibri"/>
                <w:sz w:val="21"/>
              </w:rPr>
              <w:t>5,000,000.00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73" w:lineRule="auto"/>
              <w:ind w:left="21" w:right="98"/>
              <w:jc w:val="left"/>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spacing w:val="-102"/>
                <w:sz w:val="21"/>
                <w:szCs w:val="21"/>
              </w:rPr>
              <w:t> </w:t>
            </w:r>
            <w:r>
              <w:rPr>
                <w:rFonts w:ascii="宋体" w:hAnsi="宋体" w:cs="宋体" w:eastAsia="宋体" w:hint="default"/>
                <w:sz w:val="21"/>
                <w:szCs w:val="21"/>
              </w:rPr>
              <w:t>发、销售</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21" w:right="0"/>
              <w:jc w:val="left"/>
              <w:rPr>
                <w:rFonts w:ascii="Calibri" w:hAnsi="Calibri" w:cs="Calibri" w:eastAsia="Calibri" w:hint="default"/>
                <w:sz w:val="21"/>
                <w:szCs w:val="21"/>
              </w:rPr>
            </w:pPr>
            <w:r>
              <w:rPr>
                <w:rFonts w:ascii="Calibri"/>
                <w:sz w:val="21"/>
              </w:rPr>
              <w:t>5,000,000.00</w:t>
            </w:r>
          </w:p>
        </w:tc>
        <w:tc>
          <w:tcPr>
            <w:tcW w:w="103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left="64" w:right="0"/>
              <w:jc w:val="left"/>
              <w:rPr>
                <w:rFonts w:ascii="Calibri" w:hAnsi="Calibri" w:cs="Calibri" w:eastAsia="Calibri" w:hint="default"/>
                <w:sz w:val="21"/>
                <w:szCs w:val="21"/>
              </w:rPr>
            </w:pPr>
            <w:r>
              <w:rPr>
                <w:rFonts w:ascii="Calibri"/>
                <w:sz w:val="21"/>
              </w:rPr>
              <w:t>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29"/>
                <w:szCs w:val="29"/>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100%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r>
        <w:trPr>
          <w:trHeight w:val="1258" w:hRule="exact"/>
        </w:trPr>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24" w:right="101"/>
              <w:jc w:val="left"/>
              <w:rPr>
                <w:rFonts w:ascii="宋体" w:hAnsi="宋体" w:cs="宋体" w:eastAsia="宋体" w:hint="default"/>
                <w:sz w:val="21"/>
                <w:szCs w:val="21"/>
              </w:rPr>
            </w:pPr>
            <w:r>
              <w:rPr>
                <w:rFonts w:ascii="宋体" w:hAnsi="宋体" w:cs="宋体" w:eastAsia="宋体" w:hint="default"/>
                <w:sz w:val="21"/>
                <w:szCs w:val="21"/>
              </w:rPr>
              <w:t>超图国际</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全资</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96"/>
              <w:jc w:val="both"/>
              <w:rPr>
                <w:rFonts w:ascii="宋体" w:hAnsi="宋体" w:cs="宋体" w:eastAsia="宋体" w:hint="default"/>
                <w:sz w:val="21"/>
                <w:szCs w:val="21"/>
              </w:rPr>
            </w:pPr>
            <w:r>
              <w:rPr>
                <w:rFonts w:ascii="宋体" w:hAnsi="宋体" w:cs="宋体" w:eastAsia="宋体" w:hint="default"/>
                <w:sz w:val="21"/>
                <w:szCs w:val="21"/>
              </w:rPr>
              <w:t>香港中环</w:t>
            </w:r>
            <w:r>
              <w:rPr>
                <w:rFonts w:ascii="宋体" w:hAnsi="宋体" w:cs="宋体" w:eastAsia="宋体" w:hint="default"/>
                <w:w w:val="100"/>
                <w:sz w:val="21"/>
                <w:szCs w:val="21"/>
              </w:rPr>
              <w:t> </w:t>
            </w:r>
            <w:r>
              <w:rPr>
                <w:rFonts w:ascii="宋体" w:hAnsi="宋体" w:cs="宋体" w:eastAsia="宋体" w:hint="default"/>
                <w:sz w:val="21"/>
                <w:szCs w:val="21"/>
              </w:rPr>
              <w:t>轩尼诗道</w:t>
            </w:r>
            <w:r>
              <w:rPr>
                <w:rFonts w:ascii="宋体" w:hAnsi="宋体" w:cs="宋体" w:eastAsia="宋体" w:hint="default"/>
                <w:w w:val="100"/>
                <w:sz w:val="21"/>
                <w:szCs w:val="21"/>
              </w:rPr>
              <w:t> </w:t>
            </w:r>
            <w:r>
              <w:rPr>
                <w:rFonts w:ascii="宋体" w:hAnsi="宋体" w:cs="宋体" w:eastAsia="宋体" w:hint="default"/>
                <w:sz w:val="21"/>
                <w:szCs w:val="21"/>
              </w:rPr>
              <w:t>世界广场</w:t>
            </w:r>
            <w:r>
              <w:rPr>
                <w:rFonts w:ascii="宋体" w:hAnsi="宋体" w:cs="宋体" w:eastAsia="宋体" w:hint="default"/>
                <w:w w:val="100"/>
                <w:sz w:val="21"/>
                <w:szCs w:val="21"/>
              </w:rPr>
              <w:t> </w:t>
            </w:r>
            <w:r>
              <w:rPr>
                <w:rFonts w:ascii="Calibri" w:hAnsi="Calibri" w:cs="Calibri" w:eastAsia="Calibri" w:hint="default"/>
                <w:sz w:val="21"/>
                <w:szCs w:val="21"/>
              </w:rPr>
              <w:t>2305</w:t>
            </w:r>
            <w:r>
              <w:rPr>
                <w:rFonts w:ascii="Calibri" w:hAnsi="Calibri" w:cs="Calibri" w:eastAsia="Calibri" w:hint="default"/>
                <w:spacing w:val="5"/>
                <w:sz w:val="21"/>
                <w:szCs w:val="21"/>
              </w:rPr>
              <w:t> </w:t>
            </w:r>
            <w:r>
              <w:rPr>
                <w:rFonts w:ascii="宋体" w:hAnsi="宋体" w:cs="宋体" w:eastAsia="宋体" w:hint="default"/>
                <w:sz w:val="21"/>
                <w:szCs w:val="21"/>
              </w:rPr>
              <w:t>室</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24" w:right="99"/>
              <w:jc w:val="left"/>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spacing w:val="-102"/>
                <w:sz w:val="21"/>
                <w:szCs w:val="21"/>
              </w:rPr>
              <w:t> </w:t>
            </w:r>
            <w:r>
              <w:rPr>
                <w:rFonts w:ascii="宋体" w:hAnsi="宋体" w:cs="宋体" w:eastAsia="宋体" w:hint="default"/>
                <w:sz w:val="21"/>
                <w:szCs w:val="21"/>
              </w:rPr>
              <w:t>发、销售</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港币</w:t>
            </w:r>
          </w:p>
          <w:p>
            <w:pPr>
              <w:pStyle w:val="TableParagraph"/>
              <w:spacing w:line="240" w:lineRule="auto" w:before="77"/>
              <w:ind w:left="21" w:right="0"/>
              <w:jc w:val="left"/>
              <w:rPr>
                <w:rFonts w:ascii="Calibri" w:hAnsi="Calibri" w:cs="Calibri" w:eastAsia="Calibri" w:hint="default"/>
                <w:sz w:val="21"/>
                <w:szCs w:val="21"/>
              </w:rPr>
            </w:pPr>
            <w:r>
              <w:rPr>
                <w:rFonts w:ascii="Calibri"/>
                <w:sz w:val="21"/>
              </w:rPr>
              <w:t>4,500,000.00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73" w:lineRule="auto"/>
              <w:ind w:left="21" w:right="98"/>
              <w:jc w:val="left"/>
              <w:rPr>
                <w:rFonts w:ascii="宋体" w:hAnsi="宋体" w:cs="宋体" w:eastAsia="宋体" w:hint="default"/>
                <w:sz w:val="21"/>
                <w:szCs w:val="21"/>
              </w:rPr>
            </w:pPr>
            <w:r>
              <w:rPr>
                <w:rFonts w:ascii="宋体" w:hAnsi="宋体" w:cs="宋体" w:eastAsia="宋体" w:hint="default"/>
                <w:sz w:val="21"/>
                <w:szCs w:val="21"/>
              </w:rPr>
              <w:t>软件开</w:t>
            </w:r>
            <w:r>
              <w:rPr>
                <w:rFonts w:ascii="宋体" w:hAnsi="宋体" w:cs="宋体" w:eastAsia="宋体" w:hint="default"/>
                <w:spacing w:val="-102"/>
                <w:sz w:val="21"/>
                <w:szCs w:val="21"/>
              </w:rPr>
              <w:t> </w:t>
            </w:r>
            <w:r>
              <w:rPr>
                <w:rFonts w:ascii="宋体" w:hAnsi="宋体" w:cs="宋体" w:eastAsia="宋体" w:hint="default"/>
                <w:sz w:val="21"/>
                <w:szCs w:val="21"/>
              </w:rPr>
              <w:t>发、销售</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21" w:right="0"/>
              <w:jc w:val="left"/>
              <w:rPr>
                <w:rFonts w:ascii="Calibri" w:hAnsi="Calibri" w:cs="Calibri" w:eastAsia="Calibri" w:hint="default"/>
                <w:sz w:val="21"/>
                <w:szCs w:val="21"/>
              </w:rPr>
            </w:pPr>
            <w:r>
              <w:rPr>
                <w:rFonts w:ascii="Calibri"/>
                <w:sz w:val="21"/>
              </w:rPr>
              <w:t>4,303,100.00</w:t>
            </w:r>
          </w:p>
        </w:tc>
        <w:tc>
          <w:tcPr>
            <w:tcW w:w="1030"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left="64" w:right="0"/>
              <w:jc w:val="left"/>
              <w:rPr>
                <w:rFonts w:ascii="Calibri" w:hAnsi="Calibri" w:cs="Calibri" w:eastAsia="Calibri" w:hint="default"/>
                <w:sz w:val="21"/>
                <w:szCs w:val="21"/>
              </w:rPr>
            </w:pPr>
            <w:r>
              <w:rPr>
                <w:rFonts w:ascii="Calibri"/>
                <w:sz w:val="21"/>
              </w:rPr>
              <w:t>100%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7"/>
                <w:szCs w:val="17"/>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100%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56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2100" w:type="dxa"/>
            <w:tcBorders>
              <w:top w:val="single" w:sz="4" w:space="0" w:color="000000"/>
              <w:left w:val="single" w:sz="4" w:space="0" w:color="000000"/>
              <w:bottom w:val="single" w:sz="4" w:space="0" w:color="000000"/>
              <w:right w:val="single" w:sz="4" w:space="0" w:color="000000"/>
            </w:tcBorders>
          </w:tcPr>
          <w:p>
            <w:pPr/>
          </w:p>
        </w:tc>
      </w:tr>
    </w:tbl>
    <w:p>
      <w:pPr>
        <w:spacing w:line="247" w:lineRule="auto" w:before="0"/>
        <w:ind w:left="558" w:right="0" w:firstLine="0"/>
        <w:jc w:val="left"/>
        <w:rPr>
          <w:rFonts w:ascii="宋体" w:hAnsi="宋体" w:cs="宋体" w:eastAsia="宋体" w:hint="default"/>
          <w:sz w:val="21"/>
          <w:szCs w:val="21"/>
        </w:rPr>
      </w:pPr>
      <w:r>
        <w:rPr>
          <w:rFonts w:ascii="宋体" w:hAnsi="宋体" w:cs="宋体" w:eastAsia="宋体" w:hint="default"/>
          <w:spacing w:val="-2"/>
          <w:sz w:val="21"/>
          <w:szCs w:val="21"/>
        </w:rPr>
        <w:t>注：</w:t>
      </w:r>
      <w:r>
        <w:rPr>
          <w:rFonts w:ascii="Calibri" w:hAnsi="Calibri" w:cs="Calibri" w:eastAsia="Calibri" w:hint="default"/>
          <w:spacing w:val="-2"/>
          <w:sz w:val="21"/>
          <w:szCs w:val="21"/>
        </w:rPr>
        <w:t>“</w:t>
      </w:r>
      <w:r>
        <w:rPr>
          <w:rFonts w:ascii="宋体" w:hAnsi="宋体" w:cs="宋体" w:eastAsia="宋体" w:hint="default"/>
          <w:spacing w:val="-2"/>
          <w:sz w:val="21"/>
          <w:szCs w:val="21"/>
        </w:rPr>
        <w:t>持股比例</w:t>
      </w:r>
      <w:r>
        <w:rPr>
          <w:rFonts w:ascii="Calibri" w:hAnsi="Calibri" w:cs="Calibri" w:eastAsia="Calibri" w:hint="default"/>
          <w:spacing w:val="-2"/>
          <w:sz w:val="21"/>
          <w:szCs w:val="21"/>
        </w:rPr>
        <w:t>”</w:t>
      </w:r>
      <w:r>
        <w:rPr>
          <w:rFonts w:ascii="宋体" w:hAnsi="宋体" w:cs="宋体" w:eastAsia="宋体" w:hint="default"/>
          <w:spacing w:val="-2"/>
          <w:sz w:val="21"/>
          <w:szCs w:val="21"/>
        </w:rPr>
        <w:t>填列享有被投资单位权益份额的比例，</w:t>
      </w:r>
      <w:r>
        <w:rPr>
          <w:rFonts w:ascii="Calibri" w:hAnsi="Calibri" w:cs="Calibri" w:eastAsia="Calibri" w:hint="default"/>
          <w:spacing w:val="-2"/>
          <w:sz w:val="21"/>
          <w:szCs w:val="21"/>
        </w:rPr>
        <w:t>“</w:t>
      </w:r>
      <w:r>
        <w:rPr>
          <w:rFonts w:ascii="宋体" w:hAnsi="宋体" w:cs="宋体" w:eastAsia="宋体" w:hint="default"/>
          <w:spacing w:val="-2"/>
          <w:sz w:val="21"/>
          <w:szCs w:val="21"/>
        </w:rPr>
        <w:t>表决权比例</w:t>
      </w:r>
      <w:r>
        <w:rPr>
          <w:rFonts w:ascii="Calibri" w:hAnsi="Calibri" w:cs="Calibri" w:eastAsia="Calibri" w:hint="default"/>
          <w:spacing w:val="-2"/>
          <w:sz w:val="21"/>
          <w:szCs w:val="21"/>
        </w:rPr>
        <w:t>”</w:t>
      </w:r>
      <w:r>
        <w:rPr>
          <w:rFonts w:ascii="宋体" w:hAnsi="宋体" w:cs="宋体" w:eastAsia="宋体" w:hint="default"/>
          <w:spacing w:val="-2"/>
          <w:sz w:val="21"/>
          <w:szCs w:val="21"/>
        </w:rPr>
        <w:t>填列直接持有的比例和通过所控制的被投资单位间接持有的比例。</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通过设立或投资等方式取得的子公司的其他说明</w:t>
      </w:r>
    </w:p>
    <w:p>
      <w:pPr>
        <w:spacing w:after="0" w:line="247" w:lineRule="auto"/>
        <w:jc w:val="left"/>
        <w:rPr>
          <w:rFonts w:ascii="宋体" w:hAnsi="宋体" w:cs="宋体" w:eastAsia="宋体" w:hint="default"/>
          <w:sz w:val="21"/>
          <w:szCs w:val="21"/>
        </w:rPr>
        <w:sectPr>
          <w:headerReference w:type="default" r:id="rId45"/>
          <w:footerReference w:type="default" r:id="rId46"/>
          <w:pgSz w:w="16840" w:h="11910" w:orient="landscape"/>
          <w:pgMar w:header="884" w:footer="1008" w:top="1160" w:bottom="1200" w:left="860" w:right="1280"/>
          <w:pgNumType w:start="118"/>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line="506" w:lineRule="auto" w:before="36"/>
        <w:ind w:left="558" w:right="10259"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）同一控制下企业合并取得的子公司</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无</w:t>
      </w:r>
    </w:p>
    <w:p>
      <w:pPr>
        <w:spacing w:before="104"/>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）非同一控制下企业合并取得的子公司</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36"/>
        <w:ind w:left="0" w:right="133"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922"/>
        <w:gridCol w:w="917"/>
        <w:gridCol w:w="919"/>
        <w:gridCol w:w="917"/>
        <w:gridCol w:w="1385"/>
        <w:gridCol w:w="917"/>
        <w:gridCol w:w="1277"/>
        <w:gridCol w:w="998"/>
        <w:gridCol w:w="578"/>
        <w:gridCol w:w="696"/>
        <w:gridCol w:w="567"/>
        <w:gridCol w:w="1277"/>
        <w:gridCol w:w="991"/>
        <w:gridCol w:w="1677"/>
      </w:tblGrid>
      <w:tr>
        <w:trPr>
          <w:trHeight w:val="2506" w:hRule="exact"/>
        </w:trPr>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350" w:right="31" w:hanging="315"/>
              <w:jc w:val="left"/>
              <w:rPr>
                <w:rFonts w:ascii="宋体" w:hAnsi="宋体" w:cs="宋体" w:eastAsia="宋体" w:hint="default"/>
                <w:sz w:val="21"/>
                <w:szCs w:val="21"/>
              </w:rPr>
            </w:pPr>
            <w:r>
              <w:rPr>
                <w:rFonts w:ascii="宋体" w:hAnsi="宋体" w:cs="宋体" w:eastAsia="宋体" w:hint="default"/>
                <w:sz w:val="21"/>
                <w:szCs w:val="21"/>
              </w:rPr>
              <w:t>子公司全</w:t>
            </w:r>
            <w:r>
              <w:rPr>
                <w:rFonts w:ascii="宋体" w:hAnsi="宋体" w:cs="宋体" w:eastAsia="宋体" w:hint="default"/>
                <w:w w:val="100"/>
                <w:sz w:val="21"/>
                <w:szCs w:val="21"/>
              </w:rPr>
              <w:t> </w:t>
            </w:r>
            <w:r>
              <w:rPr>
                <w:rFonts w:ascii="宋体" w:hAnsi="宋体" w:cs="宋体" w:eastAsia="宋体" w:hint="default"/>
                <w:sz w:val="21"/>
                <w:szCs w:val="21"/>
              </w:rPr>
              <w:t>称</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345" w:right="31" w:hanging="315"/>
              <w:jc w:val="left"/>
              <w:rPr>
                <w:rFonts w:ascii="宋体" w:hAnsi="宋体" w:cs="宋体" w:eastAsia="宋体" w:hint="default"/>
                <w:sz w:val="21"/>
                <w:szCs w:val="21"/>
              </w:rPr>
            </w:pPr>
            <w:r>
              <w:rPr>
                <w:rFonts w:ascii="宋体" w:hAnsi="宋体" w:cs="宋体" w:eastAsia="宋体" w:hint="default"/>
                <w:sz w:val="21"/>
                <w:szCs w:val="21"/>
              </w:rPr>
              <w:t>子公司类</w:t>
            </w:r>
            <w:r>
              <w:rPr>
                <w:rFonts w:ascii="宋体" w:hAnsi="宋体" w:cs="宋体" w:eastAsia="宋体" w:hint="default"/>
                <w:w w:val="100"/>
                <w:sz w:val="21"/>
                <w:szCs w:val="21"/>
              </w:rPr>
              <w:t> </w:t>
            </w:r>
            <w:r>
              <w:rPr>
                <w:rFonts w:ascii="宋体" w:hAnsi="宋体" w:cs="宋体" w:eastAsia="宋体" w:hint="default"/>
                <w:sz w:val="21"/>
                <w:szCs w:val="21"/>
              </w:rPr>
              <w:t>型</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31" w:right="0"/>
              <w:jc w:val="left"/>
              <w:rPr>
                <w:rFonts w:ascii="宋体" w:hAnsi="宋体" w:cs="宋体" w:eastAsia="宋体" w:hint="default"/>
                <w:sz w:val="21"/>
                <w:szCs w:val="21"/>
              </w:rPr>
            </w:pPr>
            <w:r>
              <w:rPr>
                <w:rFonts w:ascii="宋体" w:hAnsi="宋体" w:cs="宋体" w:eastAsia="宋体" w:hint="default"/>
                <w:sz w:val="21"/>
                <w:szCs w:val="21"/>
              </w:rPr>
              <w:t>经营范围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422" w:right="103" w:hanging="315"/>
              <w:jc w:val="left"/>
              <w:rPr>
                <w:rFonts w:ascii="宋体" w:hAnsi="宋体" w:cs="宋体" w:eastAsia="宋体" w:hint="default"/>
                <w:sz w:val="21"/>
                <w:szCs w:val="21"/>
              </w:rPr>
            </w:pPr>
            <w:r>
              <w:rPr>
                <w:rFonts w:ascii="宋体" w:hAnsi="宋体" w:cs="宋体" w:eastAsia="宋体" w:hint="default"/>
                <w:sz w:val="21"/>
                <w:szCs w:val="21"/>
              </w:rPr>
              <w:t>期末实际投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资额</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71" w:right="72"/>
              <w:jc w:val="both"/>
              <w:rPr>
                <w:rFonts w:ascii="宋体" w:hAnsi="宋体" w:cs="宋体" w:eastAsia="宋体" w:hint="default"/>
                <w:sz w:val="21"/>
                <w:szCs w:val="21"/>
              </w:rPr>
            </w:pPr>
            <w:r>
              <w:rPr>
                <w:rFonts w:ascii="宋体" w:hAnsi="宋体" w:cs="宋体" w:eastAsia="宋体" w:hint="default"/>
                <w:sz w:val="21"/>
                <w:szCs w:val="21"/>
              </w:rPr>
              <w:t>实质上构</w:t>
            </w:r>
            <w:r>
              <w:rPr>
                <w:rFonts w:ascii="宋体" w:hAnsi="宋体" w:cs="宋体" w:eastAsia="宋体" w:hint="default"/>
                <w:w w:val="100"/>
                <w:sz w:val="21"/>
                <w:szCs w:val="21"/>
              </w:rPr>
              <w:t> </w:t>
            </w:r>
            <w:r>
              <w:rPr>
                <w:rFonts w:ascii="宋体" w:hAnsi="宋体" w:cs="宋体" w:eastAsia="宋体" w:hint="default"/>
                <w:sz w:val="21"/>
                <w:szCs w:val="21"/>
              </w:rPr>
              <w:t>成对子公</w:t>
            </w:r>
            <w:r>
              <w:rPr>
                <w:rFonts w:ascii="宋体" w:hAnsi="宋体" w:cs="宋体" w:eastAsia="宋体" w:hint="default"/>
                <w:w w:val="100"/>
                <w:sz w:val="21"/>
                <w:szCs w:val="21"/>
              </w:rPr>
              <w:t> </w:t>
            </w:r>
            <w:r>
              <w:rPr>
                <w:rFonts w:ascii="宋体" w:hAnsi="宋体" w:cs="宋体" w:eastAsia="宋体" w:hint="default"/>
                <w:sz w:val="21"/>
                <w:szCs w:val="21"/>
              </w:rPr>
              <w:t>司净投资</w:t>
            </w:r>
            <w:r>
              <w:rPr>
                <w:rFonts w:ascii="宋体" w:hAnsi="宋体" w:cs="宋体" w:eastAsia="宋体" w:hint="default"/>
                <w:w w:val="100"/>
                <w:sz w:val="21"/>
                <w:szCs w:val="21"/>
              </w:rPr>
              <w:t> </w:t>
            </w:r>
            <w:r>
              <w:rPr>
                <w:rFonts w:ascii="宋体" w:hAnsi="宋体" w:cs="宋体" w:eastAsia="宋体" w:hint="default"/>
                <w:sz w:val="21"/>
                <w:szCs w:val="21"/>
              </w:rPr>
              <w:t>的其他项</w:t>
            </w:r>
            <w:r>
              <w:rPr>
                <w:rFonts w:ascii="宋体" w:hAnsi="宋体" w:cs="宋体" w:eastAsia="宋体" w:hint="default"/>
                <w:w w:val="100"/>
                <w:sz w:val="21"/>
                <w:szCs w:val="21"/>
              </w:rPr>
              <w:t> </w:t>
            </w:r>
            <w:r>
              <w:rPr>
                <w:rFonts w:ascii="宋体" w:hAnsi="宋体" w:cs="宋体" w:eastAsia="宋体" w:hint="default"/>
                <w:sz w:val="21"/>
                <w:szCs w:val="21"/>
              </w:rPr>
              <w:t>目余额</w:t>
            </w:r>
          </w:p>
        </w:tc>
        <w:tc>
          <w:tcPr>
            <w:tcW w:w="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90" w:lineRule="auto"/>
              <w:ind w:left="72" w:right="72"/>
              <w:jc w:val="both"/>
              <w:rPr>
                <w:rFonts w:ascii="Calibri" w:hAnsi="Calibri" w:cs="Calibri" w:eastAsia="Calibri" w:hint="default"/>
                <w:sz w:val="21"/>
                <w:szCs w:val="21"/>
              </w:rPr>
            </w:pPr>
            <w:r>
              <w:rPr>
                <w:rFonts w:ascii="宋体" w:hAnsi="宋体" w:cs="宋体" w:eastAsia="宋体" w:hint="default"/>
                <w:sz w:val="21"/>
                <w:szCs w:val="21"/>
              </w:rPr>
              <w:t>持股</w:t>
            </w:r>
            <w:r>
              <w:rPr>
                <w:rFonts w:ascii="宋体" w:hAnsi="宋体" w:cs="宋体" w:eastAsia="宋体" w:hint="default"/>
                <w:spacing w:val="-103"/>
                <w:sz w:val="21"/>
                <w:szCs w:val="21"/>
              </w:rPr>
              <w:t> </w:t>
            </w: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Calibri" w:hAnsi="Calibri" w:cs="Calibri" w:eastAsia="Calibri" w:hint="default"/>
                <w:sz w:val="21"/>
                <w:szCs w:val="21"/>
              </w:rPr>
              <w:t>(%)</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90" w:lineRule="auto"/>
              <w:ind w:left="28" w:right="23"/>
              <w:jc w:val="center"/>
              <w:rPr>
                <w:rFonts w:ascii="Calibri" w:hAnsi="Calibri" w:cs="Calibri" w:eastAsia="Calibri" w:hint="default"/>
                <w:sz w:val="21"/>
                <w:szCs w:val="21"/>
              </w:rPr>
            </w:pPr>
            <w:r>
              <w:rPr>
                <w:rFonts w:ascii="宋体" w:hAnsi="宋体" w:cs="宋体" w:eastAsia="宋体" w:hint="default"/>
                <w:sz w:val="21"/>
                <w:szCs w:val="21"/>
              </w:rPr>
              <w:t>表决权</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Calibri" w:hAnsi="Calibri" w:cs="Calibri" w:eastAsia="Calibri" w:hint="default"/>
                <w:sz w:val="21"/>
                <w:szCs w:val="21"/>
              </w:rPr>
              <w:t>(%)</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73" w:lineRule="auto"/>
              <w:ind w:left="69" w:right="63"/>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报表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8"/>
              <w:ind w:left="528" w:right="103" w:hanging="420"/>
              <w:jc w:val="left"/>
              <w:rPr>
                <w:rFonts w:ascii="宋体" w:hAnsi="宋体" w:cs="宋体" w:eastAsia="宋体" w:hint="default"/>
                <w:sz w:val="21"/>
                <w:szCs w:val="21"/>
              </w:rPr>
            </w:pPr>
            <w:r>
              <w:rPr>
                <w:rFonts w:ascii="宋体" w:hAnsi="宋体" w:cs="宋体" w:eastAsia="宋体" w:hint="default"/>
                <w:sz w:val="21"/>
                <w:szCs w:val="21"/>
              </w:rPr>
              <w:t>少数股东权</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72" w:right="65"/>
              <w:jc w:val="both"/>
              <w:rPr>
                <w:rFonts w:ascii="宋体" w:hAnsi="宋体" w:cs="宋体" w:eastAsia="宋体" w:hint="default"/>
                <w:sz w:val="21"/>
                <w:szCs w:val="21"/>
              </w:rPr>
            </w:pPr>
            <w:r>
              <w:rPr>
                <w:rFonts w:ascii="宋体" w:hAnsi="宋体" w:cs="宋体" w:eastAsia="宋体" w:hint="default"/>
                <w:sz w:val="21"/>
                <w:szCs w:val="21"/>
              </w:rPr>
              <w:t>少数股东</w:t>
            </w:r>
            <w:r>
              <w:rPr>
                <w:rFonts w:ascii="宋体" w:hAnsi="宋体" w:cs="宋体" w:eastAsia="宋体" w:hint="default"/>
                <w:w w:val="100"/>
                <w:sz w:val="21"/>
                <w:szCs w:val="21"/>
              </w:rPr>
              <w:t> </w:t>
            </w:r>
            <w:r>
              <w:rPr>
                <w:rFonts w:ascii="宋体" w:hAnsi="宋体" w:cs="宋体" w:eastAsia="宋体" w:hint="default"/>
                <w:sz w:val="21"/>
                <w:szCs w:val="21"/>
              </w:rPr>
              <w:t>权益中用</w:t>
            </w:r>
            <w:r>
              <w:rPr>
                <w:rFonts w:ascii="宋体" w:hAnsi="宋体" w:cs="宋体" w:eastAsia="宋体" w:hint="default"/>
                <w:w w:val="100"/>
                <w:sz w:val="21"/>
                <w:szCs w:val="21"/>
              </w:rPr>
              <w:t> </w:t>
            </w:r>
            <w:r>
              <w:rPr>
                <w:rFonts w:ascii="宋体" w:hAnsi="宋体" w:cs="宋体" w:eastAsia="宋体" w:hint="default"/>
                <w:sz w:val="21"/>
                <w:szCs w:val="21"/>
              </w:rPr>
              <w:t>于冲减少</w:t>
            </w:r>
            <w:r>
              <w:rPr>
                <w:rFonts w:ascii="宋体" w:hAnsi="宋体" w:cs="宋体" w:eastAsia="宋体" w:hint="default"/>
                <w:w w:val="100"/>
                <w:sz w:val="21"/>
                <w:szCs w:val="21"/>
              </w:rPr>
              <w:t> </w:t>
            </w:r>
            <w:r>
              <w:rPr>
                <w:rFonts w:ascii="宋体" w:hAnsi="宋体" w:cs="宋体" w:eastAsia="宋体" w:hint="default"/>
                <w:sz w:val="21"/>
                <w:szCs w:val="21"/>
              </w:rPr>
              <w:t>数股东损</w:t>
            </w:r>
            <w:r>
              <w:rPr>
                <w:rFonts w:ascii="宋体" w:hAnsi="宋体" w:cs="宋体" w:eastAsia="宋体" w:hint="default"/>
                <w:w w:val="100"/>
                <w:sz w:val="21"/>
                <w:szCs w:val="21"/>
              </w:rPr>
              <w:t> </w:t>
            </w:r>
            <w:r>
              <w:rPr>
                <w:rFonts w:ascii="宋体" w:hAnsi="宋体" w:cs="宋体" w:eastAsia="宋体" w:hint="default"/>
                <w:sz w:val="21"/>
                <w:szCs w:val="21"/>
              </w:rPr>
              <w:t>益的金额</w:t>
            </w:r>
          </w:p>
        </w:tc>
        <w:tc>
          <w:tcPr>
            <w:tcW w:w="1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98" w:right="93"/>
              <w:jc w:val="center"/>
              <w:rPr>
                <w:rFonts w:ascii="宋体" w:hAnsi="宋体" w:cs="宋体" w:eastAsia="宋体" w:hint="default"/>
                <w:sz w:val="21"/>
                <w:szCs w:val="21"/>
              </w:rPr>
            </w:pPr>
            <w:r>
              <w:rPr>
                <w:rFonts w:ascii="宋体" w:hAnsi="宋体" w:cs="宋体" w:eastAsia="宋体" w:hint="default"/>
                <w:spacing w:val="-1"/>
                <w:sz w:val="21"/>
                <w:szCs w:val="21"/>
              </w:rPr>
              <w:t>从母公司所有者</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权益冲减子公司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少数股东分担的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本期亏损超过少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数股东在该子公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司年初所有者权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益中所享有份额</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后的余额</w:t>
            </w:r>
          </w:p>
        </w:tc>
      </w:tr>
      <w:tr>
        <w:trPr>
          <w:trHeight w:val="1258" w:hRule="exact"/>
        </w:trPr>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4" w:right="43"/>
              <w:jc w:val="left"/>
              <w:rPr>
                <w:rFonts w:ascii="宋体" w:hAnsi="宋体" w:cs="宋体" w:eastAsia="宋体" w:hint="default"/>
                <w:sz w:val="21"/>
                <w:szCs w:val="21"/>
              </w:rPr>
            </w:pPr>
            <w:r>
              <w:rPr>
                <w:rFonts w:ascii="宋体" w:hAnsi="宋体" w:cs="宋体" w:eastAsia="宋体" w:hint="default"/>
                <w:sz w:val="21"/>
                <w:szCs w:val="21"/>
              </w:rPr>
              <w:t>日本超图</w:t>
            </w:r>
            <w:r>
              <w:rPr>
                <w:rFonts w:ascii="宋体" w:hAnsi="宋体" w:cs="宋体" w:eastAsia="宋体" w:hint="default"/>
                <w:w w:val="100"/>
                <w:sz w:val="21"/>
                <w:szCs w:val="21"/>
              </w:rPr>
              <w:t> </w:t>
            </w:r>
            <w:r>
              <w:rPr>
                <w:rFonts w:ascii="宋体" w:hAnsi="宋体" w:cs="宋体" w:eastAsia="宋体" w:hint="default"/>
                <w:sz w:val="21"/>
                <w:szCs w:val="21"/>
              </w:rPr>
              <w:t>株式会社</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控股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1"/>
              <w:jc w:val="both"/>
              <w:rPr>
                <w:rFonts w:ascii="宋体" w:hAnsi="宋体" w:cs="宋体" w:eastAsia="宋体" w:hint="default"/>
                <w:sz w:val="21"/>
                <w:szCs w:val="21"/>
              </w:rPr>
            </w:pPr>
            <w:r>
              <w:rPr>
                <w:rFonts w:ascii="宋体" w:hAnsi="宋体" w:cs="宋体" w:eastAsia="宋体" w:hint="default"/>
                <w:sz w:val="21"/>
                <w:szCs w:val="21"/>
              </w:rPr>
              <w:t>东京都港</w:t>
            </w:r>
            <w:r>
              <w:rPr>
                <w:rFonts w:ascii="宋体" w:hAnsi="宋体" w:cs="宋体" w:eastAsia="宋体" w:hint="default"/>
                <w:w w:val="100"/>
                <w:sz w:val="21"/>
                <w:szCs w:val="21"/>
              </w:rPr>
              <w:t> </w:t>
            </w:r>
            <w:r>
              <w:rPr>
                <w:rFonts w:ascii="宋体" w:hAnsi="宋体" w:cs="宋体" w:eastAsia="宋体" w:hint="default"/>
                <w:sz w:val="21"/>
                <w:szCs w:val="21"/>
              </w:rPr>
              <w:t>区芝日本</w:t>
            </w:r>
            <w:r>
              <w:rPr>
                <w:rFonts w:ascii="宋体" w:hAnsi="宋体" w:cs="宋体" w:eastAsia="宋体" w:hint="default"/>
                <w:w w:val="100"/>
                <w:sz w:val="21"/>
                <w:szCs w:val="21"/>
              </w:rPr>
              <w:t> </w:t>
            </w:r>
            <w:r>
              <w:rPr>
                <w:rFonts w:ascii="宋体" w:hAnsi="宋体" w:cs="宋体" w:eastAsia="宋体" w:hint="default"/>
                <w:sz w:val="21"/>
                <w:szCs w:val="21"/>
              </w:rPr>
              <w:t>二丁目</w:t>
            </w:r>
          </w:p>
          <w:p>
            <w:pPr>
              <w:pStyle w:val="TableParagraph"/>
              <w:spacing w:line="240" w:lineRule="auto" w:before="7"/>
              <w:ind w:left="23" w:right="0"/>
              <w:jc w:val="both"/>
              <w:rPr>
                <w:rFonts w:ascii="宋体" w:hAnsi="宋体" w:cs="宋体" w:eastAsia="宋体" w:hint="default"/>
                <w:sz w:val="21"/>
                <w:szCs w:val="21"/>
              </w:rPr>
            </w:pPr>
            <w:r>
              <w:rPr>
                <w:rFonts w:ascii="Calibri" w:hAnsi="Calibri" w:cs="Calibri" w:eastAsia="Calibri" w:hint="default"/>
                <w:sz w:val="21"/>
                <w:szCs w:val="21"/>
              </w:rPr>
              <w:t>13</w:t>
            </w:r>
            <w:r>
              <w:rPr>
                <w:rFonts w:ascii="Calibri" w:hAnsi="Calibri" w:cs="Calibri" w:eastAsia="Calibri" w:hint="default"/>
                <w:spacing w:val="-8"/>
                <w:sz w:val="21"/>
                <w:szCs w:val="21"/>
              </w:rPr>
              <w:t> </w:t>
            </w:r>
            <w:r>
              <w:rPr>
                <w:rFonts w:ascii="宋体" w:hAnsi="宋体" w:cs="宋体" w:eastAsia="宋体" w:hint="default"/>
                <w:sz w:val="21"/>
                <w:szCs w:val="21"/>
              </w:rPr>
              <w:t>番</w:t>
            </w:r>
            <w:r>
              <w:rPr>
                <w:rFonts w:ascii="宋体" w:hAnsi="宋体" w:cs="宋体" w:eastAsia="宋体" w:hint="default"/>
                <w:spacing w:val="-64"/>
                <w:sz w:val="21"/>
                <w:szCs w:val="21"/>
              </w:rPr>
              <w:t> </w:t>
            </w:r>
            <w:r>
              <w:rPr>
                <w:rFonts w:ascii="Calibri" w:hAnsi="Calibri" w:cs="Calibri" w:eastAsia="Calibri" w:hint="default"/>
                <w:sz w:val="21"/>
                <w:szCs w:val="21"/>
              </w:rPr>
              <w:t>4</w:t>
            </w:r>
            <w:r>
              <w:rPr>
                <w:rFonts w:ascii="Calibri" w:hAnsi="Calibri" w:cs="Calibri" w:eastAsia="Calibri" w:hint="default"/>
                <w:spacing w:val="-8"/>
                <w:sz w:val="21"/>
                <w:szCs w:val="21"/>
              </w:rPr>
              <w:t> </w:t>
            </w:r>
            <w:r>
              <w:rPr>
                <w:rFonts w:ascii="宋体" w:hAnsi="宋体" w:cs="宋体" w:eastAsia="宋体" w:hint="default"/>
                <w:sz w:val="21"/>
                <w:szCs w:val="21"/>
              </w:rPr>
              <w:t>号</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1" w:right="41"/>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w w:val="100"/>
                <w:sz w:val="21"/>
                <w:szCs w:val="21"/>
              </w:rPr>
              <w:t> </w:t>
            </w:r>
            <w:r>
              <w:rPr>
                <w:rFonts w:ascii="宋体" w:hAnsi="宋体" w:cs="宋体" w:eastAsia="宋体" w:hint="default"/>
                <w:sz w:val="21"/>
                <w:szCs w:val="21"/>
              </w:rPr>
              <w:t>销售</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日元</w:t>
            </w:r>
          </w:p>
          <w:p>
            <w:pPr>
              <w:pStyle w:val="TableParagraph"/>
              <w:spacing w:line="240" w:lineRule="auto" w:before="77"/>
              <w:ind w:left="23" w:right="0"/>
              <w:jc w:val="left"/>
              <w:rPr>
                <w:rFonts w:ascii="Calibri" w:hAnsi="Calibri" w:cs="Calibri" w:eastAsia="Calibri" w:hint="default"/>
                <w:sz w:val="21"/>
                <w:szCs w:val="21"/>
              </w:rPr>
            </w:pPr>
            <w:r>
              <w:rPr>
                <w:rFonts w:ascii="Calibri"/>
                <w:sz w:val="21"/>
              </w:rPr>
              <w:t>236,200,000.00</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1" w:right="41"/>
              <w:jc w:val="left"/>
              <w:rPr>
                <w:rFonts w:ascii="宋体" w:hAnsi="宋体" w:cs="宋体" w:eastAsia="宋体" w:hint="default"/>
                <w:sz w:val="21"/>
                <w:szCs w:val="21"/>
              </w:rPr>
            </w:pPr>
            <w:r>
              <w:rPr>
                <w:rFonts w:ascii="宋体" w:hAnsi="宋体" w:cs="宋体" w:eastAsia="宋体" w:hint="default"/>
                <w:sz w:val="21"/>
                <w:szCs w:val="21"/>
              </w:rPr>
              <w:t>软件研</w:t>
            </w:r>
            <w:r>
              <w:rPr>
                <w:rFonts w:ascii="宋体" w:hAnsi="宋体" w:cs="宋体" w:eastAsia="宋体" w:hint="default"/>
                <w:spacing w:val="-102"/>
                <w:sz w:val="21"/>
                <w:szCs w:val="21"/>
              </w:rPr>
              <w:t> </w:t>
            </w:r>
            <w:r>
              <w:rPr>
                <w:rFonts w:ascii="宋体" w:hAnsi="宋体" w:cs="宋体" w:eastAsia="宋体" w:hint="default"/>
                <w:sz w:val="21"/>
                <w:szCs w:val="21"/>
              </w:rPr>
              <w:t>发、销售</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Calibri" w:hAnsi="Calibri" w:cs="Calibri" w:eastAsia="Calibri" w:hint="default"/>
                <w:sz w:val="21"/>
                <w:szCs w:val="21"/>
              </w:rPr>
            </w:pPr>
            <w:r>
              <w:rPr>
                <w:rFonts w:ascii="Calibri"/>
                <w:sz w:val="21"/>
              </w:rPr>
              <w:t>23,490,700.00</w:t>
            </w:r>
          </w:p>
        </w:tc>
        <w:tc>
          <w:tcPr>
            <w:tcW w:w="998"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 w:right="0"/>
              <w:jc w:val="left"/>
              <w:rPr>
                <w:rFonts w:ascii="Calibri" w:hAnsi="Calibri" w:cs="Calibri" w:eastAsia="Calibri" w:hint="default"/>
                <w:sz w:val="21"/>
                <w:szCs w:val="21"/>
              </w:rPr>
            </w:pPr>
            <w:r>
              <w:rPr>
                <w:rFonts w:ascii="Calibri"/>
                <w:sz w:val="21"/>
              </w:rPr>
              <w:t>36.6%</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38" w:right="0"/>
              <w:jc w:val="left"/>
              <w:rPr>
                <w:rFonts w:ascii="Calibri" w:hAnsi="Calibri" w:cs="Calibri" w:eastAsia="Calibri" w:hint="default"/>
                <w:sz w:val="21"/>
                <w:szCs w:val="21"/>
              </w:rPr>
            </w:pPr>
            <w:r>
              <w:rPr>
                <w:rFonts w:ascii="Calibri"/>
                <w:sz w:val="21"/>
              </w:rPr>
              <w:t>51.69%</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4" w:right="0"/>
              <w:jc w:val="left"/>
              <w:rPr>
                <w:rFonts w:ascii="Calibri" w:hAnsi="Calibri" w:cs="Calibri" w:eastAsia="Calibri" w:hint="default"/>
                <w:sz w:val="21"/>
                <w:szCs w:val="21"/>
              </w:rPr>
            </w:pPr>
            <w:r>
              <w:rPr>
                <w:rFonts w:ascii="Calibri"/>
                <w:sz w:val="21"/>
              </w:rPr>
              <w:t>18,851,599.89</w:t>
            </w:r>
          </w:p>
        </w:tc>
        <w:tc>
          <w:tcPr>
            <w:tcW w:w="991" w:type="dxa"/>
            <w:tcBorders>
              <w:top w:val="single" w:sz="4" w:space="0" w:color="000000"/>
              <w:left w:val="single" w:sz="4" w:space="0" w:color="000000"/>
              <w:bottom w:val="single" w:sz="4" w:space="0" w:color="000000"/>
              <w:right w:val="single" w:sz="4" w:space="0" w:color="000000"/>
            </w:tcBorders>
          </w:tcPr>
          <w:p>
            <w:pPr/>
          </w:p>
        </w:tc>
        <w:tc>
          <w:tcPr>
            <w:tcW w:w="1677" w:type="dxa"/>
            <w:tcBorders>
              <w:top w:val="single" w:sz="4" w:space="0" w:color="000000"/>
              <w:left w:val="single" w:sz="4" w:space="0" w:color="000000"/>
              <w:bottom w:val="single" w:sz="4" w:space="0" w:color="000000"/>
              <w:right w:val="single" w:sz="4" w:space="0" w:color="000000"/>
            </w:tcBorders>
          </w:tcPr>
          <w:p>
            <w:pP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通过非同一控制下企业合并取得的子公司的其他说明</w:t>
      </w:r>
    </w:p>
    <w:p>
      <w:pPr>
        <w:spacing w:after="0" w:line="262" w:lineRule="exact"/>
        <w:jc w:val="left"/>
        <w:rPr>
          <w:rFonts w:ascii="宋体" w:hAnsi="宋体" w:cs="宋体" w:eastAsia="宋体" w:hint="default"/>
          <w:sz w:val="21"/>
          <w:szCs w:val="21"/>
        </w:rPr>
        <w:sectPr>
          <w:pgSz w:w="16840" w:h="11910" w:orient="landscape"/>
          <w:pgMar w:header="884" w:footer="1008" w:top="1160" w:bottom="1200" w:left="860" w:right="130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spacing w:line="506" w:lineRule="auto" w:before="36"/>
        <w:ind w:left="558" w:right="2239"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、特殊目的主体或通过受托经营或承租等方式形成控制权的经营实体</w:t>
      </w:r>
      <w:r>
        <w:rPr>
          <w:rFonts w:ascii="宋体" w:hAnsi="宋体" w:cs="宋体" w:eastAsia="宋体" w:hint="default"/>
          <w:b/>
          <w:bCs/>
          <w:spacing w:val="-75"/>
          <w:sz w:val="21"/>
          <w:szCs w:val="21"/>
        </w:rPr>
        <w:t> </w:t>
      </w:r>
      <w:r>
        <w:rPr>
          <w:rFonts w:ascii="宋体" w:hAnsi="宋体" w:cs="宋体" w:eastAsia="宋体" w:hint="default"/>
          <w:b/>
          <w:bCs/>
          <w:spacing w:val="-75"/>
          <w:sz w:val="21"/>
          <w:szCs w:val="21"/>
        </w:rPr>
      </w:r>
      <w:r>
        <w:rPr>
          <w:rFonts w:ascii="宋体" w:hAnsi="宋体" w:cs="宋体" w:eastAsia="宋体" w:hint="default"/>
          <w:sz w:val="21"/>
          <w:szCs w:val="21"/>
        </w:rPr>
        <w:t>无</w:t>
      </w:r>
    </w:p>
    <w:p>
      <w:pPr>
        <w:spacing w:before="104"/>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合并报表范围发生变更说明</w:t>
      </w:r>
    </w:p>
    <w:p>
      <w:pPr>
        <w:spacing w:line="247" w:lineRule="auto" w:before="37"/>
        <w:ind w:left="558" w:right="6911"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Calibri" w:hAnsi="Calibri" w:cs="Calibri" w:eastAsia="Calibri" w:hint="default"/>
          <w:sz w:val="21"/>
          <w:szCs w:val="21"/>
        </w:rPr>
        <w:t>√</w:t>
      </w:r>
      <w:r>
        <w:rPr>
          <w:rFonts w:ascii="Calibri" w:hAnsi="Calibri" w:cs="Calibri" w:eastAsia="Calibri" w:hint="default"/>
          <w:spacing w:val="45"/>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z w:val="21"/>
          <w:szCs w:val="21"/>
        </w:rPr>
        <w:t>制。</w:t>
      </w:r>
    </w:p>
    <w:p>
      <w:pPr>
        <w:spacing w:line="240" w:lineRule="auto" w:before="4"/>
        <w:rPr>
          <w:rFonts w:ascii="宋体" w:hAnsi="宋体" w:cs="宋体" w:eastAsia="宋体" w:hint="default"/>
          <w:sz w:val="25"/>
          <w:szCs w:val="25"/>
        </w:rPr>
      </w:pPr>
    </w:p>
    <w:p>
      <w:pPr>
        <w:spacing w:line="506" w:lineRule="auto" w:before="0"/>
        <w:ind w:left="558" w:right="2029"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、报告期内新纳入合并范围的主体和报告期内不再纳入合并范围的主体</w:t>
      </w:r>
      <w:r>
        <w:rPr>
          <w:rFonts w:ascii="宋体" w:hAnsi="宋体" w:cs="宋体" w:eastAsia="宋体" w:hint="default"/>
          <w:b/>
          <w:bCs/>
          <w:spacing w:val="-74"/>
          <w:sz w:val="21"/>
          <w:szCs w:val="21"/>
        </w:rPr>
        <w:t> </w:t>
      </w:r>
      <w:r>
        <w:rPr>
          <w:rFonts w:ascii="宋体" w:hAnsi="宋体" w:cs="宋体" w:eastAsia="宋体" w:hint="default"/>
          <w:b/>
          <w:bCs/>
          <w:spacing w:val="-74"/>
          <w:sz w:val="21"/>
          <w:szCs w:val="21"/>
        </w:rPr>
      </w:r>
      <w:r>
        <w:rPr>
          <w:rFonts w:ascii="宋体" w:hAnsi="宋体" w:cs="宋体" w:eastAsia="宋体" w:hint="default"/>
          <w:sz w:val="21"/>
          <w:szCs w:val="21"/>
        </w:rPr>
        <w:t>无</w:t>
      </w:r>
    </w:p>
    <w:p>
      <w:pPr>
        <w:spacing w:line="506" w:lineRule="auto" w:before="104"/>
        <w:ind w:left="558" w:right="4967"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、报告期内发生的同一控制下企业合并</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sz w:val="21"/>
          <w:szCs w:val="21"/>
        </w:rPr>
        <w:t>无</w:t>
      </w:r>
    </w:p>
    <w:p>
      <w:pPr>
        <w:spacing w:line="506" w:lineRule="auto" w:before="104"/>
        <w:ind w:left="558" w:right="4757"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6</w:t>
      </w:r>
      <w:r>
        <w:rPr>
          <w:rFonts w:ascii="宋体" w:hAnsi="宋体" w:cs="宋体" w:eastAsia="宋体" w:hint="default"/>
          <w:b/>
          <w:bCs/>
          <w:spacing w:val="-1"/>
          <w:sz w:val="21"/>
          <w:szCs w:val="21"/>
        </w:rPr>
        <w:t>、报告期内发生的非同一控制下企业合并</w:t>
      </w:r>
      <w:r>
        <w:rPr>
          <w:rFonts w:ascii="宋体" w:hAnsi="宋体" w:cs="宋体" w:eastAsia="宋体" w:hint="default"/>
          <w:b/>
          <w:bCs/>
          <w:spacing w:val="-86"/>
          <w:sz w:val="21"/>
          <w:szCs w:val="21"/>
        </w:rPr>
        <w:t> </w:t>
      </w:r>
      <w:r>
        <w:rPr>
          <w:rFonts w:ascii="宋体" w:hAnsi="宋体" w:cs="宋体" w:eastAsia="宋体" w:hint="default"/>
          <w:b/>
          <w:bCs/>
          <w:spacing w:val="-86"/>
          <w:sz w:val="21"/>
          <w:szCs w:val="21"/>
        </w:rPr>
      </w:r>
      <w:r>
        <w:rPr>
          <w:rFonts w:ascii="宋体" w:hAnsi="宋体" w:cs="宋体" w:eastAsia="宋体" w:hint="default"/>
          <w:sz w:val="21"/>
          <w:szCs w:val="21"/>
        </w:rPr>
        <w:t>无</w:t>
      </w:r>
    </w:p>
    <w:p>
      <w:pPr>
        <w:spacing w:line="506" w:lineRule="auto" w:before="104"/>
        <w:ind w:left="558" w:right="4128"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7</w:t>
      </w:r>
      <w:r>
        <w:rPr>
          <w:rFonts w:ascii="宋体" w:hAnsi="宋体" w:cs="宋体" w:eastAsia="宋体" w:hint="default"/>
          <w:b/>
          <w:bCs/>
          <w:spacing w:val="-1"/>
          <w:sz w:val="21"/>
          <w:szCs w:val="21"/>
        </w:rPr>
        <w:t>、报告期内出售丧失控制权的股权而减少子公司</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无</w:t>
      </w:r>
    </w:p>
    <w:p>
      <w:pPr>
        <w:spacing w:line="516" w:lineRule="auto" w:before="104"/>
        <w:ind w:left="558" w:right="6186"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8</w:t>
      </w:r>
      <w:r>
        <w:rPr>
          <w:rFonts w:ascii="宋体" w:hAnsi="宋体" w:cs="宋体" w:eastAsia="宋体" w:hint="default"/>
          <w:b/>
          <w:bCs/>
          <w:spacing w:val="-1"/>
          <w:sz w:val="21"/>
          <w:szCs w:val="21"/>
        </w:rPr>
        <w:t>、报告期内发生的反向购买</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9</w:t>
      </w:r>
      <w:r>
        <w:rPr>
          <w:rFonts w:ascii="宋体" w:hAnsi="宋体" w:cs="宋体" w:eastAsia="宋体" w:hint="default"/>
          <w:b/>
          <w:bCs/>
          <w:spacing w:val="-1"/>
          <w:sz w:val="21"/>
          <w:szCs w:val="21"/>
        </w:rPr>
        <w:t>、本报告期发生的吸收合并</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sz w:val="21"/>
          <w:szCs w:val="21"/>
        </w:rPr>
        <w:t>无</w:t>
      </w:r>
    </w:p>
    <w:p>
      <w:pPr>
        <w:spacing w:before="95"/>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、境外经营实体主要报表项目的折算汇率</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pStyle w:val="BodyText"/>
        <w:spacing w:line="240" w:lineRule="auto"/>
        <w:ind w:right="0"/>
        <w:jc w:val="left"/>
      </w:pPr>
      <w:r>
        <w:rPr/>
        <w:t>（</w:t>
      </w:r>
      <w:r>
        <w:rPr>
          <w:rFonts w:ascii="Calibri" w:hAnsi="Calibri" w:cs="Calibri" w:eastAsia="Calibri" w:hint="default"/>
        </w:rPr>
        <w:t>1</w:t>
      </w:r>
      <w:r>
        <w:rPr/>
        <w:t>）超图国际有限公司</w:t>
      </w:r>
    </w:p>
    <w:p>
      <w:pPr>
        <w:spacing w:line="240" w:lineRule="auto" w:before="1"/>
        <w:rPr>
          <w:rFonts w:ascii="宋体" w:hAnsi="宋体" w:cs="宋体" w:eastAsia="宋体" w:hint="default"/>
          <w:sz w:val="17"/>
          <w:szCs w:val="17"/>
        </w:rPr>
      </w:pPr>
    </w:p>
    <w:tbl>
      <w:tblPr>
        <w:tblW w:w="0" w:type="auto"/>
        <w:jc w:val="left"/>
        <w:tblInd w:w="548" w:type="dxa"/>
        <w:tblLayout w:type="fixed"/>
        <w:tblCellMar>
          <w:top w:w="0" w:type="dxa"/>
          <w:left w:w="0" w:type="dxa"/>
          <w:bottom w:w="0" w:type="dxa"/>
          <w:right w:w="0" w:type="dxa"/>
        </w:tblCellMar>
        <w:tblLook w:val="01E0"/>
      </w:tblPr>
      <w:tblGrid>
        <w:gridCol w:w="1809"/>
        <w:gridCol w:w="1387"/>
        <w:gridCol w:w="2116"/>
        <w:gridCol w:w="1843"/>
        <w:gridCol w:w="1557"/>
      </w:tblGrid>
      <w:tr>
        <w:trPr>
          <w:trHeight w:val="348" w:hRule="exact"/>
        </w:trPr>
        <w:tc>
          <w:tcPr>
            <w:tcW w:w="1809" w:type="dxa"/>
            <w:tcBorders>
              <w:top w:val="single" w:sz="6" w:space="0" w:color="000000"/>
              <w:left w:val="nil" w:sz="6" w:space="0" w:color="auto"/>
              <w:bottom w:val="single" w:sz="8" w:space="0" w:color="000000"/>
              <w:right w:val="nil" w:sz="6" w:space="0" w:color="auto"/>
            </w:tcBorders>
          </w:tcPr>
          <w:p>
            <w:pPr>
              <w:pStyle w:val="TableParagraph"/>
              <w:spacing w:line="272"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主要报表项目</w:t>
            </w:r>
            <w:r>
              <w:rPr>
                <w:rFonts w:ascii="宋体" w:hAnsi="宋体" w:cs="宋体" w:eastAsia="宋体" w:hint="default"/>
                <w:sz w:val="21"/>
                <w:szCs w:val="21"/>
              </w:rPr>
            </w:r>
          </w:p>
        </w:tc>
        <w:tc>
          <w:tcPr>
            <w:tcW w:w="1387" w:type="dxa"/>
            <w:tcBorders>
              <w:top w:val="single" w:sz="6" w:space="0" w:color="000000"/>
              <w:left w:val="nil" w:sz="6" w:space="0" w:color="auto"/>
              <w:bottom w:val="single" w:sz="8" w:space="0" w:color="000000"/>
              <w:right w:val="nil" w:sz="6" w:space="0" w:color="auto"/>
            </w:tcBorders>
          </w:tcPr>
          <w:p>
            <w:pPr>
              <w:pStyle w:val="TableParagraph"/>
              <w:spacing w:line="272" w:lineRule="exact"/>
              <w:ind w:right="431"/>
              <w:jc w:val="right"/>
              <w:rPr>
                <w:rFonts w:ascii="宋体" w:hAnsi="宋体" w:cs="宋体" w:eastAsia="宋体" w:hint="default"/>
                <w:sz w:val="21"/>
                <w:szCs w:val="21"/>
              </w:rPr>
            </w:pPr>
            <w:r>
              <w:rPr>
                <w:rFonts w:ascii="宋体" w:hAnsi="宋体" w:cs="宋体" w:eastAsia="宋体" w:hint="default"/>
                <w:b/>
                <w:bCs/>
                <w:sz w:val="21"/>
                <w:szCs w:val="21"/>
              </w:rPr>
              <w:t>币种</w:t>
            </w:r>
            <w:r>
              <w:rPr>
                <w:rFonts w:ascii="宋体" w:hAnsi="宋体" w:cs="宋体" w:eastAsia="宋体" w:hint="default"/>
                <w:sz w:val="21"/>
                <w:szCs w:val="21"/>
              </w:rPr>
            </w:r>
          </w:p>
        </w:tc>
        <w:tc>
          <w:tcPr>
            <w:tcW w:w="2116" w:type="dxa"/>
            <w:tcBorders>
              <w:top w:val="single" w:sz="6" w:space="0" w:color="000000"/>
              <w:left w:val="nil" w:sz="6" w:space="0" w:color="auto"/>
              <w:bottom w:val="single" w:sz="8" w:space="0" w:color="000000"/>
              <w:right w:val="nil" w:sz="6" w:space="0" w:color="auto"/>
            </w:tcBorders>
          </w:tcPr>
          <w:p>
            <w:pPr>
              <w:pStyle w:val="TableParagraph"/>
              <w:spacing w:line="272" w:lineRule="exact"/>
              <w:ind w:right="564"/>
              <w:jc w:val="right"/>
              <w:rPr>
                <w:rFonts w:ascii="宋体" w:hAnsi="宋体" w:cs="宋体" w:eastAsia="宋体" w:hint="default"/>
                <w:sz w:val="21"/>
                <w:szCs w:val="21"/>
              </w:rPr>
            </w:pPr>
            <w:r>
              <w:rPr>
                <w:rFonts w:ascii="宋体" w:hAnsi="宋体" w:cs="宋体" w:eastAsia="宋体" w:hint="default"/>
                <w:b/>
                <w:bCs/>
                <w:sz w:val="21"/>
                <w:szCs w:val="21"/>
              </w:rPr>
              <w:t>外币余额</w:t>
            </w:r>
            <w:r>
              <w:rPr>
                <w:rFonts w:ascii="宋体" w:hAnsi="宋体" w:cs="宋体" w:eastAsia="宋体" w:hint="default"/>
                <w:sz w:val="21"/>
                <w:szCs w:val="21"/>
              </w:rPr>
            </w:r>
          </w:p>
        </w:tc>
        <w:tc>
          <w:tcPr>
            <w:tcW w:w="1843" w:type="dxa"/>
            <w:tcBorders>
              <w:top w:val="single" w:sz="6" w:space="0" w:color="000000"/>
              <w:left w:val="nil" w:sz="6" w:space="0" w:color="auto"/>
              <w:bottom w:val="single" w:sz="8" w:space="0" w:color="000000"/>
              <w:right w:val="nil" w:sz="6" w:space="0" w:color="auto"/>
            </w:tcBorders>
          </w:tcPr>
          <w:p>
            <w:pPr>
              <w:pStyle w:val="TableParagraph"/>
              <w:spacing w:line="272" w:lineRule="exact"/>
              <w:ind w:right="429"/>
              <w:jc w:val="right"/>
              <w:rPr>
                <w:rFonts w:ascii="宋体" w:hAnsi="宋体" w:cs="宋体" w:eastAsia="宋体" w:hint="default"/>
                <w:sz w:val="21"/>
                <w:szCs w:val="21"/>
              </w:rPr>
            </w:pPr>
            <w:r>
              <w:rPr>
                <w:rFonts w:ascii="宋体" w:hAnsi="宋体" w:cs="宋体" w:eastAsia="宋体" w:hint="default"/>
                <w:b/>
                <w:bCs/>
                <w:sz w:val="21"/>
                <w:szCs w:val="21"/>
              </w:rPr>
              <w:t>折算汇率</w:t>
            </w:r>
            <w:r>
              <w:rPr>
                <w:rFonts w:ascii="宋体" w:hAnsi="宋体" w:cs="宋体" w:eastAsia="宋体" w:hint="default"/>
                <w:sz w:val="21"/>
                <w:szCs w:val="21"/>
              </w:rPr>
            </w:r>
          </w:p>
        </w:tc>
        <w:tc>
          <w:tcPr>
            <w:tcW w:w="1557" w:type="dxa"/>
            <w:tcBorders>
              <w:top w:val="single" w:sz="6" w:space="0" w:color="000000"/>
              <w:left w:val="nil" w:sz="6" w:space="0" w:color="auto"/>
              <w:bottom w:val="single" w:sz="8" w:space="0" w:color="000000"/>
              <w:right w:val="nil" w:sz="6" w:space="0" w:color="auto"/>
            </w:tcBorders>
          </w:tcPr>
          <w:p>
            <w:pPr>
              <w:pStyle w:val="TableParagraph"/>
              <w:spacing w:line="272" w:lineRule="exact"/>
              <w:ind w:right="5"/>
              <w:jc w:val="right"/>
              <w:rPr>
                <w:rFonts w:ascii="宋体" w:hAnsi="宋体" w:cs="宋体" w:eastAsia="宋体" w:hint="default"/>
                <w:sz w:val="21"/>
                <w:szCs w:val="21"/>
              </w:rPr>
            </w:pPr>
            <w:r>
              <w:rPr>
                <w:rFonts w:ascii="宋体" w:hAnsi="宋体" w:cs="宋体" w:eastAsia="宋体" w:hint="default"/>
                <w:b/>
                <w:bCs/>
                <w:sz w:val="21"/>
                <w:szCs w:val="21"/>
              </w:rPr>
              <w:t>人民币余额</w:t>
            </w:r>
            <w:r>
              <w:rPr>
                <w:rFonts w:ascii="宋体" w:hAnsi="宋体" w:cs="宋体" w:eastAsia="宋体" w:hint="default"/>
                <w:sz w:val="21"/>
                <w:szCs w:val="21"/>
              </w:rPr>
            </w:r>
          </w:p>
        </w:tc>
      </w:tr>
      <w:tr>
        <w:trPr>
          <w:trHeight w:val="348" w:hRule="exact"/>
        </w:trPr>
        <w:tc>
          <w:tcPr>
            <w:tcW w:w="1809"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387"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428"/>
              <w:jc w:val="right"/>
              <w:rPr>
                <w:rFonts w:ascii="宋体" w:hAnsi="宋体" w:cs="宋体" w:eastAsia="宋体" w:hint="default"/>
                <w:sz w:val="21"/>
                <w:szCs w:val="21"/>
              </w:rPr>
            </w:pPr>
            <w:r>
              <w:rPr>
                <w:rFonts w:ascii="宋体" w:hAnsi="宋体" w:cs="宋体" w:eastAsia="宋体" w:hint="default"/>
                <w:sz w:val="21"/>
                <w:szCs w:val="21"/>
              </w:rPr>
              <w:t>港币</w:t>
            </w:r>
          </w:p>
        </w:tc>
        <w:tc>
          <w:tcPr>
            <w:tcW w:w="2116"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566"/>
              <w:jc w:val="right"/>
              <w:rPr>
                <w:rFonts w:ascii="Calibri" w:hAnsi="Calibri" w:cs="Calibri" w:eastAsia="Calibri" w:hint="default"/>
                <w:sz w:val="21"/>
                <w:szCs w:val="21"/>
              </w:rPr>
            </w:pPr>
            <w:r>
              <w:rPr>
                <w:rFonts w:ascii="Calibri"/>
                <w:spacing w:val="-1"/>
                <w:sz w:val="21"/>
              </w:rPr>
              <w:t>969,837.00</w:t>
            </w:r>
          </w:p>
        </w:tc>
        <w:tc>
          <w:tcPr>
            <w:tcW w:w="184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430"/>
              <w:jc w:val="right"/>
              <w:rPr>
                <w:rFonts w:ascii="Calibri" w:hAnsi="Calibri" w:cs="Calibri" w:eastAsia="Calibri" w:hint="default"/>
                <w:sz w:val="21"/>
                <w:szCs w:val="21"/>
              </w:rPr>
            </w:pPr>
            <w:r>
              <w:rPr>
                <w:rFonts w:ascii="Calibri"/>
                <w:spacing w:val="-1"/>
                <w:sz w:val="21"/>
              </w:rPr>
              <w:t>0.8109</w:t>
            </w:r>
          </w:p>
        </w:tc>
        <w:tc>
          <w:tcPr>
            <w:tcW w:w="1557"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7"/>
              <w:jc w:val="right"/>
              <w:rPr>
                <w:rFonts w:ascii="Calibri" w:hAnsi="Calibri" w:cs="Calibri" w:eastAsia="Calibri" w:hint="default"/>
                <w:sz w:val="21"/>
                <w:szCs w:val="21"/>
              </w:rPr>
            </w:pPr>
            <w:r>
              <w:rPr>
                <w:rFonts w:ascii="Calibri"/>
                <w:spacing w:val="-1"/>
                <w:sz w:val="21"/>
              </w:rPr>
              <w:t>786,440.82</w:t>
            </w:r>
          </w:p>
        </w:tc>
      </w:tr>
      <w:tr>
        <w:trPr>
          <w:trHeight w:val="348" w:hRule="exact"/>
        </w:trPr>
        <w:tc>
          <w:tcPr>
            <w:tcW w:w="1809"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9"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1387"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428"/>
              <w:jc w:val="right"/>
              <w:rPr>
                <w:rFonts w:ascii="宋体" w:hAnsi="宋体" w:cs="宋体" w:eastAsia="宋体" w:hint="default"/>
                <w:sz w:val="21"/>
                <w:szCs w:val="21"/>
              </w:rPr>
            </w:pPr>
            <w:r>
              <w:rPr>
                <w:rFonts w:ascii="宋体" w:hAnsi="宋体" w:cs="宋体" w:eastAsia="宋体" w:hint="default"/>
                <w:sz w:val="21"/>
                <w:szCs w:val="21"/>
              </w:rPr>
              <w:t>港币</w:t>
            </w:r>
          </w:p>
        </w:tc>
        <w:tc>
          <w:tcPr>
            <w:tcW w:w="2116"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566"/>
              <w:jc w:val="right"/>
              <w:rPr>
                <w:rFonts w:ascii="Calibri" w:hAnsi="Calibri" w:cs="Calibri" w:eastAsia="Calibri" w:hint="default"/>
                <w:sz w:val="21"/>
                <w:szCs w:val="21"/>
              </w:rPr>
            </w:pPr>
            <w:r>
              <w:rPr>
                <w:rFonts w:ascii="Calibri"/>
                <w:spacing w:val="-1"/>
                <w:sz w:val="21"/>
              </w:rPr>
              <w:t>4,500,000.00</w:t>
            </w:r>
          </w:p>
        </w:tc>
        <w:tc>
          <w:tcPr>
            <w:tcW w:w="1843"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430"/>
              <w:jc w:val="right"/>
              <w:rPr>
                <w:rFonts w:ascii="Calibri" w:hAnsi="Calibri" w:cs="Calibri" w:eastAsia="Calibri" w:hint="default"/>
                <w:sz w:val="21"/>
                <w:szCs w:val="21"/>
              </w:rPr>
            </w:pPr>
            <w:r>
              <w:rPr>
                <w:rFonts w:ascii="Calibri"/>
                <w:spacing w:val="-1"/>
                <w:sz w:val="21"/>
              </w:rPr>
              <w:t>0.9562</w:t>
            </w:r>
          </w:p>
        </w:tc>
        <w:tc>
          <w:tcPr>
            <w:tcW w:w="1557"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7"/>
              <w:jc w:val="right"/>
              <w:rPr>
                <w:rFonts w:ascii="Calibri" w:hAnsi="Calibri" w:cs="Calibri" w:eastAsia="Calibri" w:hint="default"/>
                <w:sz w:val="21"/>
                <w:szCs w:val="21"/>
              </w:rPr>
            </w:pPr>
            <w:r>
              <w:rPr>
                <w:rFonts w:ascii="Calibri"/>
                <w:spacing w:val="-1"/>
                <w:sz w:val="21"/>
              </w:rPr>
              <w:t>4,303,090.00</w:t>
            </w:r>
          </w:p>
        </w:tc>
      </w:tr>
      <w:tr>
        <w:trPr>
          <w:trHeight w:val="346" w:hRule="exact"/>
        </w:trPr>
        <w:tc>
          <w:tcPr>
            <w:tcW w:w="1809"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387"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428"/>
              <w:jc w:val="right"/>
              <w:rPr>
                <w:rFonts w:ascii="宋体" w:hAnsi="宋体" w:cs="宋体" w:eastAsia="宋体" w:hint="default"/>
                <w:sz w:val="21"/>
                <w:szCs w:val="21"/>
              </w:rPr>
            </w:pPr>
            <w:r>
              <w:rPr>
                <w:rFonts w:ascii="宋体" w:hAnsi="宋体" w:cs="宋体" w:eastAsia="宋体" w:hint="default"/>
                <w:sz w:val="21"/>
                <w:szCs w:val="21"/>
              </w:rPr>
              <w:t>港币</w:t>
            </w:r>
          </w:p>
        </w:tc>
        <w:tc>
          <w:tcPr>
            <w:tcW w:w="2116"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566"/>
              <w:jc w:val="right"/>
              <w:rPr>
                <w:rFonts w:ascii="Calibri" w:hAnsi="Calibri" w:cs="Calibri" w:eastAsia="Calibri" w:hint="default"/>
                <w:sz w:val="21"/>
                <w:szCs w:val="21"/>
              </w:rPr>
            </w:pPr>
            <w:r>
              <w:rPr>
                <w:rFonts w:ascii="Calibri"/>
                <w:spacing w:val="-1"/>
                <w:sz w:val="21"/>
              </w:rPr>
              <w:t>840,561.00</w:t>
            </w:r>
          </w:p>
        </w:tc>
        <w:tc>
          <w:tcPr>
            <w:tcW w:w="1843"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430"/>
              <w:jc w:val="right"/>
              <w:rPr>
                <w:rFonts w:ascii="Calibri" w:hAnsi="Calibri" w:cs="Calibri" w:eastAsia="Calibri" w:hint="default"/>
                <w:sz w:val="21"/>
                <w:szCs w:val="21"/>
              </w:rPr>
            </w:pPr>
            <w:r>
              <w:rPr>
                <w:rFonts w:ascii="Calibri"/>
                <w:spacing w:val="-1"/>
                <w:sz w:val="21"/>
              </w:rPr>
              <w:t>0.8146</w:t>
            </w:r>
          </w:p>
        </w:tc>
        <w:tc>
          <w:tcPr>
            <w:tcW w:w="1557"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7"/>
              <w:jc w:val="right"/>
              <w:rPr>
                <w:rFonts w:ascii="Calibri" w:hAnsi="Calibri" w:cs="Calibri" w:eastAsia="Calibri" w:hint="default"/>
                <w:sz w:val="21"/>
                <w:szCs w:val="21"/>
              </w:rPr>
            </w:pPr>
            <w:r>
              <w:rPr>
                <w:rFonts w:ascii="Calibri"/>
                <w:spacing w:val="-1"/>
                <w:sz w:val="21"/>
              </w:rPr>
              <w:t>684,720.99</w:t>
            </w:r>
          </w:p>
        </w:tc>
      </w:tr>
      <w:tr>
        <w:trPr>
          <w:trHeight w:val="348" w:hRule="exact"/>
        </w:trPr>
        <w:tc>
          <w:tcPr>
            <w:tcW w:w="1809"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387"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428"/>
              <w:jc w:val="right"/>
              <w:rPr>
                <w:rFonts w:ascii="宋体" w:hAnsi="宋体" w:cs="宋体" w:eastAsia="宋体" w:hint="default"/>
                <w:sz w:val="21"/>
                <w:szCs w:val="21"/>
              </w:rPr>
            </w:pPr>
            <w:r>
              <w:rPr>
                <w:rFonts w:ascii="宋体" w:hAnsi="宋体" w:cs="宋体" w:eastAsia="宋体" w:hint="default"/>
                <w:sz w:val="21"/>
                <w:szCs w:val="21"/>
              </w:rPr>
              <w:t>港币</w:t>
            </w:r>
          </w:p>
        </w:tc>
        <w:tc>
          <w:tcPr>
            <w:tcW w:w="2116"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566"/>
              <w:jc w:val="right"/>
              <w:rPr>
                <w:rFonts w:ascii="Calibri" w:hAnsi="Calibri" w:cs="Calibri" w:eastAsia="Calibri" w:hint="default"/>
                <w:sz w:val="21"/>
                <w:szCs w:val="21"/>
              </w:rPr>
            </w:pPr>
            <w:r>
              <w:rPr>
                <w:rFonts w:ascii="Calibri"/>
                <w:spacing w:val="-1"/>
                <w:sz w:val="21"/>
              </w:rPr>
              <w:t>308,784.00</w:t>
            </w:r>
          </w:p>
        </w:tc>
        <w:tc>
          <w:tcPr>
            <w:tcW w:w="184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430"/>
              <w:jc w:val="right"/>
              <w:rPr>
                <w:rFonts w:ascii="Calibri" w:hAnsi="Calibri" w:cs="Calibri" w:eastAsia="Calibri" w:hint="default"/>
                <w:sz w:val="21"/>
                <w:szCs w:val="21"/>
              </w:rPr>
            </w:pPr>
            <w:r>
              <w:rPr>
                <w:rFonts w:ascii="Calibri"/>
                <w:spacing w:val="-1"/>
                <w:sz w:val="21"/>
              </w:rPr>
              <w:t>0.8146</w:t>
            </w:r>
          </w:p>
        </w:tc>
        <w:tc>
          <w:tcPr>
            <w:tcW w:w="1557"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7"/>
              <w:jc w:val="right"/>
              <w:rPr>
                <w:rFonts w:ascii="Calibri" w:hAnsi="Calibri" w:cs="Calibri" w:eastAsia="Calibri" w:hint="default"/>
                <w:sz w:val="21"/>
                <w:szCs w:val="21"/>
              </w:rPr>
            </w:pPr>
            <w:r>
              <w:rPr>
                <w:rFonts w:ascii="Calibri"/>
                <w:spacing w:val="-1"/>
                <w:sz w:val="21"/>
              </w:rPr>
              <w:t>251,535.45</w:t>
            </w:r>
          </w:p>
        </w:tc>
      </w:tr>
    </w:tbl>
    <w:p>
      <w:pPr>
        <w:spacing w:after="0" w:line="240" w:lineRule="auto"/>
        <w:jc w:val="right"/>
        <w:rPr>
          <w:rFonts w:ascii="Calibri" w:hAnsi="Calibri" w:cs="Calibri" w:eastAsia="Calibri" w:hint="default"/>
          <w:sz w:val="21"/>
          <w:szCs w:val="21"/>
        </w:rPr>
        <w:sectPr>
          <w:headerReference w:type="default" r:id="rId47"/>
          <w:footerReference w:type="default" r:id="rId48"/>
          <w:pgSz w:w="11910" w:h="16840"/>
          <w:pgMar w:header="884" w:footer="1007" w:top="1160" w:bottom="1200" w:left="1240" w:right="1280"/>
          <w:pgNumType w:start="120"/>
        </w:sectPr>
      </w:pPr>
    </w:p>
    <w:p>
      <w:pPr>
        <w:spacing w:line="240" w:lineRule="auto" w:before="13"/>
        <w:rPr>
          <w:rFonts w:ascii="宋体" w:hAnsi="宋体" w:cs="宋体" w:eastAsia="宋体" w:hint="default"/>
          <w:sz w:val="14"/>
          <w:szCs w:val="14"/>
        </w:rPr>
      </w:pPr>
    </w:p>
    <w:p>
      <w:pPr>
        <w:pStyle w:val="BodyText"/>
        <w:spacing w:line="240" w:lineRule="auto" w:before="26"/>
        <w:ind w:right="0"/>
        <w:jc w:val="left"/>
      </w:pPr>
      <w:r>
        <w:rPr/>
        <w:t>（</w:t>
      </w:r>
      <w:r>
        <w:rPr>
          <w:rFonts w:ascii="Calibri" w:hAnsi="Calibri" w:cs="Calibri" w:eastAsia="Calibri" w:hint="default"/>
        </w:rPr>
        <w:t>2</w:t>
      </w:r>
      <w:r>
        <w:rPr/>
        <w:t>）日本超图株式会社</w:t>
      </w:r>
    </w:p>
    <w:p>
      <w:pPr>
        <w:spacing w:line="240" w:lineRule="auto" w:before="1"/>
        <w:rPr>
          <w:rFonts w:ascii="宋体" w:hAnsi="宋体" w:cs="宋体" w:eastAsia="宋体" w:hint="default"/>
          <w:sz w:val="17"/>
          <w:szCs w:val="17"/>
        </w:rPr>
      </w:pPr>
    </w:p>
    <w:tbl>
      <w:tblPr>
        <w:tblW w:w="0" w:type="auto"/>
        <w:jc w:val="left"/>
        <w:tblInd w:w="548" w:type="dxa"/>
        <w:tblLayout w:type="fixed"/>
        <w:tblCellMar>
          <w:top w:w="0" w:type="dxa"/>
          <w:left w:w="0" w:type="dxa"/>
          <w:bottom w:w="0" w:type="dxa"/>
          <w:right w:w="0" w:type="dxa"/>
        </w:tblCellMar>
        <w:tblLook w:val="01E0"/>
      </w:tblPr>
      <w:tblGrid>
        <w:gridCol w:w="1809"/>
        <w:gridCol w:w="1281"/>
        <w:gridCol w:w="2223"/>
        <w:gridCol w:w="1790"/>
        <w:gridCol w:w="1609"/>
      </w:tblGrid>
      <w:tr>
        <w:trPr>
          <w:trHeight w:val="350" w:hRule="exact"/>
        </w:trPr>
        <w:tc>
          <w:tcPr>
            <w:tcW w:w="1809" w:type="dxa"/>
            <w:tcBorders>
              <w:top w:val="single" w:sz="6" w:space="0" w:color="000000"/>
              <w:left w:val="nil" w:sz="6" w:space="0" w:color="auto"/>
              <w:bottom w:val="single" w:sz="8" w:space="0" w:color="000000"/>
              <w:right w:val="nil" w:sz="6" w:space="0" w:color="auto"/>
            </w:tcBorders>
          </w:tcPr>
          <w:p>
            <w:pPr>
              <w:pStyle w:val="TableParagraph"/>
              <w:spacing w:line="272"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主要报表项目</w:t>
            </w:r>
            <w:r>
              <w:rPr>
                <w:rFonts w:ascii="宋体" w:hAnsi="宋体" w:cs="宋体" w:eastAsia="宋体" w:hint="default"/>
                <w:sz w:val="21"/>
                <w:szCs w:val="21"/>
              </w:rPr>
            </w:r>
          </w:p>
        </w:tc>
        <w:tc>
          <w:tcPr>
            <w:tcW w:w="1281" w:type="dxa"/>
            <w:tcBorders>
              <w:top w:val="single" w:sz="6" w:space="0" w:color="000000"/>
              <w:left w:val="nil" w:sz="6" w:space="0" w:color="auto"/>
              <w:bottom w:val="single" w:sz="8" w:space="0" w:color="000000"/>
              <w:right w:val="nil" w:sz="6" w:space="0" w:color="auto"/>
            </w:tcBorders>
          </w:tcPr>
          <w:p>
            <w:pPr>
              <w:pStyle w:val="TableParagraph"/>
              <w:spacing w:line="272" w:lineRule="exact"/>
              <w:ind w:right="324"/>
              <w:jc w:val="right"/>
              <w:rPr>
                <w:rFonts w:ascii="宋体" w:hAnsi="宋体" w:cs="宋体" w:eastAsia="宋体" w:hint="default"/>
                <w:sz w:val="21"/>
                <w:szCs w:val="21"/>
              </w:rPr>
            </w:pPr>
            <w:r>
              <w:rPr>
                <w:rFonts w:ascii="宋体" w:hAnsi="宋体" w:cs="宋体" w:eastAsia="宋体" w:hint="default"/>
                <w:b/>
                <w:bCs/>
                <w:sz w:val="21"/>
                <w:szCs w:val="21"/>
              </w:rPr>
              <w:t>币种</w:t>
            </w:r>
            <w:r>
              <w:rPr>
                <w:rFonts w:ascii="宋体" w:hAnsi="宋体" w:cs="宋体" w:eastAsia="宋体" w:hint="default"/>
                <w:sz w:val="21"/>
                <w:szCs w:val="21"/>
              </w:rPr>
            </w:r>
          </w:p>
        </w:tc>
        <w:tc>
          <w:tcPr>
            <w:tcW w:w="2223" w:type="dxa"/>
            <w:tcBorders>
              <w:top w:val="single" w:sz="6" w:space="0" w:color="000000"/>
              <w:left w:val="nil" w:sz="6" w:space="0" w:color="auto"/>
              <w:bottom w:val="single" w:sz="8" w:space="0" w:color="000000"/>
              <w:right w:val="nil" w:sz="6" w:space="0" w:color="auto"/>
            </w:tcBorders>
          </w:tcPr>
          <w:p>
            <w:pPr>
              <w:pStyle w:val="TableParagraph"/>
              <w:spacing w:line="272" w:lineRule="exact"/>
              <w:ind w:right="564"/>
              <w:jc w:val="right"/>
              <w:rPr>
                <w:rFonts w:ascii="宋体" w:hAnsi="宋体" w:cs="宋体" w:eastAsia="宋体" w:hint="default"/>
                <w:sz w:val="21"/>
                <w:szCs w:val="21"/>
              </w:rPr>
            </w:pPr>
            <w:r>
              <w:rPr>
                <w:rFonts w:ascii="宋体" w:hAnsi="宋体" w:cs="宋体" w:eastAsia="宋体" w:hint="default"/>
                <w:b/>
                <w:bCs/>
                <w:sz w:val="21"/>
                <w:szCs w:val="21"/>
              </w:rPr>
              <w:t>外币余额</w:t>
            </w:r>
            <w:r>
              <w:rPr>
                <w:rFonts w:ascii="宋体" w:hAnsi="宋体" w:cs="宋体" w:eastAsia="宋体" w:hint="default"/>
                <w:sz w:val="21"/>
                <w:szCs w:val="21"/>
              </w:rPr>
            </w:r>
          </w:p>
        </w:tc>
        <w:tc>
          <w:tcPr>
            <w:tcW w:w="1790" w:type="dxa"/>
            <w:tcBorders>
              <w:top w:val="single" w:sz="6" w:space="0" w:color="000000"/>
              <w:left w:val="nil" w:sz="6" w:space="0" w:color="auto"/>
              <w:bottom w:val="single" w:sz="8" w:space="0" w:color="000000"/>
              <w:right w:val="nil" w:sz="6" w:space="0" w:color="auto"/>
            </w:tcBorders>
          </w:tcPr>
          <w:p>
            <w:pPr>
              <w:pStyle w:val="TableParagraph"/>
              <w:spacing w:line="272" w:lineRule="exact"/>
              <w:ind w:right="376"/>
              <w:jc w:val="right"/>
              <w:rPr>
                <w:rFonts w:ascii="宋体" w:hAnsi="宋体" w:cs="宋体" w:eastAsia="宋体" w:hint="default"/>
                <w:sz w:val="21"/>
                <w:szCs w:val="21"/>
              </w:rPr>
            </w:pPr>
            <w:r>
              <w:rPr>
                <w:rFonts w:ascii="宋体" w:hAnsi="宋体" w:cs="宋体" w:eastAsia="宋体" w:hint="default"/>
                <w:b/>
                <w:bCs/>
                <w:sz w:val="21"/>
                <w:szCs w:val="21"/>
              </w:rPr>
              <w:t>折算汇率</w:t>
            </w:r>
            <w:r>
              <w:rPr>
                <w:rFonts w:ascii="宋体" w:hAnsi="宋体" w:cs="宋体" w:eastAsia="宋体" w:hint="default"/>
                <w:sz w:val="21"/>
                <w:szCs w:val="21"/>
              </w:rPr>
            </w:r>
          </w:p>
        </w:tc>
        <w:tc>
          <w:tcPr>
            <w:tcW w:w="1609" w:type="dxa"/>
            <w:tcBorders>
              <w:top w:val="single" w:sz="6" w:space="0" w:color="000000"/>
              <w:left w:val="nil" w:sz="6" w:space="0" w:color="auto"/>
              <w:bottom w:val="single" w:sz="8" w:space="0" w:color="000000"/>
              <w:right w:val="nil" w:sz="6" w:space="0" w:color="auto"/>
            </w:tcBorders>
          </w:tcPr>
          <w:p>
            <w:pPr>
              <w:pStyle w:val="TableParagraph"/>
              <w:spacing w:line="272" w:lineRule="exact"/>
              <w:ind w:right="5"/>
              <w:jc w:val="right"/>
              <w:rPr>
                <w:rFonts w:ascii="宋体" w:hAnsi="宋体" w:cs="宋体" w:eastAsia="宋体" w:hint="default"/>
                <w:sz w:val="21"/>
                <w:szCs w:val="21"/>
              </w:rPr>
            </w:pPr>
            <w:r>
              <w:rPr>
                <w:rFonts w:ascii="宋体" w:hAnsi="宋体" w:cs="宋体" w:eastAsia="宋体" w:hint="default"/>
                <w:b/>
                <w:bCs/>
                <w:sz w:val="21"/>
                <w:szCs w:val="21"/>
              </w:rPr>
              <w:t>人民币余额</w:t>
            </w:r>
            <w:r>
              <w:rPr>
                <w:rFonts w:ascii="宋体" w:hAnsi="宋体" w:cs="宋体" w:eastAsia="宋体" w:hint="default"/>
                <w:sz w:val="21"/>
                <w:szCs w:val="21"/>
              </w:rPr>
            </w:r>
          </w:p>
        </w:tc>
      </w:tr>
      <w:tr>
        <w:trPr>
          <w:trHeight w:val="346" w:hRule="exact"/>
        </w:trPr>
        <w:tc>
          <w:tcPr>
            <w:tcW w:w="1809"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9"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81"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323"/>
              <w:jc w:val="right"/>
              <w:rPr>
                <w:rFonts w:ascii="宋体" w:hAnsi="宋体" w:cs="宋体" w:eastAsia="宋体" w:hint="default"/>
                <w:sz w:val="21"/>
                <w:szCs w:val="21"/>
              </w:rPr>
            </w:pPr>
            <w:r>
              <w:rPr>
                <w:rFonts w:ascii="宋体" w:hAnsi="宋体" w:cs="宋体" w:eastAsia="宋体" w:hint="default"/>
                <w:sz w:val="21"/>
                <w:szCs w:val="21"/>
              </w:rPr>
              <w:t>日元</w:t>
            </w:r>
          </w:p>
        </w:tc>
        <w:tc>
          <w:tcPr>
            <w:tcW w:w="2223"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566"/>
              <w:jc w:val="right"/>
              <w:rPr>
                <w:rFonts w:ascii="Calibri" w:hAnsi="Calibri" w:cs="Calibri" w:eastAsia="Calibri" w:hint="default"/>
                <w:sz w:val="21"/>
                <w:szCs w:val="21"/>
              </w:rPr>
            </w:pPr>
            <w:r>
              <w:rPr>
                <w:rFonts w:ascii="Calibri"/>
                <w:spacing w:val="-2"/>
                <w:sz w:val="21"/>
              </w:rPr>
              <w:t>68,402,020.01</w:t>
            </w:r>
          </w:p>
        </w:tc>
        <w:tc>
          <w:tcPr>
            <w:tcW w:w="1790"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378"/>
              <w:jc w:val="right"/>
              <w:rPr>
                <w:rFonts w:ascii="Calibri" w:hAnsi="Calibri" w:cs="Calibri" w:eastAsia="Calibri" w:hint="default"/>
                <w:sz w:val="21"/>
                <w:szCs w:val="21"/>
              </w:rPr>
            </w:pPr>
            <w:r>
              <w:rPr>
                <w:rFonts w:ascii="Calibri"/>
                <w:spacing w:val="-1"/>
                <w:sz w:val="21"/>
              </w:rPr>
              <w:t>0.073049</w:t>
            </w:r>
          </w:p>
        </w:tc>
        <w:tc>
          <w:tcPr>
            <w:tcW w:w="1609"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7"/>
              <w:jc w:val="right"/>
              <w:rPr>
                <w:rFonts w:ascii="Calibri" w:hAnsi="Calibri" w:cs="Calibri" w:eastAsia="Calibri" w:hint="default"/>
                <w:sz w:val="21"/>
                <w:szCs w:val="21"/>
              </w:rPr>
            </w:pPr>
            <w:r>
              <w:rPr>
                <w:rFonts w:ascii="Calibri"/>
                <w:spacing w:val="-1"/>
                <w:sz w:val="21"/>
              </w:rPr>
              <w:t>4,996,699.16</w:t>
            </w:r>
          </w:p>
        </w:tc>
      </w:tr>
      <w:tr>
        <w:trPr>
          <w:trHeight w:val="348" w:hRule="exact"/>
        </w:trPr>
        <w:tc>
          <w:tcPr>
            <w:tcW w:w="1809"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81"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323"/>
              <w:jc w:val="right"/>
              <w:rPr>
                <w:rFonts w:ascii="宋体" w:hAnsi="宋体" w:cs="宋体" w:eastAsia="宋体" w:hint="default"/>
                <w:sz w:val="21"/>
                <w:szCs w:val="21"/>
              </w:rPr>
            </w:pPr>
            <w:r>
              <w:rPr>
                <w:rFonts w:ascii="宋体" w:hAnsi="宋体" w:cs="宋体" w:eastAsia="宋体" w:hint="default"/>
                <w:sz w:val="21"/>
                <w:szCs w:val="21"/>
              </w:rPr>
              <w:t>日元</w:t>
            </w:r>
          </w:p>
        </w:tc>
        <w:tc>
          <w:tcPr>
            <w:tcW w:w="222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567"/>
              <w:jc w:val="right"/>
              <w:rPr>
                <w:rFonts w:ascii="Calibri" w:hAnsi="Calibri" w:cs="Calibri" w:eastAsia="Calibri" w:hint="default"/>
                <w:sz w:val="21"/>
                <w:szCs w:val="21"/>
              </w:rPr>
            </w:pPr>
            <w:r>
              <w:rPr>
                <w:rFonts w:ascii="Calibri"/>
                <w:spacing w:val="-2"/>
                <w:sz w:val="21"/>
              </w:rPr>
              <w:t>384,470,700.08</w:t>
            </w:r>
          </w:p>
        </w:tc>
        <w:tc>
          <w:tcPr>
            <w:tcW w:w="1790"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378"/>
              <w:jc w:val="right"/>
              <w:rPr>
                <w:rFonts w:ascii="Calibri" w:hAnsi="Calibri" w:cs="Calibri" w:eastAsia="Calibri" w:hint="default"/>
                <w:sz w:val="21"/>
                <w:szCs w:val="21"/>
              </w:rPr>
            </w:pPr>
            <w:r>
              <w:rPr>
                <w:rFonts w:ascii="Calibri"/>
                <w:spacing w:val="-1"/>
                <w:sz w:val="21"/>
              </w:rPr>
              <w:t>0.073049</w:t>
            </w:r>
          </w:p>
        </w:tc>
        <w:tc>
          <w:tcPr>
            <w:tcW w:w="1609"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7"/>
              <w:jc w:val="right"/>
              <w:rPr>
                <w:rFonts w:ascii="Calibri" w:hAnsi="Calibri" w:cs="Calibri" w:eastAsia="Calibri" w:hint="default"/>
                <w:sz w:val="21"/>
                <w:szCs w:val="21"/>
              </w:rPr>
            </w:pPr>
            <w:r>
              <w:rPr>
                <w:rFonts w:ascii="Calibri"/>
                <w:spacing w:val="-2"/>
                <w:sz w:val="21"/>
              </w:rPr>
              <w:t>28,085,200.17</w:t>
            </w:r>
          </w:p>
        </w:tc>
      </w:tr>
      <w:tr>
        <w:trPr>
          <w:trHeight w:val="346" w:hRule="exact"/>
        </w:trPr>
        <w:tc>
          <w:tcPr>
            <w:tcW w:w="1809"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9" w:right="0"/>
              <w:jc w:val="left"/>
              <w:rPr>
                <w:rFonts w:ascii="宋体" w:hAnsi="宋体" w:cs="宋体" w:eastAsia="宋体" w:hint="default"/>
                <w:sz w:val="21"/>
                <w:szCs w:val="21"/>
              </w:rPr>
            </w:pPr>
            <w:r>
              <w:rPr>
                <w:rFonts w:ascii="宋体" w:hAnsi="宋体" w:cs="宋体" w:eastAsia="宋体" w:hint="default"/>
                <w:sz w:val="21"/>
                <w:szCs w:val="21"/>
              </w:rPr>
              <w:t>实收资本</w:t>
            </w:r>
          </w:p>
        </w:tc>
        <w:tc>
          <w:tcPr>
            <w:tcW w:w="1281"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323"/>
              <w:jc w:val="right"/>
              <w:rPr>
                <w:rFonts w:ascii="宋体" w:hAnsi="宋体" w:cs="宋体" w:eastAsia="宋体" w:hint="default"/>
                <w:sz w:val="21"/>
                <w:szCs w:val="21"/>
              </w:rPr>
            </w:pPr>
            <w:r>
              <w:rPr>
                <w:rFonts w:ascii="宋体" w:hAnsi="宋体" w:cs="宋体" w:eastAsia="宋体" w:hint="default"/>
                <w:sz w:val="21"/>
                <w:szCs w:val="21"/>
              </w:rPr>
              <w:t>日元</w:t>
            </w:r>
          </w:p>
        </w:tc>
        <w:tc>
          <w:tcPr>
            <w:tcW w:w="2223"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567"/>
              <w:jc w:val="right"/>
              <w:rPr>
                <w:rFonts w:ascii="Calibri" w:hAnsi="Calibri" w:cs="Calibri" w:eastAsia="Calibri" w:hint="default"/>
                <w:sz w:val="21"/>
                <w:szCs w:val="21"/>
              </w:rPr>
            </w:pPr>
            <w:r>
              <w:rPr>
                <w:rFonts w:ascii="Calibri"/>
                <w:spacing w:val="-2"/>
                <w:sz w:val="21"/>
              </w:rPr>
              <w:t>236,200,000.00</w:t>
            </w:r>
          </w:p>
        </w:tc>
        <w:tc>
          <w:tcPr>
            <w:tcW w:w="1790"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378"/>
              <w:jc w:val="right"/>
              <w:rPr>
                <w:rFonts w:ascii="Calibri" w:hAnsi="Calibri" w:cs="Calibri" w:eastAsia="Calibri" w:hint="default"/>
                <w:sz w:val="21"/>
                <w:szCs w:val="21"/>
              </w:rPr>
            </w:pPr>
            <w:r>
              <w:rPr>
                <w:rFonts w:ascii="Calibri"/>
                <w:spacing w:val="-1"/>
                <w:sz w:val="21"/>
              </w:rPr>
              <w:t>0.074618</w:t>
            </w:r>
          </w:p>
        </w:tc>
        <w:tc>
          <w:tcPr>
            <w:tcW w:w="1609"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7"/>
              <w:jc w:val="right"/>
              <w:rPr>
                <w:rFonts w:ascii="Calibri" w:hAnsi="Calibri" w:cs="Calibri" w:eastAsia="Calibri" w:hint="default"/>
                <w:sz w:val="21"/>
                <w:szCs w:val="21"/>
              </w:rPr>
            </w:pPr>
            <w:r>
              <w:rPr>
                <w:rFonts w:ascii="Calibri"/>
                <w:spacing w:val="-2"/>
                <w:sz w:val="21"/>
              </w:rPr>
              <w:t>17,624,866.89</w:t>
            </w:r>
          </w:p>
        </w:tc>
      </w:tr>
      <w:tr>
        <w:trPr>
          <w:trHeight w:val="348" w:hRule="exact"/>
        </w:trPr>
        <w:tc>
          <w:tcPr>
            <w:tcW w:w="1809"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281" w:type="dxa"/>
            <w:tcBorders>
              <w:top w:val="single" w:sz="8" w:space="0" w:color="000000"/>
              <w:left w:val="nil" w:sz="6" w:space="0" w:color="auto"/>
              <w:bottom w:val="single" w:sz="8" w:space="0" w:color="000000"/>
              <w:right w:val="nil" w:sz="6" w:space="0" w:color="auto"/>
            </w:tcBorders>
          </w:tcPr>
          <w:p>
            <w:pPr>
              <w:pStyle w:val="TableParagraph"/>
              <w:spacing w:line="270" w:lineRule="exact"/>
              <w:ind w:right="323"/>
              <w:jc w:val="right"/>
              <w:rPr>
                <w:rFonts w:ascii="宋体" w:hAnsi="宋体" w:cs="宋体" w:eastAsia="宋体" w:hint="default"/>
                <w:sz w:val="21"/>
                <w:szCs w:val="21"/>
              </w:rPr>
            </w:pPr>
            <w:r>
              <w:rPr>
                <w:rFonts w:ascii="宋体" w:hAnsi="宋体" w:cs="宋体" w:eastAsia="宋体" w:hint="default"/>
                <w:sz w:val="21"/>
                <w:szCs w:val="21"/>
              </w:rPr>
              <w:t>日元</w:t>
            </w:r>
          </w:p>
        </w:tc>
        <w:tc>
          <w:tcPr>
            <w:tcW w:w="2223"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567"/>
              <w:jc w:val="right"/>
              <w:rPr>
                <w:rFonts w:ascii="Calibri" w:hAnsi="Calibri" w:cs="Calibri" w:eastAsia="Calibri" w:hint="default"/>
                <w:sz w:val="21"/>
                <w:szCs w:val="21"/>
              </w:rPr>
            </w:pPr>
            <w:r>
              <w:rPr>
                <w:rFonts w:ascii="Calibri"/>
                <w:spacing w:val="-2"/>
                <w:sz w:val="21"/>
              </w:rPr>
              <w:t>151,825,085.95</w:t>
            </w:r>
          </w:p>
        </w:tc>
        <w:tc>
          <w:tcPr>
            <w:tcW w:w="1790"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378"/>
              <w:jc w:val="right"/>
              <w:rPr>
                <w:rFonts w:ascii="Calibri" w:hAnsi="Calibri" w:cs="Calibri" w:eastAsia="Calibri" w:hint="default"/>
                <w:sz w:val="21"/>
                <w:szCs w:val="21"/>
              </w:rPr>
            </w:pPr>
            <w:r>
              <w:rPr>
                <w:rFonts w:ascii="Calibri"/>
                <w:spacing w:val="-1"/>
                <w:sz w:val="21"/>
              </w:rPr>
              <w:t>0.078823</w:t>
            </w:r>
          </w:p>
        </w:tc>
        <w:tc>
          <w:tcPr>
            <w:tcW w:w="1609"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7"/>
              <w:jc w:val="right"/>
              <w:rPr>
                <w:rFonts w:ascii="Calibri" w:hAnsi="Calibri" w:cs="Calibri" w:eastAsia="Calibri" w:hint="default"/>
                <w:sz w:val="21"/>
                <w:szCs w:val="21"/>
              </w:rPr>
            </w:pPr>
            <w:r>
              <w:rPr>
                <w:rFonts w:ascii="Calibri"/>
                <w:spacing w:val="-2"/>
                <w:sz w:val="21"/>
              </w:rPr>
              <w:t>11,967,308.75</w:t>
            </w:r>
          </w:p>
        </w:tc>
      </w:tr>
      <w:tr>
        <w:trPr>
          <w:trHeight w:val="348" w:hRule="exact"/>
        </w:trPr>
        <w:tc>
          <w:tcPr>
            <w:tcW w:w="1809"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9"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281" w:type="dxa"/>
            <w:tcBorders>
              <w:top w:val="single" w:sz="8" w:space="0" w:color="000000"/>
              <w:left w:val="nil" w:sz="6" w:space="0" w:color="auto"/>
              <w:bottom w:val="single" w:sz="8" w:space="0" w:color="000000"/>
              <w:right w:val="nil" w:sz="6" w:space="0" w:color="auto"/>
            </w:tcBorders>
          </w:tcPr>
          <w:p>
            <w:pPr>
              <w:pStyle w:val="TableParagraph"/>
              <w:spacing w:line="267" w:lineRule="exact"/>
              <w:ind w:right="323"/>
              <w:jc w:val="right"/>
              <w:rPr>
                <w:rFonts w:ascii="宋体" w:hAnsi="宋体" w:cs="宋体" w:eastAsia="宋体" w:hint="default"/>
                <w:sz w:val="21"/>
                <w:szCs w:val="21"/>
              </w:rPr>
            </w:pPr>
            <w:r>
              <w:rPr>
                <w:rFonts w:ascii="宋体" w:hAnsi="宋体" w:cs="宋体" w:eastAsia="宋体" w:hint="default"/>
                <w:sz w:val="21"/>
                <w:szCs w:val="21"/>
              </w:rPr>
              <w:t>日元</w:t>
            </w:r>
          </w:p>
        </w:tc>
        <w:tc>
          <w:tcPr>
            <w:tcW w:w="2223"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566"/>
              <w:jc w:val="right"/>
              <w:rPr>
                <w:rFonts w:ascii="Calibri" w:hAnsi="Calibri" w:cs="Calibri" w:eastAsia="Calibri" w:hint="default"/>
                <w:sz w:val="21"/>
                <w:szCs w:val="21"/>
              </w:rPr>
            </w:pPr>
            <w:r>
              <w:rPr>
                <w:rFonts w:ascii="Calibri"/>
                <w:spacing w:val="-2"/>
                <w:sz w:val="21"/>
              </w:rPr>
              <w:t>95,484,895.65</w:t>
            </w:r>
          </w:p>
        </w:tc>
        <w:tc>
          <w:tcPr>
            <w:tcW w:w="1790"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378"/>
              <w:jc w:val="right"/>
              <w:rPr>
                <w:rFonts w:ascii="Calibri" w:hAnsi="Calibri" w:cs="Calibri" w:eastAsia="Calibri" w:hint="default"/>
                <w:sz w:val="21"/>
                <w:szCs w:val="21"/>
              </w:rPr>
            </w:pPr>
            <w:r>
              <w:rPr>
                <w:rFonts w:ascii="Calibri"/>
                <w:spacing w:val="-1"/>
                <w:sz w:val="21"/>
              </w:rPr>
              <w:t>0.078823</w:t>
            </w:r>
          </w:p>
        </w:tc>
        <w:tc>
          <w:tcPr>
            <w:tcW w:w="1609"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7"/>
              <w:jc w:val="right"/>
              <w:rPr>
                <w:rFonts w:ascii="Calibri" w:hAnsi="Calibri" w:cs="Calibri" w:eastAsia="Calibri" w:hint="default"/>
                <w:sz w:val="21"/>
                <w:szCs w:val="21"/>
              </w:rPr>
            </w:pPr>
            <w:r>
              <w:rPr>
                <w:rFonts w:ascii="Calibri"/>
                <w:spacing w:val="-1"/>
                <w:sz w:val="21"/>
              </w:rPr>
              <w:t>7,526,405.93</w:t>
            </w:r>
          </w:p>
        </w:tc>
      </w:tr>
    </w:tbl>
    <w:p>
      <w:pPr>
        <w:spacing w:line="273" w:lineRule="auto" w:before="0"/>
        <w:ind w:left="558" w:right="0" w:firstLine="0"/>
        <w:jc w:val="left"/>
        <w:rPr>
          <w:rFonts w:ascii="宋体" w:hAnsi="宋体" w:cs="宋体" w:eastAsia="宋体" w:hint="default"/>
          <w:sz w:val="21"/>
          <w:szCs w:val="21"/>
        </w:rPr>
      </w:pPr>
      <w:r>
        <w:rPr>
          <w:rFonts w:ascii="宋体" w:hAnsi="宋体" w:cs="宋体" w:eastAsia="宋体" w:hint="default"/>
          <w:spacing w:val="-2"/>
          <w:sz w:val="21"/>
          <w:szCs w:val="21"/>
        </w:rPr>
        <w:t>注：如报告期内合并报表中包含境外经营实体时，还应披露各主要财务报表项目的折算汇率以</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及外币报表折算差额的处理方法。</w:t>
      </w:r>
    </w:p>
    <w:p>
      <w:pPr>
        <w:spacing w:line="240" w:lineRule="auto" w:before="8"/>
        <w:rPr>
          <w:rFonts w:ascii="宋体" w:hAnsi="宋体" w:cs="宋体" w:eastAsia="宋体" w:hint="default"/>
          <w:sz w:val="21"/>
          <w:szCs w:val="21"/>
        </w:rPr>
      </w:pPr>
    </w:p>
    <w:p>
      <w:pPr>
        <w:pStyle w:val="Heading4"/>
        <w:spacing w:line="240" w:lineRule="auto"/>
        <w:ind w:left="558" w:right="0"/>
        <w:jc w:val="left"/>
        <w:rPr>
          <w:b w:val="0"/>
          <w:bCs w:val="0"/>
        </w:rPr>
      </w:pPr>
      <w:r>
        <w:rPr/>
        <w:t>七、合并财务报表主要项目注释</w:t>
      </w:r>
      <w:r>
        <w:rPr>
          <w:b w:val="0"/>
          <w:bCs w:val="0"/>
        </w:rPr>
      </w:r>
    </w:p>
    <w:p>
      <w:pPr>
        <w:spacing w:line="240" w:lineRule="auto" w:before="9"/>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154" w:firstLine="0"/>
        <w:jc w:val="right"/>
        <w:rPr>
          <w:rFonts w:ascii="宋体" w:hAnsi="宋体" w:cs="宋体" w:eastAsia="宋体" w:hint="default"/>
          <w:sz w:val="21"/>
          <w:szCs w:val="21"/>
        </w:rPr>
      </w:pPr>
      <w:r>
        <w:rPr>
          <w:rFonts w:ascii="宋体" w:hAnsi="宋体" w:cs="宋体" w:eastAsia="宋体" w:hint="default"/>
          <w:b/>
          <w:bCs/>
          <w:sz w:val="21"/>
          <w:szCs w:val="21"/>
        </w:rPr>
        <w:t>单位：</w:t>
      </w:r>
      <w:r>
        <w:rPr>
          <w:rFonts w:ascii="宋体" w:hAnsi="宋体" w:cs="宋体" w:eastAsia="宋体" w:hint="default"/>
          <w:b/>
          <w:bCs/>
          <w:spacing w:val="-2"/>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524" w:type="dxa"/>
        <w:tblLayout w:type="fixed"/>
        <w:tblCellMar>
          <w:top w:w="0" w:type="dxa"/>
          <w:left w:w="0" w:type="dxa"/>
          <w:bottom w:w="0" w:type="dxa"/>
          <w:right w:w="0" w:type="dxa"/>
        </w:tblCellMar>
        <w:tblLook w:val="01E0"/>
      </w:tblPr>
      <w:tblGrid>
        <w:gridCol w:w="1788"/>
        <w:gridCol w:w="1273"/>
        <w:gridCol w:w="811"/>
        <w:gridCol w:w="1385"/>
        <w:gridCol w:w="1260"/>
        <w:gridCol w:w="812"/>
        <w:gridCol w:w="1421"/>
      </w:tblGrid>
      <w:tr>
        <w:trPr>
          <w:trHeight w:val="166" w:hRule="exact"/>
        </w:trPr>
        <w:tc>
          <w:tcPr>
            <w:tcW w:w="17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46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right="6"/>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49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151" w:hRule="exact"/>
        </w:trPr>
        <w:tc>
          <w:tcPr>
            <w:tcW w:w="1788"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469" w:type="dxa"/>
            <w:gridSpan w:val="3"/>
            <w:vMerge/>
            <w:tcBorders>
              <w:left w:val="single" w:sz="4" w:space="0" w:color="000000"/>
              <w:bottom w:val="single" w:sz="4" w:space="0" w:color="000000"/>
              <w:right w:val="single" w:sz="4" w:space="0" w:color="000000"/>
            </w:tcBorders>
            <w:shd w:val="clear" w:color="auto" w:fill="D2D2D2"/>
          </w:tcPr>
          <w:p>
            <w:pPr/>
          </w:p>
        </w:tc>
        <w:tc>
          <w:tcPr>
            <w:tcW w:w="3493"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788" w:type="dxa"/>
            <w:vMerge/>
            <w:tcBorders>
              <w:left w:val="single" w:sz="4" w:space="0" w:color="000000"/>
              <w:bottom w:val="nil" w:sz="6" w:space="0" w:color="auto"/>
              <w:right w:val="single" w:sz="4" w:space="0" w:color="000000"/>
            </w:tcBorders>
            <w:shd w:val="clear" w:color="auto" w:fill="D2D2D2"/>
          </w:tcPr>
          <w:p>
            <w:pPr/>
          </w:p>
        </w:tc>
        <w:tc>
          <w:tcPr>
            <w:tcW w:w="1273"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外币金额</w:t>
            </w:r>
            <w:r>
              <w:rPr>
                <w:rFonts w:ascii="宋体" w:hAnsi="宋体" w:cs="宋体" w:eastAsia="宋体" w:hint="default"/>
                <w:sz w:val="21"/>
                <w:szCs w:val="21"/>
              </w:rPr>
            </w:r>
          </w:p>
        </w:tc>
        <w:tc>
          <w:tcPr>
            <w:tcW w:w="811"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81" w:right="0"/>
              <w:jc w:val="left"/>
              <w:rPr>
                <w:rFonts w:ascii="宋体" w:hAnsi="宋体" w:cs="宋体" w:eastAsia="宋体" w:hint="default"/>
                <w:sz w:val="21"/>
                <w:szCs w:val="21"/>
              </w:rPr>
            </w:pPr>
            <w:r>
              <w:rPr>
                <w:rFonts w:ascii="宋体" w:hAnsi="宋体" w:cs="宋体" w:eastAsia="宋体" w:hint="default"/>
                <w:b/>
                <w:bCs/>
                <w:sz w:val="21"/>
                <w:szCs w:val="21"/>
              </w:rPr>
              <w:t>折算率</w:t>
            </w:r>
            <w:r>
              <w:rPr>
                <w:rFonts w:ascii="宋体" w:hAnsi="宋体" w:cs="宋体" w:eastAsia="宋体" w:hint="default"/>
                <w:sz w:val="21"/>
                <w:szCs w:val="21"/>
              </w:rPr>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158" w:right="0"/>
              <w:jc w:val="left"/>
              <w:rPr>
                <w:rFonts w:ascii="宋体" w:hAnsi="宋体" w:cs="宋体" w:eastAsia="宋体" w:hint="default"/>
                <w:sz w:val="21"/>
                <w:szCs w:val="21"/>
              </w:rPr>
            </w:pPr>
            <w:r>
              <w:rPr>
                <w:rFonts w:ascii="宋体" w:hAnsi="宋体" w:cs="宋体" w:eastAsia="宋体" w:hint="default"/>
                <w:b/>
                <w:bCs/>
                <w:sz w:val="21"/>
                <w:szCs w:val="21"/>
              </w:rPr>
              <w:t>人民币金额</w:t>
            </w:r>
            <w:r>
              <w:rPr>
                <w:rFonts w:ascii="宋体" w:hAnsi="宋体" w:cs="宋体" w:eastAsia="宋体" w:hint="default"/>
                <w:sz w:val="21"/>
                <w:szCs w:val="21"/>
              </w:rPr>
            </w:r>
          </w:p>
        </w:tc>
        <w:tc>
          <w:tcPr>
            <w:tcW w:w="1260"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203" w:right="0"/>
              <w:jc w:val="left"/>
              <w:rPr>
                <w:rFonts w:ascii="宋体" w:hAnsi="宋体" w:cs="宋体" w:eastAsia="宋体" w:hint="default"/>
                <w:sz w:val="21"/>
                <w:szCs w:val="21"/>
              </w:rPr>
            </w:pPr>
            <w:r>
              <w:rPr>
                <w:rFonts w:ascii="宋体" w:hAnsi="宋体" w:cs="宋体" w:eastAsia="宋体" w:hint="default"/>
                <w:b/>
                <w:bCs/>
                <w:sz w:val="21"/>
                <w:szCs w:val="21"/>
              </w:rPr>
              <w:t>外币金额</w:t>
            </w:r>
            <w:r>
              <w:rPr>
                <w:rFonts w:ascii="宋体" w:hAnsi="宋体" w:cs="宋体" w:eastAsia="宋体" w:hint="default"/>
                <w:sz w:val="21"/>
                <w:szCs w:val="21"/>
              </w:rPr>
            </w:r>
          </w:p>
        </w:tc>
        <w:tc>
          <w:tcPr>
            <w:tcW w:w="812"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83" w:right="0"/>
              <w:jc w:val="left"/>
              <w:rPr>
                <w:rFonts w:ascii="宋体" w:hAnsi="宋体" w:cs="宋体" w:eastAsia="宋体" w:hint="default"/>
                <w:sz w:val="21"/>
                <w:szCs w:val="21"/>
              </w:rPr>
            </w:pPr>
            <w:r>
              <w:rPr>
                <w:rFonts w:ascii="宋体" w:hAnsi="宋体" w:cs="宋体" w:eastAsia="宋体" w:hint="default"/>
                <w:b/>
                <w:bCs/>
                <w:sz w:val="21"/>
                <w:szCs w:val="21"/>
              </w:rPr>
              <w:t>折算率</w:t>
            </w:r>
            <w:r>
              <w:rPr>
                <w:rFonts w:ascii="宋体" w:hAnsi="宋体" w:cs="宋体" w:eastAsia="宋体" w:hint="default"/>
                <w:sz w:val="21"/>
                <w:szCs w:val="21"/>
              </w:rPr>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人民币金额</w:t>
            </w:r>
            <w:r>
              <w:rPr>
                <w:rFonts w:ascii="宋体" w:hAnsi="宋体" w:cs="宋体" w:eastAsia="宋体" w:hint="default"/>
                <w:sz w:val="21"/>
                <w:szCs w:val="21"/>
              </w:rPr>
            </w:r>
          </w:p>
        </w:tc>
      </w:tr>
      <w:tr>
        <w:trPr>
          <w:trHeight w:val="166" w:hRule="exact"/>
        </w:trPr>
        <w:tc>
          <w:tcPr>
            <w:tcW w:w="17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3" w:type="dxa"/>
            <w:vMerge/>
            <w:tcBorders>
              <w:left w:val="single" w:sz="4" w:space="0" w:color="000000"/>
              <w:bottom w:val="single" w:sz="4" w:space="0" w:color="000000"/>
              <w:right w:val="single" w:sz="4" w:space="0" w:color="000000"/>
            </w:tcBorders>
            <w:shd w:val="clear" w:color="auto" w:fill="D2D2D2"/>
          </w:tcPr>
          <w:p>
            <w:pPr/>
          </w:p>
        </w:tc>
        <w:tc>
          <w:tcPr>
            <w:tcW w:w="811"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260"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
              <w:jc w:val="center"/>
              <w:rPr>
                <w:rFonts w:ascii="Calibri" w:hAnsi="Calibri" w:cs="Calibri" w:eastAsia="Calibri" w:hint="default"/>
                <w:sz w:val="21"/>
                <w:szCs w:val="21"/>
              </w:rPr>
            </w:pPr>
            <w:r>
              <w:rPr>
                <w:rFonts w:ascii="宋体" w:hAnsi="宋体" w:cs="宋体" w:eastAsia="宋体" w:hint="default"/>
                <w:sz w:val="21"/>
                <w:szCs w:val="21"/>
              </w:rPr>
              <w:t>现金</w:t>
            </w:r>
            <w:r>
              <w:rPr>
                <w:rFonts w:ascii="Calibri" w:hAnsi="Calibri" w:cs="Calibri" w:eastAsia="Calibri" w:hint="default"/>
                <w:sz w:val="21"/>
                <w:szCs w:val="21"/>
              </w:rPr>
              <w:t>:</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38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28"/>
              <w:ind w:right="17"/>
              <w:jc w:val="right"/>
              <w:rPr>
                <w:rFonts w:ascii="Calibri" w:hAnsi="Calibri" w:cs="Calibri" w:eastAsia="Calibri" w:hint="default"/>
                <w:sz w:val="21"/>
                <w:szCs w:val="21"/>
              </w:rPr>
            </w:pPr>
            <w:r>
              <w:rPr>
                <w:rFonts w:ascii="Calibri"/>
                <w:spacing w:val="-1"/>
                <w:sz w:val="21"/>
              </w:rPr>
              <w:t>59,212.77</w:t>
            </w:r>
            <w:r>
              <w:rPr>
                <w:rFonts w:ascii="Calibri"/>
                <w:sz w:val="21"/>
              </w:rPr>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52,468.30</w:t>
            </w:r>
          </w:p>
        </w:tc>
      </w:tr>
      <w:tr>
        <w:trPr>
          <w:trHeight w:val="323" w:hRule="exact"/>
        </w:trPr>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
              <w:jc w:val="center"/>
              <w:rPr>
                <w:rFonts w:ascii="Calibri" w:hAnsi="Calibri" w:cs="Calibri" w:eastAsia="Calibri" w:hint="default"/>
                <w:sz w:val="21"/>
                <w:szCs w:val="21"/>
              </w:rPr>
            </w:pPr>
            <w:r>
              <w:rPr>
                <w:rFonts w:ascii="Calibri"/>
                <w:sz w:val="21"/>
              </w:rPr>
              <w:t>--</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
              <w:jc w:val="center"/>
              <w:rPr>
                <w:rFonts w:ascii="Calibri" w:hAnsi="Calibri" w:cs="Calibri" w:eastAsia="Calibri" w:hint="default"/>
                <w:sz w:val="21"/>
                <w:szCs w:val="21"/>
              </w:rPr>
            </w:pPr>
            <w:r>
              <w:rPr>
                <w:rFonts w:ascii="Calibri"/>
                <w:sz w:val="21"/>
              </w:rPr>
              <w:t>--</w:t>
            </w:r>
          </w:p>
        </w:tc>
        <w:tc>
          <w:tcPr>
            <w:tcW w:w="1385"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29"/>
              <w:ind w:right="17"/>
              <w:jc w:val="right"/>
              <w:rPr>
                <w:rFonts w:ascii="Calibri" w:hAnsi="Calibri" w:cs="Calibri" w:eastAsia="Calibri" w:hint="default"/>
                <w:sz w:val="21"/>
                <w:szCs w:val="21"/>
              </w:rPr>
            </w:pPr>
            <w:r>
              <w:rPr>
                <w:rFonts w:ascii="Calibri"/>
                <w:spacing w:val="-2"/>
                <w:sz w:val="21"/>
              </w:rPr>
              <w:t>40,741.47</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Calibri" w:hAnsi="Calibri" w:cs="Calibri" w:eastAsia="Calibri" w:hint="default"/>
                <w:sz w:val="21"/>
                <w:szCs w:val="21"/>
              </w:rPr>
            </w:pPr>
            <w:r>
              <w:rPr>
                <w:rFonts w:ascii="Calibri"/>
                <w:sz w:val="21"/>
              </w:rPr>
              <w:t>--</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Calibri" w:hAnsi="Calibri" w:cs="Calibri" w:eastAsia="Calibri" w:hint="default"/>
                <w:sz w:val="21"/>
                <w:szCs w:val="21"/>
              </w:rPr>
            </w:pPr>
            <w:r>
              <w:rPr>
                <w:rFonts w:ascii="Calibri"/>
                <w:sz w:val="21"/>
              </w:rPr>
              <w:t>--</w:t>
            </w:r>
          </w:p>
        </w:tc>
        <w:tc>
          <w:tcPr>
            <w:tcW w:w="1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15,019.05</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1"/>
                <w:sz w:val="21"/>
              </w:rPr>
              <w:t>73.22</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6.2855</w:t>
            </w:r>
            <w:r>
              <w:rPr>
                <w:rFonts w:ascii="Arial Narrow"/>
                <w:sz w:val="2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1"/>
                <w:sz w:val="21"/>
              </w:rPr>
              <w:t>460.22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2"/>
                <w:sz w:val="21"/>
              </w:rPr>
              <w:t>72.58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6.3009</w:t>
            </w:r>
            <w:r>
              <w:rPr>
                <w:rFonts w:ascii="Arial Narrow"/>
                <w:sz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457.32</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12,600.00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0.8109</w:t>
            </w:r>
            <w:r>
              <w:rPr>
                <w:rFonts w:ascii="Arial Narrow"/>
                <w:sz w:val="2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1"/>
                <w:sz w:val="21"/>
              </w:rPr>
              <w:t>10,217.34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12,600.00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0.8107</w:t>
            </w:r>
            <w:r>
              <w:rPr>
                <w:rFonts w:ascii="Arial Narrow"/>
                <w:sz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10,214.82</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日元</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106,692.00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0.073049</w:t>
            </w:r>
            <w:r>
              <w:rPr>
                <w:rFonts w:ascii="Arial Narrow"/>
                <w:sz w:val="2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7,793.74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330,174.00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3"/>
                <w:sz w:val="21"/>
              </w:rPr>
              <w:t>0.0811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26,777.11</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银行存款：</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230,355,517.32</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372,194,678.50</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224,604,178.72</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363,791,730.78</w:t>
            </w:r>
          </w:p>
        </w:tc>
      </w:tr>
      <w:tr>
        <w:trPr>
          <w:trHeight w:val="324"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
              <w:jc w:val="right"/>
              <w:rPr>
                <w:rFonts w:ascii="Calibri" w:hAnsi="Calibri" w:cs="Calibri" w:eastAsia="Calibri" w:hint="default"/>
                <w:sz w:val="21"/>
                <w:szCs w:val="21"/>
              </w:rPr>
            </w:pPr>
            <w:r>
              <w:rPr>
                <w:rFonts w:ascii="Calibri"/>
                <w:spacing w:val="-2"/>
                <w:sz w:val="21"/>
              </w:rPr>
              <w:t>120,159.77</w:t>
            </w:r>
            <w:r>
              <w:rPr>
                <w:rFonts w:ascii="Calibri"/>
                <w:sz w:val="21"/>
              </w:rPr>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Arial Narrow" w:hAnsi="Arial Narrow" w:cs="Arial Narrow" w:eastAsia="Arial Narrow" w:hint="default"/>
                <w:sz w:val="21"/>
                <w:szCs w:val="21"/>
              </w:rPr>
            </w:pPr>
            <w:r>
              <w:rPr>
                <w:rFonts w:ascii="Arial Narrow"/>
                <w:spacing w:val="-1"/>
                <w:sz w:val="21"/>
              </w:rPr>
              <w:t>6.2855</w:t>
            </w:r>
            <w:r>
              <w:rPr>
                <w:rFonts w:ascii="Arial Narrow"/>
                <w:sz w:val="2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4"/>
              <w:jc w:val="right"/>
              <w:rPr>
                <w:rFonts w:ascii="Calibri" w:hAnsi="Calibri" w:cs="Calibri" w:eastAsia="Calibri" w:hint="default"/>
                <w:sz w:val="21"/>
                <w:szCs w:val="21"/>
              </w:rPr>
            </w:pPr>
            <w:r>
              <w:rPr>
                <w:rFonts w:ascii="Calibri"/>
                <w:spacing w:val="-2"/>
                <w:sz w:val="21"/>
              </w:rPr>
              <w:t>755,264.23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57,952.99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6.3009</w:t>
            </w:r>
            <w:r>
              <w:rPr>
                <w:rFonts w:ascii="Arial Narrow"/>
                <w:sz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365,155.99</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1"/>
                <w:sz w:val="21"/>
              </w:rPr>
              <w:t>6,318.59</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8.3176</w:t>
            </w:r>
            <w:r>
              <w:rPr>
                <w:rFonts w:ascii="Arial Narrow"/>
                <w:sz w:val="2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52,555.50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2"/>
                <w:sz w:val="21"/>
              </w:rPr>
              <w:t>117.31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8.1625</w:t>
            </w:r>
            <w:r>
              <w:rPr>
                <w:rFonts w:ascii="Arial Narrow"/>
                <w:sz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957.54</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80,155.22</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0.8109</w:t>
            </w:r>
            <w:r>
              <w:rPr>
                <w:rFonts w:ascii="Arial Narrow"/>
                <w:sz w:val="2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64,997.87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2"/>
                <w:sz w:val="21"/>
              </w:rPr>
              <w:t>112,746.22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0.8107</w:t>
            </w:r>
            <w:r>
              <w:rPr>
                <w:rFonts w:ascii="Arial Narrow"/>
                <w:sz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91,403.36</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日元</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66,784,227.00</w:t>
            </w:r>
          </w:p>
        </w:tc>
        <w:tc>
          <w:tcPr>
            <w:tcW w:w="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0.073049</w:t>
            </w:r>
            <w:r>
              <w:rPr>
                <w:rFonts w:ascii="Arial Narrow"/>
                <w:sz w:val="21"/>
              </w:rPr>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2"/>
                <w:sz w:val="21"/>
              </w:rPr>
              <w:t>4,878,521.00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3"/>
                <w:sz w:val="21"/>
              </w:rPr>
              <w:t>97,970,787.00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3"/>
                <w:sz w:val="21"/>
              </w:rPr>
              <w:t>0.0811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7,945,430.83</w:t>
            </w:r>
          </w:p>
        </w:tc>
      </w:tr>
      <w:tr>
        <w:trPr>
          <w:trHeight w:val="322" w:hRule="exact"/>
        </w:trPr>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其他货币资金：</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4,956,389.00</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6,577,675.00</w:t>
            </w:r>
          </w:p>
        </w:tc>
      </w:tr>
      <w:tr>
        <w:trPr>
          <w:trHeight w:val="323" w:hRule="exact"/>
        </w:trPr>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人民币</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Calibri" w:hAnsi="Calibri" w:cs="Calibri" w:eastAsia="Calibri" w:hint="default"/>
                <w:sz w:val="21"/>
                <w:szCs w:val="21"/>
              </w:rPr>
            </w:pPr>
            <w:r>
              <w:rPr>
                <w:rFonts w:ascii="Calibri"/>
                <w:spacing w:val="-1"/>
                <w:sz w:val="21"/>
              </w:rPr>
              <w:t>4,956,389.00</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6,577,675.00</w:t>
            </w:r>
          </w:p>
        </w:tc>
      </w:tr>
      <w:tr>
        <w:trPr>
          <w:trHeight w:val="323" w:hRule="exact"/>
        </w:trPr>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
              <w:jc w:val="center"/>
              <w:rPr>
                <w:rFonts w:ascii="Calibri" w:hAnsi="Calibri" w:cs="Calibri" w:eastAsia="Calibri" w:hint="default"/>
                <w:sz w:val="21"/>
                <w:szCs w:val="21"/>
              </w:rPr>
            </w:pPr>
            <w:r>
              <w:rPr>
                <w:rFonts w:ascii="Calibri"/>
                <w:sz w:val="21"/>
              </w:rPr>
              <w:t>--</w:t>
            </w:r>
          </w:p>
        </w:tc>
        <w:tc>
          <w:tcPr>
            <w:tcW w:w="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
              <w:jc w:val="center"/>
              <w:rPr>
                <w:rFonts w:ascii="Calibri" w:hAnsi="Calibri" w:cs="Calibri" w:eastAsia="Calibri" w:hint="default"/>
                <w:sz w:val="21"/>
                <w:szCs w:val="21"/>
              </w:rPr>
            </w:pPr>
            <w:r>
              <w:rPr>
                <w:rFonts w:ascii="Calibri"/>
                <w:sz w:val="21"/>
              </w:rPr>
              <w:t>--</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4"/>
              <w:jc w:val="right"/>
              <w:rPr>
                <w:rFonts w:ascii="Calibri" w:hAnsi="Calibri" w:cs="Calibri" w:eastAsia="Calibri" w:hint="default"/>
                <w:sz w:val="21"/>
                <w:szCs w:val="21"/>
              </w:rPr>
            </w:pPr>
            <w:r>
              <w:rPr>
                <w:rFonts w:ascii="Calibri"/>
                <w:spacing w:val="-2"/>
                <w:sz w:val="21"/>
              </w:rPr>
              <w:t>235,371,119.09</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Calibri" w:hAnsi="Calibri" w:cs="Calibri" w:eastAsia="Calibri" w:hint="default"/>
                <w:sz w:val="21"/>
                <w:szCs w:val="21"/>
              </w:rPr>
            </w:pPr>
            <w:r>
              <w:rPr>
                <w:rFonts w:ascii="Calibri"/>
                <w:sz w:val="21"/>
              </w:rPr>
              <w:t>--</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Calibri" w:hAnsi="Calibri" w:cs="Calibri" w:eastAsia="Calibri" w:hint="default"/>
                <w:sz w:val="21"/>
                <w:szCs w:val="21"/>
              </w:rPr>
            </w:pPr>
            <w:r>
              <w:rPr>
                <w:rFonts w:ascii="Calibri"/>
                <w:sz w:val="21"/>
              </w:rPr>
              <w:t>--</w:t>
            </w:r>
          </w:p>
        </w:tc>
        <w:tc>
          <w:tcPr>
            <w:tcW w:w="14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378,824,821.80</w:t>
            </w:r>
          </w:p>
        </w:tc>
      </w:tr>
    </w:tbl>
    <w:p>
      <w:pPr>
        <w:spacing w:line="273" w:lineRule="auto" w:before="0"/>
        <w:ind w:left="558" w:right="142" w:firstLine="0"/>
        <w:jc w:val="left"/>
        <w:rPr>
          <w:rFonts w:ascii="宋体" w:hAnsi="宋体" w:cs="宋体" w:eastAsia="宋体" w:hint="default"/>
          <w:sz w:val="21"/>
          <w:szCs w:val="21"/>
        </w:rPr>
      </w:pPr>
      <w:r>
        <w:rPr>
          <w:rFonts w:ascii="宋体" w:hAnsi="宋体" w:cs="宋体" w:eastAsia="宋体" w:hint="default"/>
          <w:spacing w:val="-2"/>
          <w:sz w:val="21"/>
          <w:szCs w:val="21"/>
        </w:rPr>
        <w:t>如有因抵押、质押或冻结等对使用有限制、存放在境外、有潜在回收风险的款项应单独说明：</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无</w:t>
      </w:r>
    </w:p>
    <w:p>
      <w:pPr>
        <w:spacing w:line="240" w:lineRule="auto" w:before="7"/>
        <w:rPr>
          <w:rFonts w:ascii="宋体" w:hAnsi="宋体" w:cs="宋体" w:eastAsia="宋体" w:hint="default"/>
          <w:sz w:val="23"/>
          <w:szCs w:val="23"/>
        </w:rPr>
      </w:pPr>
    </w:p>
    <w:p>
      <w:pPr>
        <w:spacing w:line="506" w:lineRule="auto" w:before="0"/>
        <w:ind w:left="558" w:right="703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、交易性金融资产</w:t>
      </w:r>
      <w:r>
        <w:rPr>
          <w:rFonts w:ascii="宋体" w:hAnsi="宋体" w:cs="宋体" w:eastAsia="宋体" w:hint="default"/>
          <w:b/>
          <w:bCs/>
          <w:spacing w:val="-103"/>
          <w:sz w:val="21"/>
          <w:szCs w:val="21"/>
        </w:rPr>
        <w:t> </w:t>
      </w:r>
      <w:r>
        <w:rPr>
          <w:rFonts w:ascii="宋体" w:hAnsi="宋体" w:cs="宋体" w:eastAsia="宋体" w:hint="default"/>
          <w:sz w:val="21"/>
          <w:szCs w:val="21"/>
        </w:rPr>
        <w:t>无</w:t>
      </w:r>
    </w:p>
    <w:p>
      <w:pPr>
        <w:spacing w:before="104"/>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、应收票据</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right"/>
        <w:rPr>
          <w:rFonts w:ascii="宋体" w:hAnsi="宋体" w:cs="宋体" w:eastAsia="宋体" w:hint="default"/>
          <w:sz w:val="21"/>
          <w:szCs w:val="21"/>
        </w:rPr>
        <w:sectPr>
          <w:pgSz w:w="11910" w:h="16840"/>
          <w:pgMar w:header="884" w:footer="1007" w:top="1160" w:bottom="1200" w:left="1240" w:right="1260"/>
        </w:sectPr>
      </w:pPr>
    </w:p>
    <w:p>
      <w:pPr>
        <w:spacing w:line="240" w:lineRule="auto" w:before="13"/>
        <w:rPr>
          <w:rFonts w:ascii="宋体" w:hAnsi="宋体" w:cs="宋体" w:eastAsia="宋体" w:hint="default"/>
          <w:sz w:val="19"/>
          <w:szCs w:val="19"/>
        </w:rPr>
      </w:pPr>
    </w:p>
    <w:tbl>
      <w:tblPr>
        <w:tblW w:w="0" w:type="auto"/>
        <w:jc w:val="left"/>
        <w:tblInd w:w="553" w:type="dxa"/>
        <w:tblLayout w:type="fixed"/>
        <w:tblCellMar>
          <w:top w:w="0" w:type="dxa"/>
          <w:left w:w="0" w:type="dxa"/>
          <w:bottom w:w="0" w:type="dxa"/>
          <w:right w:w="0" w:type="dxa"/>
        </w:tblCellMar>
        <w:tblLook w:val="01E0"/>
      </w:tblPr>
      <w:tblGrid>
        <w:gridCol w:w="3989"/>
        <w:gridCol w:w="2657"/>
        <w:gridCol w:w="2921"/>
      </w:tblGrid>
      <w:tr>
        <w:trPr>
          <w:trHeight w:val="322" w:hRule="exact"/>
        </w:trPr>
        <w:tc>
          <w:tcPr>
            <w:tcW w:w="3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3"/>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137,400.00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w:t>
            </w:r>
          </w:p>
        </w:tc>
      </w:tr>
      <w:tr>
        <w:trPr>
          <w:trHeight w:val="324" w:hRule="exact"/>
        </w:trPr>
        <w:tc>
          <w:tcPr>
            <w:tcW w:w="3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137,400.00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w:t>
            </w:r>
          </w:p>
        </w:tc>
      </w:tr>
    </w:tbl>
    <w:p>
      <w:pPr>
        <w:spacing w:line="240" w:lineRule="auto" w:before="3"/>
        <w:rPr>
          <w:rFonts w:ascii="宋体" w:hAnsi="宋体" w:cs="宋体" w:eastAsia="宋体" w:hint="default"/>
          <w:sz w:val="19"/>
          <w:szCs w:val="19"/>
        </w:rPr>
      </w:pPr>
    </w:p>
    <w:p>
      <w:pPr>
        <w:spacing w:line="506" w:lineRule="auto" w:before="36"/>
        <w:ind w:left="558" w:right="6626"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）期末已质押的应收票据情况</w:t>
      </w:r>
      <w:r>
        <w:rPr>
          <w:rFonts w:ascii="宋体" w:hAnsi="宋体" w:cs="宋体" w:eastAsia="宋体" w:hint="default"/>
          <w:b/>
          <w:bCs/>
          <w:spacing w:val="-92"/>
          <w:sz w:val="21"/>
          <w:szCs w:val="21"/>
        </w:rPr>
        <w:t> </w:t>
      </w:r>
      <w:r>
        <w:rPr>
          <w:rFonts w:ascii="宋体" w:hAnsi="宋体" w:cs="宋体" w:eastAsia="宋体" w:hint="default"/>
          <w:b/>
          <w:bCs/>
          <w:spacing w:val="-92"/>
          <w:sz w:val="21"/>
          <w:szCs w:val="21"/>
        </w:rPr>
      </w:r>
      <w:r>
        <w:rPr>
          <w:rFonts w:ascii="宋体" w:hAnsi="宋体" w:cs="宋体" w:eastAsia="宋体" w:hint="default"/>
          <w:sz w:val="21"/>
          <w:szCs w:val="21"/>
        </w:rPr>
        <w:t>无</w:t>
      </w:r>
    </w:p>
    <w:p>
      <w:pPr>
        <w:spacing w:line="259" w:lineRule="auto" w:before="104"/>
        <w:ind w:left="558" w:right="86" w:firstLine="0"/>
        <w:jc w:val="left"/>
        <w:rPr>
          <w:rFonts w:ascii="宋体" w:hAnsi="宋体" w:cs="宋体" w:eastAsia="宋体" w:hint="default"/>
          <w:sz w:val="21"/>
          <w:szCs w:val="21"/>
        </w:rPr>
      </w:pPr>
      <w:r>
        <w:rPr>
          <w:rFonts w:ascii="宋体" w:hAnsi="宋体" w:cs="宋体" w:eastAsia="宋体" w:hint="default"/>
          <w:b/>
          <w:bCs/>
          <w:spacing w:val="-2"/>
          <w:sz w:val="21"/>
          <w:szCs w:val="21"/>
        </w:rPr>
        <w:t>（</w:t>
      </w:r>
      <w:r>
        <w:rPr>
          <w:rFonts w:ascii="Times New Roman" w:hAnsi="Times New Roman" w:cs="Times New Roman" w:eastAsia="Times New Roman" w:hint="default"/>
          <w:b/>
          <w:bCs/>
          <w:spacing w:val="-2"/>
          <w:sz w:val="21"/>
          <w:szCs w:val="21"/>
        </w:rPr>
        <w:t>3</w:t>
      </w:r>
      <w:r>
        <w:rPr>
          <w:rFonts w:ascii="宋体" w:hAnsi="宋体" w:cs="宋体" w:eastAsia="宋体" w:hint="default"/>
          <w:b/>
          <w:bCs/>
          <w:spacing w:val="-2"/>
          <w:sz w:val="21"/>
          <w:szCs w:val="21"/>
        </w:rPr>
        <w:t>）因出票人无力履约而将票据转为应收账款的票据，以及期末公司已经背书给他方但尚未到</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b/>
          <w:bCs/>
          <w:sz w:val="21"/>
          <w:szCs w:val="21"/>
        </w:rPr>
        <w:t>期的票据情况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line="525" w:lineRule="auto" w:before="0"/>
        <w:ind w:left="558" w:right="8509"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、应收股利</w:t>
      </w:r>
      <w:r>
        <w:rPr>
          <w:rFonts w:ascii="宋体" w:hAnsi="宋体" w:cs="宋体" w:eastAsia="宋体" w:hint="default"/>
          <w:b/>
          <w:bCs/>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、应收利息</w:t>
      </w:r>
      <w:r>
        <w:rPr>
          <w:rFonts w:ascii="宋体" w:hAnsi="宋体" w:cs="宋体" w:eastAsia="宋体" w:hint="default"/>
          <w:sz w:val="21"/>
          <w:szCs w:val="21"/>
        </w:rPr>
      </w:r>
    </w:p>
    <w:p>
      <w:pPr>
        <w:spacing w:before="44"/>
        <w:ind w:left="558" w:right="662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994" w:firstLine="0"/>
        <w:jc w:val="right"/>
        <w:rPr>
          <w:rFonts w:ascii="宋体" w:hAnsi="宋体" w:cs="宋体" w:eastAsia="宋体" w:hint="default"/>
          <w:sz w:val="21"/>
          <w:szCs w:val="21"/>
        </w:rPr>
      </w:pPr>
      <w:r>
        <w:rPr>
          <w:rFonts w:ascii="宋体" w:hAnsi="宋体" w:cs="宋体" w:eastAsia="宋体" w:hint="default"/>
          <w:b/>
          <w:bCs/>
          <w:sz w:val="21"/>
          <w:szCs w:val="21"/>
        </w:rPr>
        <w:t>单位：</w:t>
      </w:r>
      <w:r>
        <w:rPr>
          <w:rFonts w:ascii="宋体" w:hAnsi="宋体" w:cs="宋体" w:eastAsia="宋体" w:hint="default"/>
          <w:b/>
          <w:bCs/>
          <w:spacing w:val="-2"/>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11"/>
        <w:rPr>
          <w:rFonts w:ascii="宋体" w:hAnsi="宋体" w:cs="宋体" w:eastAsia="宋体" w:hint="default"/>
          <w:b/>
          <w:bCs/>
          <w:sz w:val="3"/>
          <w:szCs w:val="3"/>
        </w:rPr>
      </w:pPr>
    </w:p>
    <w:tbl>
      <w:tblPr>
        <w:tblW w:w="0" w:type="auto"/>
        <w:jc w:val="left"/>
        <w:tblInd w:w="524" w:type="dxa"/>
        <w:tblLayout w:type="fixed"/>
        <w:tblCellMar>
          <w:top w:w="0" w:type="dxa"/>
          <w:left w:w="0" w:type="dxa"/>
          <w:bottom w:w="0" w:type="dxa"/>
          <w:right w:w="0" w:type="dxa"/>
        </w:tblCellMar>
        <w:tblLook w:val="01E0"/>
      </w:tblPr>
      <w:tblGrid>
        <w:gridCol w:w="2581"/>
        <w:gridCol w:w="1846"/>
        <w:gridCol w:w="1414"/>
        <w:gridCol w:w="1421"/>
        <w:gridCol w:w="1488"/>
      </w:tblGrid>
      <w:tr>
        <w:trPr>
          <w:trHeight w:val="322" w:hRule="exact"/>
        </w:trPr>
        <w:tc>
          <w:tcPr>
            <w:tcW w:w="2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99"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19"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22"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北京银行定期存款利息</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4,381,531.23</w:t>
            </w:r>
            <w:r>
              <w:rPr>
                <w:rFonts w:ascii="Arial Narrow"/>
                <w:sz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4,381,531.23</w:t>
            </w:r>
            <w:r>
              <w:rPr>
                <w:rFonts w:ascii="Arial Narrow"/>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r>
      <w:tr>
        <w:trPr>
          <w:trHeight w:val="322" w:hRule="exact"/>
        </w:trPr>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招商银行定期存款利息</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1,005,880.87</w:t>
            </w:r>
            <w:r>
              <w:rPr>
                <w:rFonts w:ascii="Arial Narrow"/>
                <w:sz w:val="21"/>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1,005,880.87</w:t>
            </w:r>
            <w:r>
              <w:rPr>
                <w:rFonts w:ascii="Arial Narrow"/>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r>
      <w:tr>
        <w:trPr>
          <w:trHeight w:val="324" w:hRule="exact"/>
        </w:trPr>
        <w:tc>
          <w:tcPr>
            <w:tcW w:w="2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5,387,412.10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b/>
                <w:spacing w:val="-1"/>
                <w:sz w:val="21"/>
              </w:rPr>
              <w:t>5,387,412.10</w:t>
            </w:r>
            <w:r>
              <w:rPr>
                <w:rFonts w:ascii="Arial Narrow"/>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r>
    </w:tbl>
    <w:p>
      <w:pPr>
        <w:spacing w:line="240" w:lineRule="auto" w:before="3"/>
        <w:rPr>
          <w:rFonts w:ascii="宋体" w:hAnsi="宋体" w:cs="宋体" w:eastAsia="宋体" w:hint="default"/>
          <w:b/>
          <w:bCs/>
          <w:sz w:val="19"/>
          <w:szCs w:val="19"/>
        </w:rPr>
      </w:pPr>
    </w:p>
    <w:p>
      <w:pPr>
        <w:spacing w:before="36"/>
        <w:ind w:left="558" w:right="662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）逾期利息</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994" w:firstLine="0"/>
        <w:jc w:val="right"/>
        <w:rPr>
          <w:rFonts w:ascii="宋体" w:hAnsi="宋体" w:cs="宋体" w:eastAsia="宋体" w:hint="default"/>
          <w:sz w:val="21"/>
          <w:szCs w:val="21"/>
        </w:rPr>
      </w:pPr>
      <w:r>
        <w:rPr>
          <w:rFonts w:ascii="宋体" w:hAnsi="宋体" w:cs="宋体" w:eastAsia="宋体" w:hint="default"/>
          <w:b/>
          <w:bCs/>
          <w:sz w:val="21"/>
          <w:szCs w:val="21"/>
        </w:rPr>
        <w:t>单位：</w:t>
      </w:r>
      <w:r>
        <w:rPr>
          <w:rFonts w:ascii="宋体" w:hAnsi="宋体" w:cs="宋体" w:eastAsia="宋体" w:hint="default"/>
          <w:b/>
          <w:bCs/>
          <w:spacing w:val="-2"/>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536" w:type="dxa"/>
        <w:tblLayout w:type="fixed"/>
        <w:tblCellMar>
          <w:top w:w="0" w:type="dxa"/>
          <w:left w:w="0" w:type="dxa"/>
          <w:bottom w:w="0" w:type="dxa"/>
          <w:right w:w="0" w:type="dxa"/>
        </w:tblCellMar>
        <w:tblLook w:val="01E0"/>
      </w:tblPr>
      <w:tblGrid>
        <w:gridCol w:w="2903"/>
        <w:gridCol w:w="2906"/>
        <w:gridCol w:w="2929"/>
      </w:tblGrid>
      <w:tr>
        <w:trPr>
          <w:trHeight w:val="323" w:hRule="exact"/>
        </w:trPr>
        <w:tc>
          <w:tcPr>
            <w:tcW w:w="2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7"/>
              <w:jc w:val="center"/>
              <w:rPr>
                <w:rFonts w:ascii="宋体" w:hAnsi="宋体" w:cs="宋体" w:eastAsia="宋体" w:hint="default"/>
                <w:sz w:val="21"/>
                <w:szCs w:val="21"/>
              </w:rPr>
            </w:pPr>
            <w:r>
              <w:rPr>
                <w:rFonts w:ascii="宋体" w:hAnsi="宋体" w:cs="宋体" w:eastAsia="宋体" w:hint="default"/>
                <w:b/>
                <w:bCs/>
                <w:sz w:val="21"/>
                <w:szCs w:val="21"/>
              </w:rPr>
              <w:t>贷款单位</w:t>
            </w:r>
            <w:r>
              <w:rPr>
                <w:rFonts w:ascii="宋体" w:hAnsi="宋体" w:cs="宋体" w:eastAsia="宋体" w:hint="default"/>
                <w:sz w:val="21"/>
                <w:szCs w:val="21"/>
              </w:rPr>
            </w:r>
          </w:p>
        </w:tc>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 w:right="0"/>
              <w:jc w:val="center"/>
              <w:rPr>
                <w:rFonts w:ascii="宋体" w:hAnsi="宋体" w:cs="宋体" w:eastAsia="宋体" w:hint="default"/>
                <w:sz w:val="21"/>
                <w:szCs w:val="21"/>
              </w:rPr>
            </w:pPr>
            <w:r>
              <w:rPr>
                <w:rFonts w:ascii="宋体" w:hAnsi="宋体" w:cs="宋体" w:eastAsia="宋体" w:hint="default"/>
                <w:b/>
                <w:bCs/>
                <w:sz w:val="21"/>
                <w:szCs w:val="21"/>
              </w:rPr>
              <w:t>逾期时间（天）</w:t>
            </w:r>
            <w:r>
              <w:rPr>
                <w:rFonts w:ascii="宋体" w:hAnsi="宋体" w:cs="宋体" w:eastAsia="宋体" w:hint="default"/>
                <w:sz w:val="21"/>
                <w:szCs w:val="21"/>
              </w:rPr>
            </w:r>
          </w:p>
        </w:tc>
        <w:tc>
          <w:tcPr>
            <w:tcW w:w="2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30" w:right="0"/>
              <w:jc w:val="left"/>
              <w:rPr>
                <w:rFonts w:ascii="宋体" w:hAnsi="宋体" w:cs="宋体" w:eastAsia="宋体" w:hint="default"/>
                <w:sz w:val="21"/>
                <w:szCs w:val="21"/>
              </w:rPr>
            </w:pPr>
            <w:r>
              <w:rPr>
                <w:rFonts w:ascii="宋体" w:hAnsi="宋体" w:cs="宋体" w:eastAsia="宋体" w:hint="default"/>
                <w:b/>
                <w:bCs/>
                <w:sz w:val="21"/>
                <w:szCs w:val="21"/>
              </w:rPr>
              <w:t>逾期利息金额</w:t>
            </w:r>
            <w:r>
              <w:rPr>
                <w:rFonts w:ascii="宋体" w:hAnsi="宋体" w:cs="宋体" w:eastAsia="宋体" w:hint="default"/>
                <w:sz w:val="21"/>
                <w:szCs w:val="21"/>
              </w:rPr>
            </w:r>
          </w:p>
        </w:tc>
      </w:tr>
      <w:tr>
        <w:trPr>
          <w:trHeight w:val="323" w:hRule="exact"/>
        </w:trPr>
        <w:tc>
          <w:tcPr>
            <w:tcW w:w="2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0" w:right="0"/>
              <w:jc w:val="center"/>
              <w:rPr>
                <w:rFonts w:ascii="Calibri" w:hAnsi="Calibri" w:cs="Calibri" w:eastAsia="Calibri" w:hint="default"/>
                <w:sz w:val="21"/>
                <w:szCs w:val="21"/>
              </w:rPr>
            </w:pPr>
            <w:r>
              <w:rPr>
                <w:rFonts w:ascii="Calibri"/>
                <w:sz w:val="21"/>
              </w:rPr>
              <w:t>--</w:t>
            </w:r>
          </w:p>
        </w:tc>
        <w:tc>
          <w:tcPr>
            <w:tcW w:w="29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w w:val="100"/>
                <w:sz w:val="21"/>
              </w:rPr>
              <w:t>0</w:t>
            </w:r>
          </w:p>
        </w:tc>
      </w:tr>
    </w:tbl>
    <w:p>
      <w:pPr>
        <w:spacing w:line="240" w:lineRule="auto" w:before="3"/>
        <w:rPr>
          <w:rFonts w:ascii="宋体" w:hAnsi="宋体" w:cs="宋体" w:eastAsia="宋体" w:hint="default"/>
          <w:b/>
          <w:bCs/>
          <w:sz w:val="19"/>
          <w:szCs w:val="19"/>
        </w:rPr>
      </w:pPr>
    </w:p>
    <w:p>
      <w:pPr>
        <w:spacing w:line="506" w:lineRule="auto" w:before="36"/>
        <w:ind w:left="558" w:right="766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）应收利息的说明</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before="104"/>
        <w:ind w:left="558" w:right="66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662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994" w:firstLine="0"/>
        <w:jc w:val="right"/>
        <w:rPr>
          <w:rFonts w:ascii="宋体" w:hAnsi="宋体" w:cs="宋体" w:eastAsia="宋体" w:hint="default"/>
          <w:sz w:val="21"/>
          <w:szCs w:val="21"/>
        </w:rPr>
      </w:pPr>
      <w:r>
        <w:rPr>
          <w:rFonts w:ascii="宋体" w:hAnsi="宋体" w:cs="宋体" w:eastAsia="宋体" w:hint="default"/>
          <w:b/>
          <w:bCs/>
          <w:sz w:val="21"/>
          <w:szCs w:val="21"/>
        </w:rPr>
        <w:t>单位：</w:t>
      </w:r>
      <w:r>
        <w:rPr>
          <w:rFonts w:ascii="宋体" w:hAnsi="宋体" w:cs="宋体" w:eastAsia="宋体" w:hint="default"/>
          <w:b/>
          <w:bCs/>
          <w:spacing w:val="-2"/>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12"/>
        <w:rPr>
          <w:rFonts w:ascii="宋体" w:hAnsi="宋体" w:cs="宋体" w:eastAsia="宋体" w:hint="default"/>
          <w:b/>
          <w:bCs/>
          <w:sz w:val="3"/>
          <w:szCs w:val="3"/>
        </w:rPr>
      </w:pPr>
    </w:p>
    <w:tbl>
      <w:tblPr>
        <w:tblW w:w="0" w:type="auto"/>
        <w:jc w:val="left"/>
        <w:tblInd w:w="524" w:type="dxa"/>
        <w:tblLayout w:type="fixed"/>
        <w:tblCellMar>
          <w:top w:w="0" w:type="dxa"/>
          <w:left w:w="0" w:type="dxa"/>
          <w:bottom w:w="0" w:type="dxa"/>
          <w:right w:w="0" w:type="dxa"/>
        </w:tblCellMar>
        <w:tblLook w:val="01E0"/>
      </w:tblPr>
      <w:tblGrid>
        <w:gridCol w:w="1543"/>
        <w:gridCol w:w="1817"/>
        <w:gridCol w:w="1743"/>
        <w:gridCol w:w="1836"/>
        <w:gridCol w:w="1798"/>
      </w:tblGrid>
      <w:tr>
        <w:trPr>
          <w:trHeight w:val="323" w:hRule="exact"/>
        </w:trPr>
        <w:tc>
          <w:tcPr>
            <w:tcW w:w="1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0"/>
              <w:ind w:right="0"/>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35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1543" w:type="dxa"/>
            <w:vMerge/>
            <w:tcBorders>
              <w:left w:val="single" w:sz="4" w:space="0" w:color="000000"/>
              <w:bottom w:val="single" w:sz="4" w:space="0" w:color="000000"/>
              <w:right w:val="single" w:sz="4" w:space="0" w:color="000000"/>
            </w:tcBorders>
            <w:shd w:val="clear" w:color="auto" w:fill="D2D2D2"/>
          </w:tcPr>
          <w:p>
            <w:pPr/>
          </w:p>
        </w:tc>
        <w:tc>
          <w:tcPr>
            <w:tcW w:w="1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8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89"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78"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bl>
    <w:p>
      <w:pPr>
        <w:spacing w:after="0" w:line="262" w:lineRule="exact"/>
        <w:jc w:val="left"/>
        <w:rPr>
          <w:rFonts w:ascii="宋体" w:hAnsi="宋体" w:cs="宋体" w:eastAsia="宋体" w:hint="default"/>
          <w:sz w:val="21"/>
          <w:szCs w:val="21"/>
        </w:rPr>
        <w:sectPr>
          <w:pgSz w:w="11910" w:h="16840"/>
          <w:pgMar w:header="884" w:footer="1007" w:top="1160" w:bottom="1200" w:left="1240" w:right="420"/>
        </w:sectPr>
      </w:pPr>
    </w:p>
    <w:p>
      <w:pPr>
        <w:spacing w:line="240" w:lineRule="auto" w:before="13"/>
        <w:rPr>
          <w:rFonts w:ascii="宋体" w:hAnsi="宋体" w:cs="宋体" w:eastAsia="宋体" w:hint="default"/>
          <w:b/>
          <w:bCs/>
          <w:sz w:val="19"/>
          <w:szCs w:val="19"/>
        </w:rPr>
      </w:pPr>
    </w:p>
    <w:tbl>
      <w:tblPr>
        <w:tblW w:w="0" w:type="auto"/>
        <w:jc w:val="left"/>
        <w:tblInd w:w="524" w:type="dxa"/>
        <w:tblLayout w:type="fixed"/>
        <w:tblCellMar>
          <w:top w:w="0" w:type="dxa"/>
          <w:left w:w="0" w:type="dxa"/>
          <w:bottom w:w="0" w:type="dxa"/>
          <w:right w:w="0" w:type="dxa"/>
        </w:tblCellMar>
        <w:tblLook w:val="01E0"/>
      </w:tblPr>
      <w:tblGrid>
        <w:gridCol w:w="1537"/>
        <w:gridCol w:w="1259"/>
        <w:gridCol w:w="564"/>
        <w:gridCol w:w="1159"/>
        <w:gridCol w:w="584"/>
        <w:gridCol w:w="1253"/>
        <w:gridCol w:w="583"/>
        <w:gridCol w:w="1160"/>
        <w:gridCol w:w="650"/>
      </w:tblGrid>
      <w:tr>
        <w:trPr>
          <w:trHeight w:val="161" w:hRule="exact"/>
        </w:trPr>
        <w:tc>
          <w:tcPr>
            <w:tcW w:w="1537" w:type="dxa"/>
            <w:vMerge w:val="restart"/>
            <w:tcBorders>
              <w:top w:val="single" w:sz="4" w:space="0" w:color="000000"/>
              <w:left w:val="single" w:sz="4" w:space="0" w:color="000000"/>
              <w:right w:val="single" w:sz="13" w:space="0" w:color="FFFFFF"/>
            </w:tcBorders>
            <w:shd w:val="clear" w:color="auto" w:fill="D2D2D2"/>
          </w:tcPr>
          <w:p>
            <w:pPr/>
          </w:p>
        </w:tc>
        <w:tc>
          <w:tcPr>
            <w:tcW w:w="1259" w:type="dxa"/>
            <w:tcBorders>
              <w:top w:val="single" w:sz="4" w:space="0" w:color="000000"/>
              <w:left w:val="single" w:sz="13" w:space="0" w:color="FFFFFF"/>
              <w:bottom w:val="nil" w:sz="6" w:space="0" w:color="auto"/>
              <w:right w:val="single" w:sz="4" w:space="0" w:color="000000"/>
            </w:tcBorders>
            <w:shd w:val="clear" w:color="auto" w:fill="D2D2D2"/>
          </w:tcPr>
          <w:p>
            <w:pPr/>
          </w:p>
        </w:tc>
        <w:tc>
          <w:tcPr>
            <w:tcW w:w="564" w:type="dxa"/>
            <w:vMerge w:val="restart"/>
            <w:tcBorders>
              <w:top w:val="single" w:sz="4" w:space="0" w:color="000000"/>
              <w:left w:val="single" w:sz="4" w:space="0" w:color="000000"/>
              <w:right w:val="single" w:sz="4" w:space="0" w:color="000000"/>
            </w:tcBorders>
            <w:shd w:val="clear" w:color="auto" w:fill="D2D2D2"/>
          </w:tcPr>
          <w:p>
            <w:pPr>
              <w:pStyle w:val="TableParagraph"/>
              <w:spacing w:line="263" w:lineRule="exact"/>
              <w:ind w:left="67"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36" w:right="0"/>
              <w:jc w:val="left"/>
              <w:rPr>
                <w:rFonts w:ascii="Calibri" w:hAnsi="Calibri" w:cs="Calibri" w:eastAsia="Calibri" w:hint="default"/>
                <w:sz w:val="21"/>
                <w:szCs w:val="21"/>
              </w:rPr>
            </w:pPr>
            <w:r>
              <w:rPr>
                <w:rFonts w:ascii="Calibri"/>
                <w:b/>
                <w:sz w:val="21"/>
              </w:rPr>
              <w:t>(%)</w:t>
            </w:r>
            <w:r>
              <w:rPr>
                <w:rFonts w:ascii="Calibri"/>
                <w:sz w:val="21"/>
              </w:rPr>
            </w:r>
          </w:p>
        </w:tc>
        <w:tc>
          <w:tcPr>
            <w:tcW w:w="1159" w:type="dxa"/>
            <w:tcBorders>
              <w:top w:val="single" w:sz="4" w:space="0" w:color="000000"/>
              <w:left w:val="single" w:sz="4" w:space="0" w:color="000000"/>
              <w:bottom w:val="nil" w:sz="6" w:space="0" w:color="auto"/>
              <w:right w:val="single" w:sz="4" w:space="0" w:color="000000"/>
            </w:tcBorders>
            <w:shd w:val="clear" w:color="auto" w:fill="D2D2D2"/>
          </w:tcPr>
          <w:p>
            <w:pP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63" w:lineRule="exact"/>
              <w:ind w:left="74"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44" w:right="0"/>
              <w:jc w:val="left"/>
              <w:rPr>
                <w:rFonts w:ascii="Calibri" w:hAnsi="Calibri" w:cs="Calibri" w:eastAsia="Calibri" w:hint="default"/>
                <w:sz w:val="21"/>
                <w:szCs w:val="21"/>
              </w:rPr>
            </w:pPr>
            <w:r>
              <w:rPr>
                <w:rFonts w:ascii="Calibri"/>
                <w:b/>
                <w:sz w:val="21"/>
              </w:rPr>
              <w:t>(%)</w:t>
            </w:r>
            <w:r>
              <w:rPr>
                <w:rFonts w:ascii="Calibri"/>
                <w:sz w:val="21"/>
              </w:rPr>
            </w:r>
          </w:p>
        </w:tc>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63" w:lineRule="exact"/>
              <w:ind w:left="76"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46" w:right="0"/>
              <w:jc w:val="left"/>
              <w:rPr>
                <w:rFonts w:ascii="Calibri" w:hAnsi="Calibri" w:cs="Calibri" w:eastAsia="Calibri" w:hint="default"/>
                <w:sz w:val="21"/>
                <w:szCs w:val="21"/>
              </w:rPr>
            </w:pPr>
            <w:r>
              <w:rPr>
                <w:rFonts w:ascii="Calibri"/>
                <w:b/>
                <w:sz w:val="21"/>
              </w:rPr>
              <w:t>(%)</w:t>
            </w:r>
            <w:r>
              <w:rPr>
                <w:rFonts w:ascii="Calibri"/>
                <w:sz w:val="21"/>
              </w:rPr>
            </w:r>
          </w:p>
        </w:tc>
        <w:tc>
          <w:tcPr>
            <w:tcW w:w="1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0" w:type="dxa"/>
            <w:vMerge w:val="restart"/>
            <w:tcBorders>
              <w:top w:val="single" w:sz="4" w:space="0" w:color="000000"/>
              <w:left w:val="single" w:sz="4" w:space="0" w:color="000000"/>
              <w:right w:val="single" w:sz="4" w:space="0" w:color="000000"/>
            </w:tcBorders>
            <w:shd w:val="clear" w:color="auto" w:fill="D2D2D2"/>
          </w:tcPr>
          <w:p>
            <w:pPr>
              <w:pStyle w:val="TableParagraph"/>
              <w:spacing w:line="263"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77" w:right="0"/>
              <w:jc w:val="left"/>
              <w:rPr>
                <w:rFonts w:ascii="Calibri" w:hAnsi="Calibri" w:cs="Calibri" w:eastAsia="Calibri" w:hint="default"/>
                <w:sz w:val="21"/>
                <w:szCs w:val="21"/>
              </w:rPr>
            </w:pPr>
            <w:r>
              <w:rPr>
                <w:rFonts w:ascii="Calibri"/>
                <w:b/>
                <w:sz w:val="21"/>
              </w:rPr>
              <w:t>(%)</w:t>
            </w:r>
            <w:r>
              <w:rPr>
                <w:rFonts w:ascii="Calibri"/>
                <w:sz w:val="21"/>
              </w:rPr>
            </w:r>
          </w:p>
        </w:tc>
      </w:tr>
      <w:tr>
        <w:trPr>
          <w:trHeight w:val="312" w:hRule="exact"/>
        </w:trPr>
        <w:tc>
          <w:tcPr>
            <w:tcW w:w="1537" w:type="dxa"/>
            <w:vMerge/>
            <w:tcBorders>
              <w:left w:val="single" w:sz="4" w:space="0" w:color="000000"/>
              <w:right w:val="single" w:sz="13" w:space="0" w:color="FFFFFF"/>
            </w:tcBorders>
            <w:shd w:val="clear" w:color="auto" w:fill="D2D2D2"/>
          </w:tcPr>
          <w:p>
            <w:pPr/>
          </w:p>
        </w:tc>
        <w:tc>
          <w:tcPr>
            <w:tcW w:w="1259" w:type="dxa"/>
            <w:tcBorders>
              <w:top w:val="nil" w:sz="6" w:space="0" w:color="auto"/>
              <w:left w:val="single" w:sz="13" w:space="0" w:color="FFFFFF"/>
              <w:bottom w:val="nil" w:sz="6" w:space="0" w:color="auto"/>
              <w:right w:val="single" w:sz="4" w:space="0" w:color="000000"/>
            </w:tcBorders>
            <w:shd w:val="clear" w:color="auto" w:fill="D2D2D2"/>
          </w:tcPr>
          <w:p>
            <w:pPr>
              <w:pStyle w:val="TableParagraph"/>
              <w:spacing w:line="263" w:lineRule="exact"/>
              <w:ind w:left="402"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564" w:type="dxa"/>
            <w:vMerge/>
            <w:tcBorders>
              <w:left w:val="single" w:sz="4" w:space="0" w:color="000000"/>
              <w:right w:val="single" w:sz="4" w:space="0" w:color="000000"/>
            </w:tcBorders>
            <w:shd w:val="clear" w:color="auto" w:fill="D2D2D2"/>
          </w:tcPr>
          <w:p>
            <w:pPr/>
          </w:p>
        </w:tc>
        <w:tc>
          <w:tcPr>
            <w:tcW w:w="11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3"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584" w:type="dxa"/>
            <w:vMerge/>
            <w:tcBorders>
              <w:left w:val="single" w:sz="4" w:space="0" w:color="000000"/>
              <w:right w:val="single" w:sz="4" w:space="0" w:color="000000"/>
            </w:tcBorders>
            <w:shd w:val="clear" w:color="auto" w:fill="D2D2D2"/>
          </w:tcPr>
          <w:p>
            <w:pPr/>
          </w:p>
        </w:tc>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3" w:lineRule="exact"/>
              <w:ind w:left="407"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583" w:type="dxa"/>
            <w:vMerge/>
            <w:tcBorders>
              <w:left w:val="single" w:sz="4" w:space="0" w:color="000000"/>
              <w:right w:val="single" w:sz="4" w:space="0" w:color="000000"/>
            </w:tcBorders>
            <w:shd w:val="clear" w:color="auto" w:fill="D2D2D2"/>
          </w:tcPr>
          <w:p>
            <w:pPr/>
          </w:p>
        </w:tc>
        <w:tc>
          <w:tcPr>
            <w:tcW w:w="1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3" w:lineRule="exact"/>
              <w:ind w:left="363"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650" w:type="dxa"/>
            <w:vMerge/>
            <w:tcBorders>
              <w:left w:val="single" w:sz="4" w:space="0" w:color="000000"/>
              <w:right w:val="single" w:sz="4" w:space="0" w:color="000000"/>
            </w:tcBorders>
            <w:shd w:val="clear" w:color="auto" w:fill="D2D2D2"/>
          </w:tcPr>
          <w:p>
            <w:pPr/>
          </w:p>
        </w:tc>
      </w:tr>
      <w:tr>
        <w:trPr>
          <w:trHeight w:val="161" w:hRule="exact"/>
        </w:trPr>
        <w:tc>
          <w:tcPr>
            <w:tcW w:w="1537" w:type="dxa"/>
            <w:vMerge/>
            <w:tcBorders>
              <w:left w:val="single" w:sz="4" w:space="0" w:color="000000"/>
              <w:bottom w:val="single" w:sz="4" w:space="0" w:color="000000"/>
              <w:right w:val="single" w:sz="13" w:space="0" w:color="FFFFFF"/>
            </w:tcBorders>
            <w:shd w:val="clear" w:color="auto" w:fill="D2D2D2"/>
          </w:tcPr>
          <w:p>
            <w:pPr/>
          </w:p>
        </w:tc>
        <w:tc>
          <w:tcPr>
            <w:tcW w:w="1259" w:type="dxa"/>
            <w:tcBorders>
              <w:top w:val="nil" w:sz="6" w:space="0" w:color="auto"/>
              <w:left w:val="single" w:sz="13" w:space="0" w:color="FFFFFF"/>
              <w:bottom w:val="single" w:sz="4" w:space="0" w:color="000000"/>
              <w:right w:val="single" w:sz="4" w:space="0" w:color="000000"/>
            </w:tcBorders>
            <w:shd w:val="clear" w:color="auto" w:fill="D2D2D2"/>
          </w:tcPr>
          <w:p>
            <w:pPr/>
          </w:p>
        </w:tc>
        <w:tc>
          <w:tcPr>
            <w:tcW w:w="564" w:type="dxa"/>
            <w:vMerge/>
            <w:tcBorders>
              <w:left w:val="single" w:sz="4" w:space="0" w:color="000000"/>
              <w:bottom w:val="single" w:sz="4" w:space="0" w:color="000000"/>
              <w:right w:val="single" w:sz="4" w:space="0" w:color="000000"/>
            </w:tcBorders>
            <w:shd w:val="clear" w:color="auto" w:fill="D2D2D2"/>
          </w:tcPr>
          <w:p>
            <w:pPr/>
          </w:p>
        </w:tc>
        <w:tc>
          <w:tcPr>
            <w:tcW w:w="1159" w:type="dxa"/>
            <w:tcBorders>
              <w:top w:val="nil" w:sz="6" w:space="0" w:color="auto"/>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1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53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73" w:lineRule="auto"/>
              <w:ind w:left="23" w:right="15"/>
              <w:jc w:val="both"/>
              <w:rPr>
                <w:rFonts w:ascii="宋体" w:hAnsi="宋体" w:cs="宋体" w:eastAsia="宋体" w:hint="default"/>
                <w:sz w:val="21"/>
                <w:szCs w:val="21"/>
              </w:rPr>
            </w:pPr>
            <w:r>
              <w:rPr>
                <w:rFonts w:ascii="宋体" w:hAnsi="宋体" w:cs="宋体" w:eastAsia="宋体" w:hint="default"/>
                <w:sz w:val="21"/>
                <w:szCs w:val="21"/>
              </w:rPr>
              <w:t>单项金额重大并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单项计提坏账准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备的应收账款</w:t>
            </w:r>
          </w:p>
        </w:tc>
        <w:tc>
          <w:tcPr>
            <w:tcW w:w="125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w w:val="100"/>
                <w:sz w:val="21"/>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w w:val="100"/>
                <w:sz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r>
      <w:tr>
        <w:trPr>
          <w:trHeight w:val="322" w:hRule="exact"/>
        </w:trPr>
        <w:tc>
          <w:tcPr>
            <w:tcW w:w="875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324" w:hRule="exact"/>
        </w:trPr>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145,650,191.59</w:t>
            </w:r>
            <w:r>
              <w:rPr>
                <w:rFonts w:ascii="Arial Narrow"/>
                <w:sz w:val="21"/>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Arial Narrow" w:hAnsi="Arial Narrow" w:cs="Arial Narrow" w:eastAsia="Arial Narrow" w:hint="default"/>
                <w:sz w:val="21"/>
                <w:szCs w:val="21"/>
              </w:rPr>
            </w:pPr>
            <w:r>
              <w:rPr>
                <w:rFonts w:ascii="Arial Narrow"/>
                <w:spacing w:val="-1"/>
                <w:sz w:val="21"/>
              </w:rPr>
              <w:t>99.64</w:t>
            </w:r>
            <w:r>
              <w:rPr>
                <w:rFonts w:ascii="Arial Narrow"/>
                <w:sz w:val="21"/>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24,659,109.58</w:t>
            </w:r>
            <w:r>
              <w:rPr>
                <w:rFonts w:ascii="Arial Narrow"/>
                <w:sz w:val="21"/>
              </w:rPr>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16.93</w:t>
            </w:r>
            <w:r>
              <w:rPr>
                <w:rFonts w:ascii="Arial Narrow"/>
                <w:sz w:val="21"/>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159,076,460.64</w:t>
            </w:r>
            <w:r>
              <w:rPr>
                <w:rFonts w:ascii="Arial Narrow"/>
                <w:sz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27,917,396.34</w:t>
            </w:r>
            <w:r>
              <w:rPr>
                <w:rFonts w:ascii="Arial Narrow"/>
                <w:sz w:val="21"/>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17.55</w:t>
            </w:r>
            <w:r>
              <w:rPr>
                <w:rFonts w:ascii="Arial Narrow"/>
                <w:sz w:val="21"/>
              </w:rPr>
            </w:r>
          </w:p>
        </w:tc>
      </w:tr>
      <w:tr>
        <w:trPr>
          <w:trHeight w:val="32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145,650,191.59</w:t>
            </w:r>
            <w:r>
              <w:rPr>
                <w:rFonts w:ascii="Arial Narrow"/>
                <w:sz w:val="21"/>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99.64</w:t>
            </w:r>
            <w:r>
              <w:rPr>
                <w:rFonts w:ascii="Arial Narrow"/>
                <w:sz w:val="21"/>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24,659,109.58</w:t>
            </w:r>
            <w:r>
              <w:rPr>
                <w:rFonts w:ascii="Arial Narrow"/>
                <w:sz w:val="21"/>
              </w:rPr>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spacing w:val="-1"/>
                <w:sz w:val="21"/>
              </w:rPr>
              <w:t>16.93</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159,076,460.64</w:t>
            </w:r>
            <w:r>
              <w:rPr>
                <w:rFonts w:ascii="Arial Narrow"/>
                <w:sz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27,917,396.34</w:t>
            </w:r>
            <w:r>
              <w:rPr>
                <w:rFonts w:ascii="Arial Narrow"/>
                <w:sz w:val="21"/>
              </w:rPr>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17.55</w:t>
            </w:r>
            <w:r>
              <w:rPr>
                <w:rFonts w:ascii="Arial Narrow"/>
                <w:sz w:val="21"/>
              </w:rPr>
            </w:r>
          </w:p>
        </w:tc>
      </w:tr>
      <w:tr>
        <w:trPr>
          <w:trHeight w:val="1258"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27"/>
              <w:jc w:val="both"/>
              <w:rPr>
                <w:rFonts w:ascii="宋体" w:hAnsi="宋体" w:cs="宋体" w:eastAsia="宋体" w:hint="default"/>
                <w:sz w:val="21"/>
                <w:szCs w:val="21"/>
              </w:rPr>
            </w:pPr>
            <w:r>
              <w:rPr>
                <w:rFonts w:ascii="宋体" w:hAnsi="宋体" w:cs="宋体" w:eastAsia="宋体" w:hint="default"/>
                <w:sz w:val="21"/>
                <w:szCs w:val="21"/>
              </w:rPr>
              <w:t>单项金额虽不重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大但单项计提坏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账准备的应收账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款</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0"/>
              <w:jc w:val="right"/>
              <w:rPr>
                <w:rFonts w:ascii="Arial Narrow" w:hAnsi="Arial Narrow" w:cs="Arial Narrow" w:eastAsia="Arial Narrow" w:hint="default"/>
                <w:sz w:val="21"/>
                <w:szCs w:val="21"/>
              </w:rPr>
            </w:pPr>
            <w:r>
              <w:rPr>
                <w:rFonts w:ascii="Arial Narrow"/>
                <w:spacing w:val="-1"/>
                <w:sz w:val="21"/>
              </w:rPr>
              <w:t>519,223.32</w:t>
            </w:r>
            <w:r>
              <w:rPr>
                <w:rFonts w:ascii="Arial Narrow"/>
                <w:sz w:val="21"/>
              </w:rPr>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spacing w:val="-1"/>
                <w:sz w:val="21"/>
              </w:rPr>
              <w:t>0.36</w:t>
            </w:r>
            <w:r>
              <w:rPr>
                <w:rFonts w:ascii="Arial Narrow"/>
                <w:sz w:val="21"/>
              </w:rPr>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spacing w:val="-1"/>
                <w:sz w:val="21"/>
              </w:rPr>
              <w:t>519,223.32</w:t>
            </w:r>
            <w:r>
              <w:rPr>
                <w:rFonts w:ascii="Arial Narrow"/>
                <w:sz w:val="21"/>
              </w:rPr>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0"/>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25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146,169,414.91</w:t>
            </w:r>
            <w:r>
              <w:rPr>
                <w:rFonts w:ascii="Arial Narrow"/>
                <w:sz w:val="21"/>
              </w:rPr>
            </w:r>
          </w:p>
        </w:tc>
        <w:tc>
          <w:tcPr>
            <w:tcW w:w="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25,178,332.90</w:t>
            </w:r>
            <w:r>
              <w:rPr>
                <w:rFonts w:ascii="Arial Narrow"/>
                <w:sz w:val="21"/>
              </w:rPr>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Calibri" w:hAnsi="Calibri" w:cs="Calibri" w:eastAsia="Calibri" w:hint="default"/>
                <w:sz w:val="21"/>
                <w:szCs w:val="21"/>
              </w:rPr>
            </w:pPr>
            <w:r>
              <w:rPr>
                <w:rFonts w:ascii="Calibri"/>
                <w:sz w:val="21"/>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159,076,460.64</w:t>
            </w:r>
            <w:r>
              <w:rPr>
                <w:rFonts w:ascii="Arial Narrow"/>
                <w:sz w:val="21"/>
              </w:rPr>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27,917,396.34</w:t>
            </w:r>
            <w:r>
              <w:rPr>
                <w:rFonts w:ascii="Arial Narrow"/>
                <w:sz w:val="21"/>
              </w:rPr>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r>
    </w:tbl>
    <w:p>
      <w:pPr>
        <w:spacing w:after="0" w:line="240" w:lineRule="auto"/>
        <w:jc w:val="center"/>
        <w:rPr>
          <w:rFonts w:ascii="Calibri" w:hAnsi="Calibri" w:cs="Calibri" w:eastAsia="Calibri" w:hint="default"/>
          <w:sz w:val="21"/>
          <w:szCs w:val="21"/>
        </w:rPr>
        <w:sectPr>
          <w:pgSz w:w="11910" w:h="16840"/>
          <w:pgMar w:header="884" w:footer="1007" w:top="1160" w:bottom="1200" w:left="1240" w:right="1260"/>
        </w:sectPr>
      </w:pPr>
    </w:p>
    <w:p>
      <w:pPr>
        <w:spacing w:line="273" w:lineRule="auto"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应收账款种类的说明：无</w:t>
      </w:r>
      <w:r>
        <w:rPr>
          <w:rFonts w:ascii="宋体" w:hAnsi="宋体" w:cs="宋体" w:eastAsia="宋体" w:hint="default"/>
          <w:w w:val="100"/>
          <w:sz w:val="21"/>
          <w:szCs w:val="21"/>
        </w:rPr>
        <w:t> </w:t>
      </w:r>
      <w:r>
        <w:rPr>
          <w:rFonts w:ascii="宋体" w:hAnsi="宋体" w:cs="宋体" w:eastAsia="宋体" w:hint="default"/>
          <w:spacing w:val="-2"/>
          <w:sz w:val="21"/>
          <w:szCs w:val="21"/>
        </w:rPr>
        <w:t>期末单项金额重大并单项计提坏账准备的应收账款</w:t>
      </w:r>
    </w:p>
    <w:p>
      <w:pPr>
        <w:spacing w:line="247" w:lineRule="auto" w:before="7"/>
        <w:ind w:left="558" w:right="0"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Calibri" w:hAnsi="Calibri" w:cs="Calibri" w:eastAsia="Calibri" w:hint="default"/>
          <w:spacing w:val="8"/>
          <w:sz w:val="21"/>
          <w:szCs w:val="21"/>
        </w:rPr>
        <w:t> </w:t>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组合中，按账龄分析法计提坏账准备的应收账款</w:t>
      </w:r>
    </w:p>
    <w:p>
      <w:pPr>
        <w:spacing w:before="31"/>
        <w:ind w:left="558" w:right="0" w:firstLine="0"/>
        <w:jc w:val="left"/>
        <w:rPr>
          <w:rFonts w:ascii="宋体" w:hAnsi="宋体" w:cs="宋体" w:eastAsia="宋体" w:hint="default"/>
          <w:sz w:val="21"/>
          <w:szCs w:val="21"/>
        </w:rPr>
      </w:pPr>
      <w:r>
        <w:rPr>
          <w:rFonts w:ascii="Calibri" w:hAnsi="Calibri" w:cs="Calibri" w:eastAsia="Calibri"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56"/>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单位：</w:t>
      </w:r>
      <w:r>
        <w:rPr>
          <w:rFonts w:ascii="宋体" w:hAnsi="宋体" w:cs="宋体" w:eastAsia="宋体" w:hint="default"/>
          <w:b/>
          <w:bCs/>
          <w:spacing w:val="-2"/>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440" w:bottom="280" w:left="1240" w:right="1260"/>
          <w:cols w:num="2" w:equalWidth="0">
            <w:col w:w="5184" w:space="2560"/>
            <w:col w:w="1666"/>
          </w:cols>
        </w:sectPr>
      </w:pPr>
    </w:p>
    <w:p>
      <w:pPr>
        <w:spacing w:line="240" w:lineRule="auto" w:before="10"/>
        <w:rPr>
          <w:rFonts w:ascii="宋体" w:hAnsi="宋体" w:cs="宋体" w:eastAsia="宋体" w:hint="default"/>
          <w:b/>
          <w:bCs/>
          <w:sz w:val="3"/>
          <w:szCs w:val="3"/>
        </w:rPr>
      </w:pPr>
    </w:p>
    <w:tbl>
      <w:tblPr>
        <w:tblW w:w="0" w:type="auto"/>
        <w:jc w:val="left"/>
        <w:tblInd w:w="524" w:type="dxa"/>
        <w:tblLayout w:type="fixed"/>
        <w:tblCellMar>
          <w:top w:w="0" w:type="dxa"/>
          <w:left w:w="0" w:type="dxa"/>
          <w:bottom w:w="0" w:type="dxa"/>
          <w:right w:w="0" w:type="dxa"/>
        </w:tblCellMar>
        <w:tblLook w:val="01E0"/>
      </w:tblPr>
      <w:tblGrid>
        <w:gridCol w:w="1341"/>
        <w:gridCol w:w="1458"/>
        <w:gridCol w:w="850"/>
        <w:gridCol w:w="1580"/>
        <w:gridCol w:w="1337"/>
        <w:gridCol w:w="853"/>
        <w:gridCol w:w="1332"/>
      </w:tblGrid>
      <w:tr>
        <w:trPr>
          <w:trHeight w:val="323" w:hRule="exact"/>
        </w:trPr>
        <w:tc>
          <w:tcPr>
            <w:tcW w:w="13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8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5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3" w:hRule="exact"/>
        </w:trPr>
        <w:tc>
          <w:tcPr>
            <w:tcW w:w="1341" w:type="dxa"/>
            <w:vMerge/>
            <w:tcBorders>
              <w:left w:val="single" w:sz="4" w:space="0" w:color="000000"/>
              <w:right w:val="single" w:sz="4" w:space="0" w:color="000000"/>
            </w:tcBorders>
            <w:shd w:val="clear" w:color="auto" w:fill="D2D2D2"/>
          </w:tcPr>
          <w:p>
            <w:pPr/>
          </w:p>
        </w:tc>
        <w:tc>
          <w:tcPr>
            <w:tcW w:w="23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72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0"/>
              <w:ind w:left="36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50"/>
              <w:ind w:left="237"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22" w:hRule="exact"/>
        </w:trPr>
        <w:tc>
          <w:tcPr>
            <w:tcW w:w="1341" w:type="dxa"/>
            <w:vMerge/>
            <w:tcBorders>
              <w:left w:val="single" w:sz="4" w:space="0" w:color="000000"/>
              <w:bottom w:val="single" w:sz="4" w:space="0" w:color="000000"/>
              <w:right w:val="single" w:sz="4" w:space="0" w:color="000000"/>
            </w:tcBorders>
            <w:shd w:val="clear" w:color="auto" w:fill="D2D2D2"/>
          </w:tcPr>
          <w:p>
            <w:pPr/>
          </w:p>
        </w:tc>
        <w:tc>
          <w:tcPr>
            <w:tcW w:w="1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right="63"/>
              <w:jc w:val="right"/>
              <w:rPr>
                <w:rFonts w:ascii="Calibri" w:hAnsi="Calibri" w:cs="Calibri" w:eastAsia="Calibri" w:hint="default"/>
                <w:sz w:val="21"/>
                <w:szCs w:val="21"/>
              </w:rPr>
            </w:pPr>
            <w:r>
              <w:rPr>
                <w:rFonts w:ascii="宋体" w:hAnsi="宋体" w:cs="宋体" w:eastAsia="宋体" w:hint="default"/>
                <w:b/>
                <w:bCs/>
                <w:sz w:val="21"/>
                <w:szCs w:val="21"/>
              </w:rPr>
              <w:t>比例</w:t>
            </w:r>
            <w:r>
              <w:rPr>
                <w:rFonts w:ascii="Calibri" w:hAnsi="Calibri" w:cs="Calibri" w:eastAsia="Calibri" w:hint="default"/>
                <w:b/>
                <w:bCs/>
                <w:sz w:val="21"/>
                <w:szCs w:val="21"/>
              </w:rPr>
              <w:t>(%)</w:t>
            </w:r>
            <w:r>
              <w:rPr>
                <w:rFonts w:ascii="Calibri" w:hAnsi="Calibri" w:cs="Calibri" w:eastAsia="Calibri" w:hint="default"/>
                <w:sz w:val="21"/>
                <w:szCs w:val="21"/>
              </w:rPr>
            </w:r>
          </w:p>
        </w:tc>
        <w:tc>
          <w:tcPr>
            <w:tcW w:w="1580" w:type="dxa"/>
            <w:vMerge/>
            <w:tcBorders>
              <w:left w:val="single" w:sz="4" w:space="0" w:color="000000"/>
              <w:bottom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right="64"/>
              <w:jc w:val="right"/>
              <w:rPr>
                <w:rFonts w:ascii="Calibri" w:hAnsi="Calibri" w:cs="Calibri" w:eastAsia="Calibri" w:hint="default"/>
                <w:sz w:val="21"/>
                <w:szCs w:val="21"/>
              </w:rPr>
            </w:pPr>
            <w:r>
              <w:rPr>
                <w:rFonts w:ascii="宋体" w:hAnsi="宋体" w:cs="宋体" w:eastAsia="宋体" w:hint="default"/>
                <w:b/>
                <w:bCs/>
                <w:sz w:val="21"/>
                <w:szCs w:val="21"/>
              </w:rPr>
              <w:t>比例</w:t>
            </w:r>
            <w:r>
              <w:rPr>
                <w:rFonts w:ascii="Calibri" w:hAnsi="Calibri" w:cs="Calibri" w:eastAsia="Calibri" w:hint="default"/>
                <w:b/>
                <w:bCs/>
                <w:sz w:val="21"/>
                <w:szCs w:val="21"/>
              </w:rPr>
              <w:t>(%)</w:t>
            </w:r>
            <w:r>
              <w:rPr>
                <w:rFonts w:ascii="Calibri" w:hAnsi="Calibri" w:cs="Calibri" w:eastAsia="Calibri" w:hint="default"/>
                <w:sz w:val="21"/>
                <w:szCs w:val="21"/>
              </w:rPr>
            </w:r>
          </w:p>
        </w:tc>
        <w:tc>
          <w:tcPr>
            <w:tcW w:w="1332"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875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r>
      <w:tr>
        <w:trPr>
          <w:trHeight w:val="322" w:hRule="exact"/>
        </w:trPr>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
              <w:jc w:val="center"/>
              <w:rPr>
                <w:rFonts w:ascii="Calibri" w:hAnsi="Calibri" w:cs="Calibri" w:eastAsia="Calibri" w:hint="default"/>
                <w:sz w:val="21"/>
                <w:szCs w:val="21"/>
              </w:rPr>
            </w:pPr>
            <w:r>
              <w:rPr>
                <w:rFonts w:ascii="Calibri"/>
                <w:sz w:val="21"/>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r>
      <w:tr>
        <w:trPr>
          <w:trHeight w:val="322" w:hRule="exact"/>
        </w:trPr>
        <w:tc>
          <w:tcPr>
            <w:tcW w:w="1341"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98,810,966.85</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67.84</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4,940,548.36</w:t>
            </w:r>
            <w:r>
              <w:rPr>
                <w:rFonts w:ascii="Arial Narrow"/>
                <w:sz w:val="21"/>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108,530,953.38</w:t>
            </w:r>
            <w:r>
              <w:rPr>
                <w:rFonts w:ascii="Arial Narrow"/>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68.23</w:t>
            </w:r>
            <w:r>
              <w:rPr>
                <w:rFonts w:ascii="Arial Narrow"/>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5,426,547.70</w:t>
            </w:r>
            <w:r>
              <w:rPr>
                <w:rFonts w:ascii="Arial Narrow"/>
                <w:sz w:val="21"/>
              </w:rPr>
            </w:r>
          </w:p>
        </w:tc>
      </w:tr>
      <w:tr>
        <w:trPr>
          <w:trHeight w:val="324" w:hRule="exact"/>
        </w:trPr>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26,624,480.91</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18.28</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5,324,896.19</w:t>
            </w:r>
            <w:r>
              <w:rPr>
                <w:rFonts w:ascii="Arial Narrow"/>
                <w:sz w:val="21"/>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Arial Narrow" w:hAnsi="Arial Narrow" w:cs="Arial Narrow" w:eastAsia="Arial Narrow" w:hint="default"/>
                <w:sz w:val="21"/>
                <w:szCs w:val="21"/>
              </w:rPr>
            </w:pPr>
            <w:r>
              <w:rPr>
                <w:rFonts w:ascii="Arial Narrow"/>
                <w:spacing w:val="-1"/>
                <w:sz w:val="21"/>
              </w:rPr>
              <w:t>27,097,384.11</w:t>
            </w:r>
            <w:r>
              <w:rPr>
                <w:rFonts w:ascii="Arial Narrow"/>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17.03</w:t>
            </w:r>
            <w:r>
              <w:rPr>
                <w:rFonts w:ascii="Arial Narrow"/>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5,419,476.82</w:t>
            </w:r>
            <w:r>
              <w:rPr>
                <w:rFonts w:ascii="Arial Narrow"/>
                <w:sz w:val="21"/>
              </w:rPr>
            </w:r>
          </w:p>
        </w:tc>
      </w:tr>
      <w:tr>
        <w:trPr>
          <w:trHeight w:val="322" w:hRule="exact"/>
        </w:trPr>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11,642,157.60</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7.99</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5,821,078.80</w:t>
            </w:r>
            <w:r>
              <w:rPr>
                <w:rFonts w:ascii="Arial Narrow"/>
                <w:sz w:val="21"/>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12,753,502.65</w:t>
            </w:r>
            <w:r>
              <w:rPr>
                <w:rFonts w:ascii="Arial Narrow"/>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8.02</w:t>
            </w:r>
            <w:r>
              <w:rPr>
                <w:rFonts w:ascii="Arial Narrow"/>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6,376,751.32</w:t>
            </w:r>
            <w:r>
              <w:rPr>
                <w:rFonts w:ascii="Arial Narrow"/>
                <w:sz w:val="21"/>
              </w:rPr>
            </w:r>
          </w:p>
        </w:tc>
      </w:tr>
      <w:tr>
        <w:trPr>
          <w:trHeight w:val="322" w:hRule="exact"/>
        </w:trPr>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8,572,586.23</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5.89</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8,572,586.23</w:t>
            </w:r>
            <w:r>
              <w:rPr>
                <w:rFonts w:ascii="Arial Narrow"/>
                <w:sz w:val="21"/>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10,694,620.50</w:t>
            </w:r>
            <w:r>
              <w:rPr>
                <w:rFonts w:ascii="Arial Narrow"/>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6.72</w:t>
            </w:r>
            <w:r>
              <w:rPr>
                <w:rFonts w:ascii="Arial Narrow"/>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10,694,620.50</w:t>
            </w:r>
            <w:r>
              <w:rPr>
                <w:rFonts w:ascii="Arial Narrow"/>
                <w:sz w:val="21"/>
              </w:rPr>
            </w:r>
          </w:p>
        </w:tc>
      </w:tr>
      <w:tr>
        <w:trPr>
          <w:trHeight w:val="322" w:hRule="exact"/>
        </w:trPr>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4</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8,572,586.23</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5.89</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8,572,586.23</w:t>
            </w:r>
            <w:r>
              <w:rPr>
                <w:rFonts w:ascii="Arial Narrow"/>
                <w:sz w:val="21"/>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10,694,620.50</w:t>
            </w:r>
            <w:r>
              <w:rPr>
                <w:rFonts w:ascii="Arial Narrow"/>
                <w:sz w:val="21"/>
              </w:rPr>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6.72</w:t>
            </w:r>
            <w:r>
              <w:rPr>
                <w:rFonts w:ascii="Arial Narrow"/>
                <w:sz w:val="21"/>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10,694,620.50</w:t>
            </w:r>
            <w:r>
              <w:rPr>
                <w:rFonts w:ascii="Arial Narrow"/>
                <w:sz w:val="21"/>
              </w:rPr>
            </w:r>
          </w:p>
        </w:tc>
      </w:tr>
      <w:tr>
        <w:trPr>
          <w:trHeight w:val="322" w:hRule="exact"/>
        </w:trPr>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322" w:hRule="exact"/>
        </w:trPr>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23"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0.00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324" w:hRule="exact"/>
        </w:trPr>
        <w:tc>
          <w:tcPr>
            <w:tcW w:w="1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b/>
                <w:spacing w:val="-1"/>
                <w:sz w:val="21"/>
              </w:rPr>
              <w:t>145,650,191.59</w:t>
            </w:r>
            <w:r>
              <w:rPr>
                <w:rFonts w:ascii="Arial Narrow"/>
                <w:sz w:val="21"/>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
              <w:jc w:val="center"/>
              <w:rPr>
                <w:rFonts w:ascii="Calibri" w:hAnsi="Calibri" w:cs="Calibri" w:eastAsia="Calibri" w:hint="default"/>
                <w:sz w:val="21"/>
                <w:szCs w:val="21"/>
              </w:rPr>
            </w:pPr>
            <w:r>
              <w:rPr>
                <w:rFonts w:ascii="Calibri"/>
                <w:sz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b/>
                <w:spacing w:val="-1"/>
                <w:sz w:val="21"/>
              </w:rPr>
              <w:t>24,659,109.58</w:t>
            </w:r>
            <w:r>
              <w:rPr>
                <w:rFonts w:ascii="Arial Narrow"/>
                <w:sz w:val="21"/>
              </w:rPr>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Arial Narrow" w:hAnsi="Arial Narrow" w:cs="Arial Narrow" w:eastAsia="Arial Narrow" w:hint="default"/>
                <w:sz w:val="21"/>
                <w:szCs w:val="21"/>
              </w:rPr>
            </w:pPr>
            <w:r>
              <w:rPr>
                <w:rFonts w:ascii="Arial Narrow"/>
                <w:b/>
                <w:spacing w:val="-1"/>
                <w:sz w:val="21"/>
              </w:rPr>
              <w:t>159,076,460.64</w:t>
            </w:r>
            <w:r>
              <w:rPr>
                <w:rFonts w:ascii="Arial Narrow"/>
                <w:sz w:val="21"/>
              </w:rPr>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
              <w:jc w:val="center"/>
              <w:rPr>
                <w:rFonts w:ascii="Calibri" w:hAnsi="Calibri" w:cs="Calibri" w:eastAsia="Calibri" w:hint="default"/>
                <w:sz w:val="21"/>
                <w:szCs w:val="21"/>
              </w:rPr>
            </w:pPr>
            <w:r>
              <w:rPr>
                <w:rFonts w:ascii="Calibri"/>
                <w:sz w:val="21"/>
              </w:rPr>
              <w:t>--</w:t>
            </w:r>
          </w:p>
        </w:tc>
        <w:tc>
          <w:tcPr>
            <w:tcW w:w="13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b/>
                <w:spacing w:val="-1"/>
                <w:sz w:val="21"/>
              </w:rPr>
              <w:t>27,917,396.34</w:t>
            </w:r>
            <w:r>
              <w:rPr>
                <w:rFonts w:ascii="Arial Narrow"/>
                <w:sz w:val="21"/>
              </w:rPr>
            </w:r>
          </w:p>
        </w:tc>
      </w:tr>
    </w:tbl>
    <w:p>
      <w:pPr>
        <w:spacing w:after="0" w:line="240" w:lineRule="auto"/>
        <w:jc w:val="right"/>
        <w:rPr>
          <w:rFonts w:ascii="Arial Narrow" w:hAnsi="Arial Narrow" w:cs="Arial Narrow" w:eastAsia="Arial Narrow" w:hint="default"/>
          <w:sz w:val="21"/>
          <w:szCs w:val="21"/>
        </w:rPr>
        <w:sectPr>
          <w:type w:val="continuous"/>
          <w:pgSz w:w="11910" w:h="16840"/>
          <w:pgMar w:top="440" w:bottom="280" w:left="1240" w:right="1260"/>
        </w:sectPr>
      </w:pPr>
    </w:p>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组合中，采用余额百分比法计提坏账准备的应收账款</w:t>
      </w:r>
    </w:p>
    <w:p>
      <w:pPr>
        <w:spacing w:line="247" w:lineRule="auto" w:before="37"/>
        <w:ind w:left="558" w:right="0"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组合中，采用其他方法计提坏账准备的应收账款</w:t>
      </w:r>
    </w:p>
    <w:p>
      <w:pPr>
        <w:spacing w:line="247" w:lineRule="auto" w:before="31"/>
        <w:ind w:left="558" w:right="0"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Calibri" w:hAnsi="Calibri" w:cs="Calibri" w:eastAsia="Calibri" w:hint="default"/>
          <w:spacing w:val="8"/>
          <w:sz w:val="21"/>
          <w:szCs w:val="21"/>
        </w:rPr>
        <w:t> </w:t>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期末单项金额虽不重大但单项计提坏账准备的应收账款</w:t>
      </w:r>
    </w:p>
    <w:p>
      <w:pPr>
        <w:spacing w:before="31"/>
        <w:ind w:left="558" w:right="0" w:firstLine="0"/>
        <w:jc w:val="left"/>
        <w:rPr>
          <w:rFonts w:ascii="宋体" w:hAnsi="宋体" w:cs="宋体" w:eastAsia="宋体" w:hint="default"/>
          <w:sz w:val="21"/>
          <w:szCs w:val="21"/>
        </w:rPr>
      </w:pPr>
      <w:r>
        <w:rPr>
          <w:rFonts w:ascii="Calibri" w:hAnsi="Calibri" w:cs="Calibri" w:eastAsia="Calibri"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56"/>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440" w:bottom="280" w:left="1240" w:right="1260"/>
          <w:cols w:num="2" w:equalWidth="0">
            <w:col w:w="5604" w:space="2142"/>
            <w:col w:w="1664"/>
          </w:cols>
        </w:sectPr>
      </w:pP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022"/>
        <w:gridCol w:w="1181"/>
        <w:gridCol w:w="1226"/>
        <w:gridCol w:w="994"/>
        <w:gridCol w:w="4326"/>
      </w:tblGrid>
      <w:tr>
        <w:trPr>
          <w:trHeight w:val="634"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95" w:right="81" w:hanging="212"/>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b/>
                <w:bCs/>
                <w:w w:val="100"/>
                <w:sz w:val="21"/>
                <w:szCs w:val="21"/>
              </w:rPr>
              <w:t> </w:t>
            </w:r>
            <w:r>
              <w:rPr>
                <w:rFonts w:ascii="宋体" w:hAnsi="宋体" w:cs="宋体" w:eastAsia="宋体" w:hint="default"/>
                <w:b/>
                <w:bCs/>
                <w:sz w:val="21"/>
                <w:szCs w:val="21"/>
              </w:rPr>
              <w:t>内容</w:t>
            </w:r>
            <w:r>
              <w:rPr>
                <w:rFonts w:ascii="宋体" w:hAnsi="宋体" w:cs="宋体" w:eastAsia="宋体" w:hint="default"/>
                <w:sz w:val="21"/>
                <w:szCs w:val="21"/>
              </w:rPr>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163"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182"/>
              <w:jc w:val="righ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4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计提理由</w:t>
            </w:r>
            <w:r>
              <w:rPr>
                <w:rFonts w:ascii="宋体" w:hAnsi="宋体" w:cs="宋体" w:eastAsia="宋体" w:hint="default"/>
                <w:sz w:val="21"/>
                <w:szCs w:val="21"/>
              </w:rPr>
            </w:r>
          </w:p>
        </w:tc>
      </w:tr>
      <w:tr>
        <w:trPr>
          <w:trHeight w:val="403"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6" w:right="0"/>
              <w:jc w:val="left"/>
              <w:rPr>
                <w:rFonts w:ascii="宋体" w:hAnsi="宋体" w:cs="宋体" w:eastAsia="宋体" w:hint="default"/>
                <w:sz w:val="21"/>
                <w:szCs w:val="21"/>
              </w:rPr>
            </w:pPr>
            <w:r>
              <w:rPr>
                <w:rFonts w:ascii="宋体" w:hAnsi="宋体" w:cs="宋体" w:eastAsia="宋体" w:hint="default"/>
                <w:sz w:val="21"/>
                <w:szCs w:val="21"/>
              </w:rPr>
              <w:t>老挝国土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5" w:right="0"/>
              <w:jc w:val="left"/>
              <w:rPr>
                <w:rFonts w:ascii="Calibri" w:hAnsi="Calibri" w:cs="Calibri" w:eastAsia="Calibri" w:hint="default"/>
                <w:sz w:val="21"/>
                <w:szCs w:val="21"/>
              </w:rPr>
            </w:pPr>
            <w:r>
              <w:rPr>
                <w:rFonts w:ascii="Calibri"/>
                <w:sz w:val="21"/>
              </w:rPr>
              <w:t>519,223.32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right="129"/>
              <w:jc w:val="right"/>
              <w:rPr>
                <w:rFonts w:ascii="Calibri" w:hAnsi="Calibri" w:cs="Calibri" w:eastAsia="Calibri" w:hint="default"/>
                <w:sz w:val="21"/>
                <w:szCs w:val="21"/>
              </w:rPr>
            </w:pPr>
            <w:r>
              <w:rPr>
                <w:rFonts w:ascii="Calibri"/>
                <w:spacing w:val="-2"/>
                <w:sz w:val="21"/>
              </w:rPr>
              <w:t>519,223.32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96" w:right="0"/>
              <w:jc w:val="left"/>
              <w:rPr>
                <w:rFonts w:ascii="Calibri" w:hAnsi="Calibri" w:cs="Calibri" w:eastAsia="Calibri" w:hint="default"/>
                <w:sz w:val="21"/>
                <w:szCs w:val="21"/>
              </w:rPr>
            </w:pPr>
            <w:r>
              <w:rPr>
                <w:rFonts w:ascii="Calibri"/>
                <w:sz w:val="21"/>
              </w:rPr>
              <w:t>100.00</w:t>
            </w: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本公司之子公司超图国际有限公司于</w:t>
            </w:r>
            <w:r>
              <w:rPr>
                <w:rFonts w:ascii="宋体" w:hAnsi="宋体" w:cs="宋体" w:eastAsia="宋体" w:hint="default"/>
                <w:spacing w:val="-75"/>
                <w:sz w:val="21"/>
                <w:szCs w:val="21"/>
              </w:rPr>
              <w:t> </w:t>
            </w:r>
            <w:r>
              <w:rPr>
                <w:rFonts w:ascii="Calibri" w:hAnsi="Calibri" w:cs="Calibri" w:eastAsia="Calibri" w:hint="default"/>
                <w:sz w:val="21"/>
                <w:szCs w:val="21"/>
              </w:rPr>
              <w:t>2010</w:t>
            </w:r>
            <w:r>
              <w:rPr>
                <w:rFonts w:ascii="Calibri" w:hAnsi="Calibri" w:cs="Calibri" w:eastAsia="Calibri" w:hint="default"/>
                <w:spacing w:val="-15"/>
                <w:sz w:val="21"/>
                <w:szCs w:val="21"/>
              </w:rPr>
              <w:t> </w:t>
            </w:r>
            <w:r>
              <w:rPr>
                <w:rFonts w:ascii="宋体" w:hAnsi="宋体" w:cs="宋体" w:eastAsia="宋体" w:hint="default"/>
                <w:spacing w:val="-3"/>
                <w:sz w:val="21"/>
                <w:szCs w:val="21"/>
              </w:rPr>
              <w:t>年与</w:t>
            </w:r>
            <w:r>
              <w:rPr>
                <w:rFonts w:ascii="宋体" w:hAnsi="宋体" w:cs="宋体" w:eastAsia="宋体" w:hint="default"/>
                <w:sz w:val="21"/>
                <w:szCs w:val="21"/>
              </w:rPr>
            </w:r>
          </w:p>
        </w:tc>
      </w:tr>
    </w:tbl>
    <w:p>
      <w:pPr>
        <w:spacing w:after="0" w:line="240" w:lineRule="auto"/>
        <w:jc w:val="center"/>
        <w:rPr>
          <w:rFonts w:ascii="宋体" w:hAnsi="宋体" w:cs="宋体" w:eastAsia="宋体" w:hint="default"/>
          <w:sz w:val="21"/>
          <w:szCs w:val="21"/>
        </w:rPr>
        <w:sectPr>
          <w:type w:val="continuous"/>
          <w:pgSz w:w="11910" w:h="16840"/>
          <w:pgMar w:top="440" w:bottom="280" w:left="1240" w:right="1260"/>
        </w:sectPr>
      </w:pPr>
    </w:p>
    <w:p>
      <w:pPr>
        <w:spacing w:line="240" w:lineRule="auto" w:before="13"/>
        <w:rPr>
          <w:rFonts w:ascii="宋体" w:hAnsi="宋体" w:cs="宋体" w:eastAsia="宋体" w:hint="default"/>
          <w:sz w:val="19"/>
          <w:szCs w:val="19"/>
        </w:rPr>
      </w:pPr>
    </w:p>
    <w:tbl>
      <w:tblPr>
        <w:tblW w:w="0" w:type="auto"/>
        <w:jc w:val="left"/>
        <w:tblInd w:w="524" w:type="dxa"/>
        <w:tblLayout w:type="fixed"/>
        <w:tblCellMar>
          <w:top w:w="0" w:type="dxa"/>
          <w:left w:w="0" w:type="dxa"/>
          <w:bottom w:w="0" w:type="dxa"/>
          <w:right w:w="0" w:type="dxa"/>
        </w:tblCellMar>
        <w:tblLook w:val="01E0"/>
      </w:tblPr>
      <w:tblGrid>
        <w:gridCol w:w="1022"/>
        <w:gridCol w:w="1181"/>
        <w:gridCol w:w="1226"/>
        <w:gridCol w:w="994"/>
        <w:gridCol w:w="4326"/>
      </w:tblGrid>
      <w:tr>
        <w:trPr>
          <w:trHeight w:val="1860" w:hRule="exact"/>
        </w:trPr>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89" w:right="0"/>
              <w:jc w:val="left"/>
              <w:rPr>
                <w:rFonts w:ascii="宋体" w:hAnsi="宋体" w:cs="宋体" w:eastAsia="宋体" w:hint="default"/>
                <w:sz w:val="21"/>
                <w:szCs w:val="21"/>
              </w:rPr>
            </w:pPr>
            <w:r>
              <w:rPr>
                <w:rFonts w:ascii="宋体" w:hAnsi="宋体" w:cs="宋体" w:eastAsia="宋体" w:hint="default"/>
                <w:sz w:val="21"/>
                <w:szCs w:val="21"/>
              </w:rPr>
              <w:t>资源部</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43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both"/>
              <w:rPr>
                <w:rFonts w:ascii="宋体" w:hAnsi="宋体" w:cs="宋体" w:eastAsia="宋体" w:hint="default"/>
                <w:sz w:val="21"/>
                <w:szCs w:val="21"/>
              </w:rPr>
            </w:pPr>
            <w:r>
              <w:rPr>
                <w:rFonts w:ascii="宋体" w:hAnsi="宋体" w:cs="宋体" w:eastAsia="宋体" w:hint="default"/>
                <w:sz w:val="21"/>
                <w:szCs w:val="21"/>
              </w:rPr>
              <w:t>老挝国土资源部签订一项标的金额为</w:t>
            </w:r>
          </w:p>
          <w:p>
            <w:pPr>
              <w:pStyle w:val="TableParagraph"/>
              <w:spacing w:line="228" w:lineRule="auto" w:before="11"/>
              <w:ind w:left="21" w:right="19"/>
              <w:jc w:val="both"/>
              <w:rPr>
                <w:rFonts w:ascii="宋体" w:hAnsi="宋体" w:cs="宋体" w:eastAsia="宋体" w:hint="default"/>
                <w:sz w:val="21"/>
                <w:szCs w:val="21"/>
              </w:rPr>
            </w:pPr>
            <w:r>
              <w:rPr>
                <w:rFonts w:ascii="Calibri" w:hAnsi="Calibri" w:cs="Calibri" w:eastAsia="Calibri" w:hint="default"/>
                <w:sz w:val="21"/>
                <w:szCs w:val="21"/>
              </w:rPr>
              <w:t>HK$3,200,000.00 </w:t>
            </w:r>
            <w:r>
              <w:rPr>
                <w:rFonts w:ascii="宋体" w:hAnsi="宋体" w:cs="宋体" w:eastAsia="宋体" w:hint="default"/>
                <w:sz w:val="21"/>
                <w:szCs w:val="21"/>
              </w:rPr>
              <w:t>的合同，在实际实施过程中，</w:t>
            </w:r>
            <w:r>
              <w:rPr>
                <w:rFonts w:ascii="宋体" w:hAnsi="宋体" w:cs="宋体" w:eastAsia="宋体" w:hint="default"/>
                <w:w w:val="100"/>
                <w:sz w:val="21"/>
                <w:szCs w:val="21"/>
              </w:rPr>
              <w:t> </w:t>
            </w:r>
            <w:r>
              <w:rPr>
                <w:rFonts w:ascii="宋体" w:hAnsi="宋体" w:cs="宋体" w:eastAsia="宋体" w:hint="default"/>
                <w:sz w:val="21"/>
                <w:szCs w:val="21"/>
              </w:rPr>
              <w:t>由于双方对合同中约定的气球质量产生异议，</w:t>
            </w:r>
            <w:r>
              <w:rPr>
                <w:rFonts w:ascii="宋体" w:hAnsi="宋体" w:cs="宋体" w:eastAsia="宋体" w:hint="default"/>
                <w:w w:val="100"/>
                <w:sz w:val="21"/>
                <w:szCs w:val="21"/>
              </w:rPr>
              <w:t> </w:t>
            </w:r>
            <w:r>
              <w:rPr>
                <w:rFonts w:ascii="宋体" w:hAnsi="宋体" w:cs="宋体" w:eastAsia="宋体" w:hint="default"/>
                <w:sz w:val="21"/>
                <w:szCs w:val="21"/>
              </w:rPr>
              <w:t>至</w:t>
            </w:r>
            <w:r>
              <w:rPr>
                <w:rFonts w:ascii="宋体" w:hAnsi="宋体" w:cs="宋体" w:eastAsia="宋体" w:hint="default"/>
                <w:spacing w:val="-62"/>
                <w:sz w:val="21"/>
                <w:szCs w:val="21"/>
              </w:rPr>
              <w:t> </w:t>
            </w:r>
            <w:r>
              <w:rPr>
                <w:rFonts w:ascii="Calibri" w:hAnsi="Calibri" w:cs="Calibri" w:eastAsia="Calibri" w:hint="default"/>
                <w:sz w:val="21"/>
                <w:szCs w:val="21"/>
              </w:rPr>
              <w:t>2012</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Calibri" w:hAnsi="Calibri" w:cs="Calibri" w:eastAsia="Calibri" w:hint="default"/>
                <w:sz w:val="21"/>
                <w:szCs w:val="21"/>
              </w:rPr>
              <w:t>12</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Calibri" w:hAnsi="Calibri" w:cs="Calibri" w:eastAsia="Calibri" w:hint="default"/>
                <w:sz w:val="21"/>
                <w:szCs w:val="21"/>
              </w:rPr>
              <w:t>31</w:t>
            </w:r>
            <w:r>
              <w:rPr>
                <w:rFonts w:ascii="Calibri" w:hAnsi="Calibri" w:cs="Calibri" w:eastAsia="Calibri" w:hint="default"/>
                <w:spacing w:val="-4"/>
                <w:sz w:val="21"/>
                <w:szCs w:val="21"/>
              </w:rPr>
              <w:t> </w:t>
            </w:r>
            <w:r>
              <w:rPr>
                <w:rFonts w:ascii="宋体" w:hAnsi="宋体" w:cs="宋体" w:eastAsia="宋体" w:hint="default"/>
                <w:sz w:val="21"/>
                <w:szCs w:val="21"/>
              </w:rPr>
              <w:t>日老挝国土资源部仍未支付</w:t>
            </w:r>
            <w:r>
              <w:rPr>
                <w:rFonts w:ascii="宋体" w:hAnsi="宋体" w:cs="宋体" w:eastAsia="宋体" w:hint="default"/>
                <w:w w:val="100"/>
                <w:sz w:val="21"/>
                <w:szCs w:val="21"/>
              </w:rPr>
              <w:t> </w:t>
            </w:r>
            <w:r>
              <w:rPr>
                <w:rFonts w:ascii="宋体" w:hAnsi="宋体" w:cs="宋体" w:eastAsia="宋体" w:hint="default"/>
                <w:sz w:val="21"/>
                <w:szCs w:val="21"/>
              </w:rPr>
              <w:t>该合同余款。由于该款项收回的可能性较小，</w:t>
            </w:r>
            <w:r>
              <w:rPr>
                <w:rFonts w:ascii="宋体" w:hAnsi="宋体" w:cs="宋体" w:eastAsia="宋体" w:hint="default"/>
                <w:w w:val="100"/>
                <w:sz w:val="21"/>
                <w:szCs w:val="21"/>
              </w:rPr>
              <w:t> </w:t>
            </w:r>
            <w:r>
              <w:rPr>
                <w:rFonts w:ascii="宋体" w:hAnsi="宋体" w:cs="宋体" w:eastAsia="宋体" w:hint="default"/>
                <w:sz w:val="21"/>
                <w:szCs w:val="21"/>
              </w:rPr>
              <w:t>在</w:t>
            </w:r>
            <w:r>
              <w:rPr>
                <w:rFonts w:ascii="宋体" w:hAnsi="宋体" w:cs="宋体" w:eastAsia="宋体" w:hint="default"/>
                <w:spacing w:val="-56"/>
                <w:sz w:val="21"/>
                <w:szCs w:val="21"/>
              </w:rPr>
              <w:t> </w:t>
            </w:r>
            <w:r>
              <w:rPr>
                <w:rFonts w:ascii="Calibri" w:hAnsi="Calibri" w:cs="Calibri" w:eastAsia="Calibri" w:hint="default"/>
                <w:sz w:val="21"/>
                <w:szCs w:val="21"/>
              </w:rPr>
              <w:t>2012</w:t>
            </w:r>
            <w:r>
              <w:rPr>
                <w:rFonts w:ascii="Calibri" w:hAnsi="Calibri" w:cs="Calibri" w:eastAsia="Calibri" w:hint="default"/>
                <w:spacing w:val="4"/>
                <w:sz w:val="21"/>
                <w:szCs w:val="21"/>
              </w:rPr>
              <w:t> </w:t>
            </w:r>
            <w:r>
              <w:rPr>
                <w:rFonts w:ascii="宋体" w:hAnsi="宋体" w:cs="宋体" w:eastAsia="宋体" w:hint="default"/>
                <w:sz w:val="21"/>
                <w:szCs w:val="21"/>
              </w:rPr>
              <w:t>年度全额计提坏账准备。</w:t>
            </w:r>
          </w:p>
        </w:tc>
      </w:tr>
      <w:tr>
        <w:trPr>
          <w:trHeight w:val="322" w:hRule="exact"/>
        </w:trPr>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85" w:right="0"/>
              <w:jc w:val="left"/>
              <w:rPr>
                <w:rFonts w:ascii="Arial Narrow" w:hAnsi="Arial Narrow" w:cs="Arial Narrow" w:eastAsia="Arial Narrow" w:hint="default"/>
                <w:sz w:val="21"/>
                <w:szCs w:val="21"/>
              </w:rPr>
            </w:pPr>
            <w:r>
              <w:rPr>
                <w:rFonts w:ascii="Arial Narrow"/>
                <w:sz w:val="21"/>
              </w:rPr>
              <w:t>519,223.32</w:t>
            </w:r>
          </w:p>
        </w:tc>
        <w:tc>
          <w:tcPr>
            <w:tcW w:w="122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33"/>
              <w:ind w:left="331" w:right="0"/>
              <w:jc w:val="left"/>
              <w:rPr>
                <w:rFonts w:ascii="Arial Narrow" w:hAnsi="Arial Narrow" w:cs="Arial Narrow" w:eastAsia="Arial Narrow" w:hint="default"/>
                <w:sz w:val="21"/>
                <w:szCs w:val="21"/>
              </w:rPr>
            </w:pPr>
            <w:r>
              <w:rPr>
                <w:rFonts w:ascii="Arial Narrow"/>
                <w:sz w:val="21"/>
              </w:rPr>
              <w:t>519,223.32</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4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
              <w:jc w:val="center"/>
              <w:rPr>
                <w:rFonts w:ascii="Calibri" w:hAnsi="Calibri" w:cs="Calibri" w:eastAsia="Calibri" w:hint="default"/>
                <w:sz w:val="21"/>
                <w:szCs w:val="21"/>
              </w:rPr>
            </w:pPr>
            <w:r>
              <w:rPr>
                <w:rFonts w:ascii="Calibri"/>
                <w:sz w:val="21"/>
              </w:rPr>
              <w:t>--</w:t>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）本报告期转回或收回的应收账款情况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1997"/>
        <w:gridCol w:w="1563"/>
        <w:gridCol w:w="1714"/>
        <w:gridCol w:w="1741"/>
        <w:gridCol w:w="1711"/>
      </w:tblGrid>
      <w:tr>
        <w:trPr>
          <w:trHeight w:val="161" w:hRule="exact"/>
        </w:trPr>
        <w:tc>
          <w:tcPr>
            <w:tcW w:w="1997" w:type="dxa"/>
            <w:vMerge w:val="restart"/>
            <w:tcBorders>
              <w:top w:val="single" w:sz="4" w:space="0" w:color="000000"/>
              <w:left w:val="single" w:sz="4" w:space="0" w:color="000000"/>
              <w:right w:val="single" w:sz="4" w:space="0" w:color="000000"/>
            </w:tcBorders>
            <w:shd w:val="clear" w:color="auto" w:fill="D2D2D2"/>
          </w:tcPr>
          <w:p>
            <w:pPr/>
          </w:p>
        </w:tc>
        <w:tc>
          <w:tcPr>
            <w:tcW w:w="1563" w:type="dxa"/>
            <w:vMerge w:val="restart"/>
            <w:tcBorders>
              <w:top w:val="single" w:sz="4" w:space="0" w:color="000000"/>
              <w:left w:val="single" w:sz="4" w:space="0" w:color="000000"/>
              <w:right w:val="single" w:sz="4" w:space="0" w:color="000000"/>
            </w:tcBorders>
            <w:shd w:val="clear" w:color="auto" w:fill="D2D2D2"/>
          </w:tcPr>
          <w:p>
            <w:pPr/>
          </w:p>
        </w:tc>
        <w:tc>
          <w:tcPr>
            <w:tcW w:w="17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16" w:right="23"/>
              <w:jc w:val="center"/>
              <w:rPr>
                <w:rFonts w:ascii="宋体" w:hAnsi="宋体" w:cs="宋体" w:eastAsia="宋体" w:hint="default"/>
                <w:sz w:val="21"/>
                <w:szCs w:val="21"/>
              </w:rPr>
            </w:pPr>
            <w:r>
              <w:rPr>
                <w:rFonts w:ascii="宋体" w:hAnsi="宋体" w:cs="宋体" w:eastAsia="宋体" w:hint="default"/>
                <w:b/>
                <w:bCs/>
                <w:sz w:val="21"/>
                <w:szCs w:val="21"/>
              </w:rPr>
              <w:t>转回或收回前累计</w:t>
            </w:r>
            <w:r>
              <w:rPr>
                <w:rFonts w:ascii="宋体" w:hAnsi="宋体" w:cs="宋体" w:eastAsia="宋体" w:hint="default"/>
                <w:b/>
                <w:bCs/>
                <w:w w:val="100"/>
                <w:sz w:val="21"/>
                <w:szCs w:val="21"/>
              </w:rPr>
              <w:t> </w:t>
            </w:r>
            <w:r>
              <w:rPr>
                <w:rFonts w:ascii="宋体" w:hAnsi="宋体" w:cs="宋体" w:eastAsia="宋体" w:hint="default"/>
                <w:b/>
                <w:bCs/>
                <w:sz w:val="21"/>
                <w:szCs w:val="21"/>
              </w:rPr>
              <w:t>已计提坏账准备金</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711"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997" w:type="dxa"/>
            <w:vMerge/>
            <w:tcBorders>
              <w:left w:val="single" w:sz="4" w:space="0" w:color="000000"/>
              <w:bottom w:val="nil" w:sz="6" w:space="0" w:color="auto"/>
              <w:right w:val="single" w:sz="4" w:space="0" w:color="000000"/>
            </w:tcBorders>
            <w:shd w:val="clear" w:color="auto" w:fill="D2D2D2"/>
          </w:tcPr>
          <w:p>
            <w:pPr/>
          </w:p>
        </w:tc>
        <w:tc>
          <w:tcPr>
            <w:tcW w:w="1563" w:type="dxa"/>
            <w:vMerge/>
            <w:tcBorders>
              <w:left w:val="single" w:sz="4" w:space="0" w:color="000000"/>
              <w:bottom w:val="nil" w:sz="6" w:space="0" w:color="auto"/>
              <w:right w:val="single" w:sz="4" w:space="0" w:color="000000"/>
            </w:tcBorders>
            <w:shd w:val="clear" w:color="auto" w:fill="D2D2D2"/>
          </w:tcPr>
          <w:p>
            <w:pPr/>
          </w:p>
        </w:tc>
        <w:tc>
          <w:tcPr>
            <w:tcW w:w="1714"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530" w:right="116" w:hanging="423"/>
              <w:jc w:val="left"/>
              <w:rPr>
                <w:rFonts w:ascii="宋体" w:hAnsi="宋体" w:cs="宋体" w:eastAsia="宋体" w:hint="default"/>
                <w:sz w:val="21"/>
                <w:szCs w:val="21"/>
              </w:rPr>
            </w:pPr>
            <w:r>
              <w:rPr>
                <w:rFonts w:ascii="宋体" w:hAnsi="宋体" w:cs="宋体" w:eastAsia="宋体" w:hint="default"/>
                <w:b/>
                <w:bCs/>
                <w:sz w:val="21"/>
                <w:szCs w:val="21"/>
              </w:rPr>
              <w:t>确定原坏账准备</w:t>
            </w:r>
            <w:r>
              <w:rPr>
                <w:rFonts w:ascii="宋体" w:hAnsi="宋体" w:cs="宋体" w:eastAsia="宋体" w:hint="default"/>
                <w:b/>
                <w:bCs/>
                <w:spacing w:val="-104"/>
                <w:sz w:val="21"/>
                <w:szCs w:val="21"/>
              </w:rPr>
              <w:t> </w:t>
            </w:r>
            <w:r>
              <w:rPr>
                <w:rFonts w:ascii="宋体" w:hAnsi="宋体" w:cs="宋体" w:eastAsia="宋体" w:hint="default"/>
                <w:b/>
                <w:bCs/>
                <w:sz w:val="21"/>
                <w:szCs w:val="21"/>
              </w:rPr>
              <w:t>的依据</w:t>
            </w:r>
            <w:r>
              <w:rPr>
                <w:rFonts w:ascii="宋体" w:hAnsi="宋体" w:cs="宋体" w:eastAsia="宋体" w:hint="default"/>
                <w:sz w:val="21"/>
                <w:szCs w:val="21"/>
              </w:rPr>
            </w:r>
          </w:p>
        </w:tc>
        <w:tc>
          <w:tcPr>
            <w:tcW w:w="1741" w:type="dxa"/>
            <w:vMerge/>
            <w:tcBorders>
              <w:left w:val="single" w:sz="4" w:space="0" w:color="000000"/>
              <w:right w:val="single" w:sz="4" w:space="0" w:color="000000"/>
            </w:tcBorders>
            <w:shd w:val="clear" w:color="auto" w:fill="D2D2D2"/>
          </w:tcPr>
          <w:p>
            <w:pPr/>
          </w:p>
        </w:tc>
        <w:tc>
          <w:tcPr>
            <w:tcW w:w="1711" w:type="dxa"/>
            <w:vMerge/>
            <w:tcBorders>
              <w:left w:val="single" w:sz="4" w:space="0" w:color="000000"/>
              <w:bottom w:val="nil" w:sz="6" w:space="0" w:color="auto"/>
              <w:right w:val="single" w:sz="4" w:space="0" w:color="000000"/>
            </w:tcBorders>
            <w:shd w:val="clear" w:color="auto" w:fill="D2D2D2"/>
          </w:tcPr>
          <w:p>
            <w:pPr/>
          </w:p>
        </w:tc>
      </w:tr>
      <w:tr>
        <w:trPr>
          <w:trHeight w:val="312" w:hRule="exact"/>
        </w:trPr>
        <w:tc>
          <w:tcPr>
            <w:tcW w:w="19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355" w:right="0"/>
              <w:jc w:val="left"/>
              <w:rPr>
                <w:rFonts w:ascii="宋体" w:hAnsi="宋体" w:cs="宋体" w:eastAsia="宋体" w:hint="default"/>
                <w:sz w:val="21"/>
                <w:szCs w:val="21"/>
              </w:rPr>
            </w:pPr>
            <w:r>
              <w:rPr>
                <w:rFonts w:ascii="宋体" w:hAnsi="宋体" w:cs="宋体" w:eastAsia="宋体" w:hint="default"/>
                <w:b/>
                <w:bCs/>
                <w:sz w:val="21"/>
                <w:szCs w:val="21"/>
              </w:rPr>
              <w:t>应收账款内容</w:t>
            </w:r>
            <w:r>
              <w:rPr>
                <w:rFonts w:ascii="宋体" w:hAnsi="宋体" w:cs="宋体" w:eastAsia="宋体" w:hint="default"/>
                <w:sz w:val="21"/>
                <w:szCs w:val="21"/>
              </w:rPr>
            </w:r>
          </w:p>
        </w:tc>
        <w:tc>
          <w:tcPr>
            <w:tcW w:w="15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转回或收回原因</w:t>
            </w:r>
            <w:r>
              <w:rPr>
                <w:rFonts w:ascii="宋体" w:hAnsi="宋体" w:cs="宋体" w:eastAsia="宋体" w:hint="default"/>
                <w:sz w:val="21"/>
                <w:szCs w:val="21"/>
              </w:rPr>
            </w:r>
          </w:p>
        </w:tc>
        <w:tc>
          <w:tcPr>
            <w:tcW w:w="1714" w:type="dxa"/>
            <w:vMerge/>
            <w:tcBorders>
              <w:left w:val="single" w:sz="4" w:space="0" w:color="000000"/>
              <w:right w:val="single" w:sz="4" w:space="0" w:color="000000"/>
            </w:tcBorders>
            <w:shd w:val="clear" w:color="auto" w:fill="D2D2D2"/>
          </w:tcPr>
          <w:p>
            <w:pPr/>
          </w:p>
        </w:tc>
        <w:tc>
          <w:tcPr>
            <w:tcW w:w="1741" w:type="dxa"/>
            <w:vMerge/>
            <w:tcBorders>
              <w:left w:val="single" w:sz="4" w:space="0" w:color="000000"/>
              <w:right w:val="single" w:sz="4" w:space="0" w:color="000000"/>
            </w:tcBorders>
            <w:shd w:val="clear" w:color="auto" w:fill="D2D2D2"/>
          </w:tcPr>
          <w:p>
            <w:pPr/>
          </w:p>
        </w:tc>
        <w:tc>
          <w:tcPr>
            <w:tcW w:w="17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转回或收回金额</w:t>
            </w:r>
            <w:r>
              <w:rPr>
                <w:rFonts w:ascii="宋体" w:hAnsi="宋体" w:cs="宋体" w:eastAsia="宋体" w:hint="default"/>
                <w:sz w:val="21"/>
                <w:szCs w:val="21"/>
              </w:rPr>
            </w:r>
          </w:p>
        </w:tc>
      </w:tr>
      <w:tr>
        <w:trPr>
          <w:trHeight w:val="156" w:hRule="exact"/>
        </w:trPr>
        <w:tc>
          <w:tcPr>
            <w:tcW w:w="1997" w:type="dxa"/>
            <w:vMerge w:val="restart"/>
            <w:tcBorders>
              <w:top w:val="nil" w:sz="6" w:space="0" w:color="auto"/>
              <w:left w:val="single" w:sz="4" w:space="0" w:color="000000"/>
              <w:right w:val="single" w:sz="4" w:space="0" w:color="000000"/>
            </w:tcBorders>
            <w:shd w:val="clear" w:color="auto" w:fill="D2D2D2"/>
          </w:tcPr>
          <w:p>
            <w:pPr/>
          </w:p>
        </w:tc>
        <w:tc>
          <w:tcPr>
            <w:tcW w:w="1563" w:type="dxa"/>
            <w:vMerge w:val="restart"/>
            <w:tcBorders>
              <w:top w:val="nil" w:sz="6" w:space="0" w:color="auto"/>
              <w:left w:val="single" w:sz="4" w:space="0" w:color="000000"/>
              <w:right w:val="single" w:sz="4" w:space="0" w:color="000000"/>
            </w:tcBorders>
            <w:shd w:val="clear" w:color="auto" w:fill="D2D2D2"/>
          </w:tcPr>
          <w:p>
            <w:pPr/>
          </w:p>
        </w:tc>
        <w:tc>
          <w:tcPr>
            <w:tcW w:w="1714" w:type="dxa"/>
            <w:vMerge/>
            <w:tcBorders>
              <w:left w:val="single" w:sz="4" w:space="0" w:color="000000"/>
              <w:bottom w:val="nil" w:sz="6" w:space="0" w:color="auto"/>
              <w:right w:val="single" w:sz="4" w:space="0" w:color="000000"/>
            </w:tcBorders>
            <w:shd w:val="clear" w:color="auto" w:fill="D2D2D2"/>
          </w:tcPr>
          <w:p>
            <w:pPr/>
          </w:p>
        </w:tc>
        <w:tc>
          <w:tcPr>
            <w:tcW w:w="1741" w:type="dxa"/>
            <w:vMerge/>
            <w:tcBorders>
              <w:left w:val="single" w:sz="4" w:space="0" w:color="000000"/>
              <w:right w:val="single" w:sz="4" w:space="0" w:color="000000"/>
            </w:tcBorders>
            <w:shd w:val="clear" w:color="auto" w:fill="D2D2D2"/>
          </w:tcPr>
          <w:p>
            <w:pPr/>
          </w:p>
        </w:tc>
        <w:tc>
          <w:tcPr>
            <w:tcW w:w="171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997" w:type="dxa"/>
            <w:vMerge/>
            <w:tcBorders>
              <w:left w:val="single" w:sz="4" w:space="0" w:color="000000"/>
              <w:bottom w:val="single" w:sz="4" w:space="0" w:color="000000"/>
              <w:right w:val="single" w:sz="4" w:space="0" w:color="000000"/>
            </w:tcBorders>
            <w:shd w:val="clear" w:color="auto" w:fill="D2D2D2"/>
          </w:tcPr>
          <w:p>
            <w:pPr/>
          </w:p>
        </w:tc>
        <w:tc>
          <w:tcPr>
            <w:tcW w:w="1563" w:type="dxa"/>
            <w:vMerge/>
            <w:tcBorders>
              <w:left w:val="single" w:sz="4" w:space="0" w:color="000000"/>
              <w:bottom w:val="single" w:sz="4" w:space="0" w:color="000000"/>
              <w:right w:val="single" w:sz="4" w:space="0" w:color="000000"/>
            </w:tcBorders>
            <w:shd w:val="clear" w:color="auto" w:fill="D2D2D2"/>
          </w:tcPr>
          <w:p>
            <w:pPr/>
          </w:p>
        </w:tc>
        <w:tc>
          <w:tcPr>
            <w:tcW w:w="17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1711"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Calibri" w:hAnsi="Calibri" w:cs="Calibri" w:eastAsia="Calibri" w:hint="default"/>
                <w:sz w:val="21"/>
                <w:szCs w:val="21"/>
              </w:rPr>
            </w:pPr>
            <w:r>
              <w:rPr>
                <w:rFonts w:ascii="Calibri"/>
                <w:sz w:val="21"/>
              </w:rPr>
              <w:t>--</w:t>
            </w:r>
          </w:p>
        </w:tc>
        <w:tc>
          <w:tcPr>
            <w:tcW w:w="1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8"/>
              <w:jc w:val="center"/>
              <w:rPr>
                <w:rFonts w:ascii="Calibri" w:hAnsi="Calibri" w:cs="Calibri" w:eastAsia="Calibri" w:hint="default"/>
                <w:sz w:val="21"/>
                <w:szCs w:val="21"/>
              </w:rPr>
            </w:pPr>
            <w:r>
              <w:rPr>
                <w:rFonts w:ascii="Calibri"/>
                <w:sz w:val="21"/>
              </w:rPr>
              <w:t>--</w:t>
            </w:r>
          </w:p>
        </w:tc>
        <w:tc>
          <w:tcPr>
            <w:tcW w:w="1741"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28"/>
              <w:ind w:right="8"/>
              <w:jc w:val="right"/>
              <w:rPr>
                <w:rFonts w:ascii="Calibri" w:hAnsi="Calibri" w:cs="Calibri" w:eastAsia="Calibri" w:hint="default"/>
                <w:sz w:val="21"/>
                <w:szCs w:val="21"/>
              </w:rPr>
            </w:pPr>
            <w:r>
              <w:rPr>
                <w:rFonts w:ascii="Calibri"/>
                <w:w w:val="100"/>
                <w:sz w:val="21"/>
              </w:rPr>
              <w:t>0</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Calibri" w:hAnsi="Calibri" w:cs="Calibri" w:eastAsia="Calibri" w:hint="default"/>
                <w:sz w:val="21"/>
                <w:szCs w:val="21"/>
              </w:rPr>
            </w:pPr>
            <w:r>
              <w:rPr>
                <w:rFonts w:ascii="Calibri"/>
                <w:sz w:val="21"/>
              </w:rPr>
              <w:t>--</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期末单项金额重大或虽不重大但单独进行减值测试的应收账款坏账准备计提</w:t>
      </w:r>
    </w:p>
    <w:p>
      <w:pPr>
        <w:spacing w:before="37"/>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1726"/>
        <w:gridCol w:w="1765"/>
        <w:gridCol w:w="1760"/>
        <w:gridCol w:w="1738"/>
        <w:gridCol w:w="1738"/>
      </w:tblGrid>
      <w:tr>
        <w:trPr>
          <w:trHeight w:val="324"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5" w:right="0"/>
              <w:jc w:val="left"/>
              <w:rPr>
                <w:rFonts w:ascii="宋体" w:hAnsi="宋体" w:cs="宋体" w:eastAsia="宋体" w:hint="default"/>
                <w:sz w:val="21"/>
                <w:szCs w:val="21"/>
              </w:rPr>
            </w:pPr>
            <w:r>
              <w:rPr>
                <w:rFonts w:ascii="宋体" w:hAnsi="宋体" w:cs="宋体" w:eastAsia="宋体" w:hint="default"/>
                <w:b/>
                <w:bCs/>
                <w:sz w:val="21"/>
                <w:szCs w:val="21"/>
              </w:rPr>
              <w:t>应收账款内容</w:t>
            </w:r>
            <w:r>
              <w:rPr>
                <w:rFonts w:ascii="宋体" w:hAnsi="宋体" w:cs="宋体" w:eastAsia="宋体" w:hint="default"/>
                <w:sz w:val="21"/>
                <w:szCs w:val="21"/>
              </w:rPr>
            </w:r>
          </w:p>
        </w:tc>
        <w:tc>
          <w:tcPr>
            <w:tcW w:w="1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61"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7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46" w:right="0"/>
              <w:jc w:val="left"/>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right="1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 w:right="0"/>
              <w:jc w:val="center"/>
              <w:rPr>
                <w:rFonts w:ascii="宋体" w:hAnsi="宋体" w:cs="宋体" w:eastAsia="宋体" w:hint="default"/>
                <w:sz w:val="21"/>
                <w:szCs w:val="21"/>
              </w:rPr>
            </w:pPr>
            <w:r>
              <w:rPr>
                <w:rFonts w:ascii="宋体" w:hAnsi="宋体" w:cs="宋体" w:eastAsia="宋体" w:hint="default"/>
                <w:b/>
                <w:bCs/>
                <w:sz w:val="21"/>
                <w:szCs w:val="21"/>
              </w:rPr>
              <w:t>理由</w:t>
            </w:r>
            <w:r>
              <w:rPr>
                <w:rFonts w:ascii="宋体" w:hAnsi="宋体" w:cs="宋体" w:eastAsia="宋体" w:hint="default"/>
                <w:sz w:val="21"/>
                <w:szCs w:val="21"/>
              </w:rPr>
            </w:r>
          </w:p>
        </w:tc>
      </w:tr>
      <w:tr>
        <w:trPr>
          <w:trHeight w:val="322" w:hRule="exact"/>
        </w:trPr>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176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right="25"/>
              <w:jc w:val="right"/>
              <w:rPr>
                <w:rFonts w:ascii="Calibri" w:hAnsi="Calibri" w:cs="Calibri" w:eastAsia="Calibri" w:hint="default"/>
                <w:sz w:val="21"/>
                <w:szCs w:val="21"/>
              </w:rPr>
            </w:pPr>
            <w:r>
              <w:rPr>
                <w:rFonts w:ascii="Calibri"/>
                <w:w w:val="100"/>
                <w:sz w:val="21"/>
              </w:rPr>
              <w:t>0</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Calibri" w:hAnsi="Calibri" w:cs="Calibri" w:eastAsia="Calibri" w:hint="default"/>
                <w:sz w:val="21"/>
                <w:szCs w:val="21"/>
              </w:rPr>
            </w:pPr>
            <w:r>
              <w:rPr>
                <w:rFonts w:ascii="Calibri"/>
                <w:sz w:val="21"/>
              </w:rPr>
              <w:t>--</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Calibri" w:hAnsi="Calibri" w:cs="Calibri" w:eastAsia="Calibri" w:hint="default"/>
                <w:sz w:val="21"/>
                <w:szCs w:val="21"/>
              </w:rPr>
            </w:pPr>
            <w:r>
              <w:rPr>
                <w:rFonts w:ascii="Calibri"/>
                <w:sz w:val="21"/>
              </w:rPr>
              <w:t>--</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单项金额不重大但按信用风险特征组合后该组合的风险较大的应收账款的说明</w:t>
      </w:r>
    </w:p>
    <w:p>
      <w:pPr>
        <w:spacing w:line="240" w:lineRule="auto" w:before="10"/>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462"/>
        <w:gridCol w:w="1457"/>
        <w:gridCol w:w="1459"/>
        <w:gridCol w:w="1457"/>
        <w:gridCol w:w="1468"/>
        <w:gridCol w:w="1434"/>
      </w:tblGrid>
      <w:tr>
        <w:trPr>
          <w:trHeight w:val="162" w:hRule="exact"/>
        </w:trPr>
        <w:tc>
          <w:tcPr>
            <w:tcW w:w="14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394" w:right="77" w:hanging="317"/>
              <w:jc w:val="left"/>
              <w:rPr>
                <w:rFonts w:ascii="宋体" w:hAnsi="宋体" w:cs="宋体" w:eastAsia="宋体" w:hint="default"/>
                <w:sz w:val="21"/>
                <w:szCs w:val="21"/>
              </w:rPr>
            </w:pPr>
            <w:r>
              <w:rPr>
                <w:rFonts w:ascii="宋体" w:hAnsi="宋体" w:cs="宋体" w:eastAsia="宋体" w:hint="default"/>
                <w:b/>
                <w:bCs/>
                <w:sz w:val="21"/>
                <w:szCs w:val="21"/>
              </w:rPr>
              <w:t>是否因关联交</w:t>
            </w:r>
            <w:r>
              <w:rPr>
                <w:rFonts w:ascii="宋体" w:hAnsi="宋体" w:cs="宋体" w:eastAsia="宋体" w:hint="default"/>
                <w:b/>
                <w:bCs/>
                <w:spacing w:val="-104"/>
                <w:sz w:val="21"/>
                <w:szCs w:val="21"/>
              </w:rPr>
              <w:t> </w:t>
            </w:r>
            <w:r>
              <w:rPr>
                <w:rFonts w:ascii="宋体" w:hAnsi="宋体" w:cs="宋体" w:eastAsia="宋体" w:hint="default"/>
                <w:b/>
                <w:bCs/>
                <w:sz w:val="21"/>
                <w:szCs w:val="21"/>
              </w:rPr>
              <w:t>易产生</w:t>
            </w:r>
            <w:r>
              <w:rPr>
                <w:rFonts w:ascii="宋体" w:hAnsi="宋体" w:cs="宋体" w:eastAsia="宋体" w:hint="default"/>
                <w:sz w:val="21"/>
                <w:szCs w:val="21"/>
              </w:rPr>
            </w:r>
          </w:p>
        </w:tc>
      </w:tr>
      <w:tr>
        <w:trPr>
          <w:trHeight w:val="312" w:hRule="exact"/>
        </w:trPr>
        <w:tc>
          <w:tcPr>
            <w:tcW w:w="14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4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应收账款性质</w:t>
            </w:r>
            <w:r>
              <w:rPr>
                <w:rFonts w:ascii="宋体" w:hAnsi="宋体" w:cs="宋体" w:eastAsia="宋体" w:hint="default"/>
                <w:sz w:val="21"/>
                <w:szCs w:val="21"/>
              </w:rPr>
            </w:r>
          </w:p>
        </w:tc>
        <w:tc>
          <w:tcPr>
            <w:tcW w:w="14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核销时间</w:t>
            </w:r>
            <w:r>
              <w:rPr>
                <w:rFonts w:ascii="宋体" w:hAnsi="宋体" w:cs="宋体" w:eastAsia="宋体" w:hint="default"/>
                <w:sz w:val="21"/>
                <w:szCs w:val="21"/>
              </w:rPr>
            </w:r>
          </w:p>
        </w:tc>
        <w:tc>
          <w:tcPr>
            <w:tcW w:w="14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300" w:right="0"/>
              <w:jc w:val="left"/>
              <w:rPr>
                <w:rFonts w:ascii="宋体" w:hAnsi="宋体" w:cs="宋体" w:eastAsia="宋体" w:hint="default"/>
                <w:sz w:val="21"/>
                <w:szCs w:val="21"/>
              </w:rPr>
            </w:pPr>
            <w:r>
              <w:rPr>
                <w:rFonts w:ascii="宋体" w:hAnsi="宋体" w:cs="宋体" w:eastAsia="宋体" w:hint="default"/>
                <w:b/>
                <w:bCs/>
                <w:sz w:val="21"/>
                <w:szCs w:val="21"/>
              </w:rPr>
              <w:t>核销金额</w:t>
            </w:r>
            <w:r>
              <w:rPr>
                <w:rFonts w:ascii="宋体" w:hAnsi="宋体" w:cs="宋体" w:eastAsia="宋体" w:hint="default"/>
                <w:sz w:val="21"/>
                <w:szCs w:val="21"/>
              </w:rPr>
            </w:r>
          </w:p>
        </w:tc>
        <w:tc>
          <w:tcPr>
            <w:tcW w:w="14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11"/>
              <w:jc w:val="center"/>
              <w:rPr>
                <w:rFonts w:ascii="宋体" w:hAnsi="宋体" w:cs="宋体" w:eastAsia="宋体" w:hint="default"/>
                <w:sz w:val="21"/>
                <w:szCs w:val="21"/>
              </w:rPr>
            </w:pPr>
            <w:r>
              <w:rPr>
                <w:rFonts w:ascii="宋体" w:hAnsi="宋体" w:cs="宋体" w:eastAsia="宋体" w:hint="default"/>
                <w:b/>
                <w:bCs/>
                <w:sz w:val="21"/>
                <w:szCs w:val="21"/>
              </w:rPr>
              <w:t>核销原因</w:t>
            </w:r>
            <w:r>
              <w:rPr>
                <w:rFonts w:ascii="宋体" w:hAnsi="宋体" w:cs="宋体" w:eastAsia="宋体" w:hint="default"/>
                <w:sz w:val="21"/>
                <w:szCs w:val="21"/>
              </w:rPr>
            </w:r>
          </w:p>
        </w:tc>
        <w:tc>
          <w:tcPr>
            <w:tcW w:w="1434" w:type="dxa"/>
            <w:vMerge/>
            <w:tcBorders>
              <w:left w:val="single" w:sz="4" w:space="0" w:color="000000"/>
              <w:right w:val="single" w:sz="4" w:space="0" w:color="000000"/>
            </w:tcBorders>
            <w:shd w:val="clear" w:color="auto" w:fill="D2D2D2"/>
          </w:tcPr>
          <w:p>
            <w:pPr/>
          </w:p>
        </w:tc>
      </w:tr>
      <w:tr>
        <w:trPr>
          <w:trHeight w:val="156" w:hRule="exact"/>
        </w:trPr>
        <w:tc>
          <w:tcPr>
            <w:tcW w:w="14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4" w:type="dxa"/>
            <w:vMerge/>
            <w:tcBorders>
              <w:left w:val="single" w:sz="4" w:space="0" w:color="000000"/>
              <w:bottom w:val="single" w:sz="4" w:space="0" w:color="000000"/>
              <w:right w:val="single" w:sz="4" w:space="0" w:color="000000"/>
            </w:tcBorders>
            <w:shd w:val="clear" w:color="auto" w:fill="D2D2D2"/>
          </w:tcPr>
          <w:p>
            <w:pPr/>
          </w:p>
        </w:tc>
      </w:tr>
      <w:tr>
        <w:trPr>
          <w:trHeight w:val="326"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
              <w:jc w:val="center"/>
              <w:rPr>
                <w:rFonts w:ascii="Calibri" w:hAnsi="Calibri" w:cs="Calibri" w:eastAsia="Calibri" w:hint="default"/>
                <w:sz w:val="21"/>
                <w:szCs w:val="21"/>
              </w:rPr>
            </w:pPr>
            <w:r>
              <w:rPr>
                <w:rFonts w:ascii="Calibri"/>
                <w:sz w:val="21"/>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Calibri" w:hAnsi="Calibri" w:cs="Calibri" w:eastAsia="Calibri" w:hint="default"/>
                <w:sz w:val="21"/>
                <w:szCs w:val="21"/>
              </w:rPr>
            </w:pPr>
            <w:r>
              <w:rPr>
                <w:rFonts w:ascii="Calibri"/>
                <w:sz w:val="21"/>
              </w:rPr>
              <w:t>--</w:t>
            </w:r>
          </w:p>
        </w:tc>
        <w:tc>
          <w:tcPr>
            <w:tcW w:w="145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33"/>
              <w:ind w:right="14"/>
              <w:jc w:val="right"/>
              <w:rPr>
                <w:rFonts w:ascii="Calibri" w:hAnsi="Calibri" w:cs="Calibri" w:eastAsia="Calibri" w:hint="default"/>
                <w:sz w:val="21"/>
                <w:szCs w:val="21"/>
              </w:rPr>
            </w:pPr>
            <w:r>
              <w:rPr>
                <w:rFonts w:ascii="Calibri"/>
                <w:w w:val="100"/>
                <w:sz w:val="21"/>
              </w:rPr>
              <w:t>0</w:t>
            </w: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1"/>
              <w:jc w:val="center"/>
              <w:rPr>
                <w:rFonts w:ascii="Calibri" w:hAnsi="Calibri" w:cs="Calibri" w:eastAsia="Calibri" w:hint="default"/>
                <w:sz w:val="21"/>
                <w:szCs w:val="21"/>
              </w:rPr>
            </w:pPr>
            <w:r>
              <w:rPr>
                <w:rFonts w:ascii="Calibri"/>
                <w:sz w:val="21"/>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
              <w:jc w:val="center"/>
              <w:rPr>
                <w:rFonts w:ascii="Calibri" w:hAnsi="Calibri" w:cs="Calibri" w:eastAsia="Calibri" w:hint="default"/>
                <w:sz w:val="21"/>
                <w:szCs w:val="21"/>
              </w:rPr>
            </w:pPr>
            <w:r>
              <w:rPr>
                <w:rFonts w:ascii="Calibri"/>
                <w:sz w:val="21"/>
              </w:rPr>
              <w:t>--</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应收账款核销说明：无</w:t>
      </w:r>
    </w:p>
    <w:p>
      <w:pPr>
        <w:spacing w:line="240" w:lineRule="auto" w:before="10"/>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）本报告期应收账款中持有公司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434"/>
        <w:gridCol w:w="1579"/>
        <w:gridCol w:w="1457"/>
        <w:gridCol w:w="1702"/>
        <w:gridCol w:w="1577"/>
      </w:tblGrid>
      <w:tr>
        <w:trPr>
          <w:trHeight w:val="323" w:hRule="exact"/>
        </w:trPr>
        <w:tc>
          <w:tcPr>
            <w:tcW w:w="24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9"/>
              <w:ind w:left="789"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30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2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2434" w:type="dxa"/>
            <w:vMerge/>
            <w:tcBorders>
              <w:left w:val="single" w:sz="4" w:space="0" w:color="000000"/>
              <w:bottom w:val="single" w:sz="4" w:space="0" w:color="000000"/>
              <w:right w:val="single" w:sz="4" w:space="0" w:color="000000"/>
            </w:tcBorders>
            <w:shd w:val="clear" w:color="auto" w:fill="D2D2D2"/>
          </w:tcPr>
          <w:p>
            <w:pP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8" w:right="0"/>
              <w:jc w:val="left"/>
              <w:rPr>
                <w:rFonts w:ascii="宋体" w:hAnsi="宋体" w:cs="宋体" w:eastAsia="宋体" w:hint="default"/>
                <w:sz w:val="21"/>
                <w:szCs w:val="21"/>
              </w:rPr>
            </w:pPr>
            <w:r>
              <w:rPr>
                <w:rFonts w:ascii="宋体" w:hAnsi="宋体" w:cs="宋体" w:eastAsia="宋体" w:hint="default"/>
                <w:b/>
                <w:bCs/>
                <w:sz w:val="21"/>
                <w:szCs w:val="21"/>
              </w:rPr>
              <w:t>计提坏账金额</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51" w:right="0"/>
              <w:jc w:val="left"/>
              <w:rPr>
                <w:rFonts w:ascii="宋体" w:hAnsi="宋体" w:cs="宋体" w:eastAsia="宋体" w:hint="default"/>
                <w:sz w:val="21"/>
                <w:szCs w:val="21"/>
              </w:rPr>
            </w:pPr>
            <w:r>
              <w:rPr>
                <w:rFonts w:ascii="宋体" w:hAnsi="宋体" w:cs="宋体" w:eastAsia="宋体" w:hint="default"/>
                <w:b/>
                <w:bCs/>
                <w:sz w:val="21"/>
                <w:szCs w:val="21"/>
              </w:rPr>
              <w:t>计提坏账金额</w:t>
            </w:r>
            <w:r>
              <w:rPr>
                <w:rFonts w:ascii="宋体" w:hAnsi="宋体" w:cs="宋体" w:eastAsia="宋体" w:hint="default"/>
                <w:sz w:val="21"/>
                <w:szCs w:val="21"/>
              </w:rPr>
            </w:r>
          </w:p>
        </w:tc>
      </w:tr>
      <w:tr>
        <w:trPr>
          <w:trHeight w:val="634" w:hRule="exact"/>
        </w:trPr>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84"/>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源研究所</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673,053.15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33,652.66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1,791,253.15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1,167,041.35</w:t>
            </w:r>
          </w:p>
        </w:tc>
      </w:tr>
      <w:tr>
        <w:trPr>
          <w:trHeight w:val="322" w:hRule="exact"/>
        </w:trPr>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673,053.15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33,652.66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1,791,253.15</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1,167,041.35</w:t>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752"/>
        <w:gridCol w:w="1750"/>
        <w:gridCol w:w="1748"/>
        <w:gridCol w:w="1750"/>
        <w:gridCol w:w="1738"/>
      </w:tblGrid>
      <w:tr>
        <w:trPr>
          <w:trHeight w:val="634"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2"/>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年限</w:t>
            </w:r>
            <w:r>
              <w:rPr>
                <w:rFonts w:ascii="宋体" w:hAnsi="宋体" w:cs="宋体" w:eastAsia="宋体" w:hint="default"/>
                <w:sz w:val="21"/>
                <w:szCs w:val="21"/>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16" w:right="10" w:hanging="491"/>
              <w:jc w:val="left"/>
              <w:rPr>
                <w:rFonts w:ascii="Calibri" w:hAnsi="Calibri" w:cs="Calibri" w:eastAsia="Calibri" w:hint="default"/>
                <w:sz w:val="21"/>
                <w:szCs w:val="21"/>
              </w:rPr>
            </w:pPr>
            <w:r>
              <w:rPr>
                <w:rFonts w:ascii="宋体" w:hAnsi="宋体" w:cs="宋体" w:eastAsia="宋体" w:hint="default"/>
                <w:b/>
                <w:bCs/>
                <w:sz w:val="21"/>
                <w:szCs w:val="21"/>
              </w:rPr>
              <w:t>占应收账款总额的</w:t>
            </w:r>
            <w:r>
              <w:rPr>
                <w:rFonts w:ascii="宋体" w:hAnsi="宋体" w:cs="宋体" w:eastAsia="宋体" w:hint="default"/>
                <w:b/>
                <w:bCs/>
                <w:spacing w:val="-103"/>
                <w:sz w:val="21"/>
                <w:szCs w:val="21"/>
              </w:rPr>
              <w:t> </w:t>
            </w:r>
            <w:r>
              <w:rPr>
                <w:rFonts w:ascii="宋体" w:hAnsi="宋体" w:cs="宋体" w:eastAsia="宋体" w:hint="default"/>
                <w:b/>
                <w:bCs/>
                <w:sz w:val="21"/>
                <w:szCs w:val="21"/>
              </w:rPr>
              <w:t>比例</w:t>
            </w:r>
            <w:r>
              <w:rPr>
                <w:rFonts w:ascii="Calibri" w:hAnsi="Calibri" w:cs="Calibri" w:eastAsia="Calibri" w:hint="default"/>
                <w:b/>
                <w:bCs/>
                <w:sz w:val="21"/>
                <w:szCs w:val="21"/>
              </w:rPr>
              <w:t>(%)</w:t>
            </w:r>
            <w:r>
              <w:rPr>
                <w:rFonts w:ascii="Calibri" w:hAnsi="Calibri" w:cs="Calibri" w:eastAsia="Calibri" w:hint="default"/>
                <w:sz w:val="21"/>
                <w:szCs w:val="21"/>
              </w:rPr>
            </w:r>
          </w:p>
        </w:tc>
      </w:tr>
      <w:tr>
        <w:trPr>
          <w:trHeight w:val="322"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马鞍山市城市管理</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94" w:right="0"/>
              <w:jc w:val="left"/>
              <w:rPr>
                <w:rFonts w:ascii="Calibri" w:hAnsi="Calibri" w:cs="Calibri" w:eastAsia="Calibri" w:hint="default"/>
                <w:sz w:val="21"/>
                <w:szCs w:val="21"/>
              </w:rPr>
            </w:pPr>
            <w:r>
              <w:rPr>
                <w:rFonts w:ascii="Calibri"/>
                <w:sz w:val="21"/>
              </w:rPr>
              <w:t>10,214,984.70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8"/>
              <w:jc w:val="right"/>
              <w:rPr>
                <w:rFonts w:ascii="Calibri" w:hAnsi="Calibri" w:cs="Calibri" w:eastAsia="Calibri" w:hint="default"/>
                <w:sz w:val="21"/>
                <w:szCs w:val="21"/>
              </w:rPr>
            </w:pPr>
            <w:r>
              <w:rPr>
                <w:rFonts w:ascii="Calibri"/>
                <w:spacing w:val="-1"/>
                <w:sz w:val="21"/>
              </w:rPr>
              <w:t>6.99</w:t>
            </w:r>
          </w:p>
        </w:tc>
      </w:tr>
    </w:tbl>
    <w:p>
      <w:pPr>
        <w:spacing w:after="0" w:line="240" w:lineRule="auto"/>
        <w:jc w:val="right"/>
        <w:rPr>
          <w:rFonts w:ascii="Calibri" w:hAnsi="Calibri" w:cs="Calibri" w:eastAsia="Calibri" w:hint="default"/>
          <w:sz w:val="21"/>
          <w:szCs w:val="21"/>
        </w:rPr>
        <w:sectPr>
          <w:pgSz w:w="11910" w:h="16840"/>
          <w:pgMar w:header="884" w:footer="1007" w:top="1160" w:bottom="1200" w:left="1240" w:right="1260"/>
        </w:sectPr>
      </w:pPr>
    </w:p>
    <w:p>
      <w:pPr>
        <w:spacing w:line="240" w:lineRule="auto" w:before="13"/>
        <w:rPr>
          <w:rFonts w:ascii="宋体" w:hAnsi="宋体" w:cs="宋体" w:eastAsia="宋体" w:hint="default"/>
          <w:sz w:val="19"/>
          <w:szCs w:val="19"/>
        </w:rPr>
      </w:pPr>
    </w:p>
    <w:tbl>
      <w:tblPr>
        <w:tblW w:w="0" w:type="auto"/>
        <w:jc w:val="left"/>
        <w:tblInd w:w="524" w:type="dxa"/>
        <w:tblLayout w:type="fixed"/>
        <w:tblCellMar>
          <w:top w:w="0" w:type="dxa"/>
          <w:left w:w="0" w:type="dxa"/>
          <w:bottom w:w="0" w:type="dxa"/>
          <w:right w:w="0" w:type="dxa"/>
        </w:tblCellMar>
        <w:tblLook w:val="01E0"/>
      </w:tblPr>
      <w:tblGrid>
        <w:gridCol w:w="1752"/>
        <w:gridCol w:w="1750"/>
        <w:gridCol w:w="1748"/>
        <w:gridCol w:w="1750"/>
        <w:gridCol w:w="1750"/>
      </w:tblGrid>
      <w:tr>
        <w:trPr>
          <w:trHeight w:val="322"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行政执法局</w:t>
            </w:r>
          </w:p>
        </w:tc>
        <w:tc>
          <w:tcPr>
            <w:tcW w:w="1750"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3"/>
              <w:jc w:val="left"/>
              <w:rPr>
                <w:rFonts w:ascii="宋体" w:hAnsi="宋体" w:cs="宋体" w:eastAsia="宋体" w:hint="default"/>
                <w:sz w:val="21"/>
                <w:szCs w:val="21"/>
              </w:rPr>
            </w:pPr>
            <w:r>
              <w:rPr>
                <w:rFonts w:ascii="宋体" w:hAnsi="宋体" w:cs="宋体" w:eastAsia="宋体" w:hint="default"/>
                <w:sz w:val="21"/>
                <w:szCs w:val="21"/>
              </w:rPr>
              <w:t>中关村科技园区管</w:t>
            </w:r>
            <w:r>
              <w:rPr>
                <w:rFonts w:ascii="宋体" w:hAnsi="宋体" w:cs="宋体" w:eastAsia="宋体" w:hint="default"/>
                <w:w w:val="100"/>
                <w:sz w:val="21"/>
                <w:szCs w:val="21"/>
              </w:rPr>
              <w:t> </w:t>
            </w:r>
            <w:r>
              <w:rPr>
                <w:rFonts w:ascii="宋体" w:hAnsi="宋体" w:cs="宋体" w:eastAsia="宋体" w:hint="default"/>
                <w:sz w:val="21"/>
                <w:szCs w:val="21"/>
              </w:rPr>
              <w:t>理委员会</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6,465,600.00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4.42</w:t>
            </w:r>
          </w:p>
        </w:tc>
      </w:tr>
      <w:tr>
        <w:trPr>
          <w:trHeight w:val="63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3"/>
              <w:jc w:val="left"/>
              <w:rPr>
                <w:rFonts w:ascii="宋体" w:hAnsi="宋体" w:cs="宋体" w:eastAsia="宋体" w:hint="default"/>
                <w:sz w:val="21"/>
                <w:szCs w:val="21"/>
              </w:rPr>
            </w:pPr>
            <w:r>
              <w:rPr>
                <w:rFonts w:ascii="宋体" w:hAnsi="宋体" w:cs="宋体" w:eastAsia="宋体" w:hint="default"/>
                <w:sz w:val="21"/>
                <w:szCs w:val="21"/>
              </w:rPr>
              <w:t>中关村科技园区管</w:t>
            </w:r>
            <w:r>
              <w:rPr>
                <w:rFonts w:ascii="宋体" w:hAnsi="宋体" w:cs="宋体" w:eastAsia="宋体" w:hint="default"/>
                <w:w w:val="100"/>
                <w:sz w:val="21"/>
                <w:szCs w:val="21"/>
              </w:rPr>
              <w:t> </w:t>
            </w:r>
            <w:r>
              <w:rPr>
                <w:rFonts w:ascii="宋体" w:hAnsi="宋体" w:cs="宋体" w:eastAsia="宋体" w:hint="default"/>
                <w:sz w:val="21"/>
                <w:szCs w:val="21"/>
              </w:rPr>
              <w:t>理委员会</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2,055,450.00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1.41</w:t>
            </w:r>
          </w:p>
        </w:tc>
      </w:tr>
      <w:tr>
        <w:trPr>
          <w:trHeight w:val="636"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3"/>
              <w:jc w:val="left"/>
              <w:rPr>
                <w:rFonts w:ascii="宋体" w:hAnsi="宋体" w:cs="宋体" w:eastAsia="宋体" w:hint="default"/>
                <w:sz w:val="21"/>
                <w:szCs w:val="21"/>
              </w:rPr>
            </w:pPr>
            <w:r>
              <w:rPr>
                <w:rFonts w:ascii="宋体" w:hAnsi="宋体" w:cs="宋体" w:eastAsia="宋体" w:hint="default"/>
                <w:sz w:val="21"/>
                <w:szCs w:val="21"/>
              </w:rPr>
              <w:t>西安浐灞生态区管</w:t>
            </w:r>
            <w:r>
              <w:rPr>
                <w:rFonts w:ascii="宋体" w:hAnsi="宋体" w:cs="宋体" w:eastAsia="宋体" w:hint="default"/>
                <w:w w:val="100"/>
                <w:sz w:val="21"/>
                <w:szCs w:val="21"/>
              </w:rPr>
              <w:t> </w:t>
            </w:r>
            <w:r>
              <w:rPr>
                <w:rFonts w:ascii="宋体" w:hAnsi="宋体" w:cs="宋体" w:eastAsia="宋体" w:hint="default"/>
                <w:sz w:val="21"/>
                <w:szCs w:val="21"/>
              </w:rPr>
              <w:t>理委员会</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1,798,720.00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1.23</w:t>
            </w:r>
          </w:p>
        </w:tc>
      </w:tr>
      <w:tr>
        <w:trPr>
          <w:trHeight w:val="63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3"/>
              <w:jc w:val="left"/>
              <w:rPr>
                <w:rFonts w:ascii="宋体" w:hAnsi="宋体" w:cs="宋体" w:eastAsia="宋体" w:hint="default"/>
                <w:sz w:val="21"/>
                <w:szCs w:val="21"/>
              </w:rPr>
            </w:pPr>
            <w:r>
              <w:rPr>
                <w:rFonts w:ascii="宋体" w:hAnsi="宋体" w:cs="宋体" w:eastAsia="宋体" w:hint="default"/>
                <w:sz w:val="21"/>
                <w:szCs w:val="21"/>
              </w:rPr>
              <w:t>西安浐灞生态区管</w:t>
            </w:r>
            <w:r>
              <w:rPr>
                <w:rFonts w:ascii="宋体" w:hAnsi="宋体" w:cs="宋体" w:eastAsia="宋体" w:hint="default"/>
                <w:w w:val="100"/>
                <w:sz w:val="21"/>
                <w:szCs w:val="21"/>
              </w:rPr>
              <w:t> </w:t>
            </w:r>
            <w:r>
              <w:rPr>
                <w:rFonts w:ascii="宋体" w:hAnsi="宋体" w:cs="宋体" w:eastAsia="宋体" w:hint="default"/>
                <w:sz w:val="21"/>
                <w:szCs w:val="21"/>
              </w:rPr>
              <w:t>理委员会</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3,597,440.00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2.46</w:t>
            </w:r>
          </w:p>
        </w:tc>
      </w:tr>
      <w:tr>
        <w:trPr>
          <w:trHeight w:val="63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3"/>
              <w:jc w:val="left"/>
              <w:rPr>
                <w:rFonts w:ascii="宋体" w:hAnsi="宋体" w:cs="宋体" w:eastAsia="宋体" w:hint="default"/>
                <w:sz w:val="21"/>
                <w:szCs w:val="21"/>
              </w:rPr>
            </w:pPr>
            <w:r>
              <w:rPr>
                <w:rFonts w:ascii="宋体" w:hAnsi="宋体" w:cs="宋体" w:eastAsia="宋体" w:hint="default"/>
                <w:sz w:val="21"/>
                <w:szCs w:val="21"/>
              </w:rPr>
              <w:t>中科软科技股份有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2"/>
                <w:sz w:val="21"/>
              </w:rPr>
              <w:t>1,871,920.00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1.28</w:t>
            </w:r>
          </w:p>
        </w:tc>
      </w:tr>
      <w:tr>
        <w:trPr>
          <w:trHeight w:val="634" w:hRule="exact"/>
        </w:trPr>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33"/>
              <w:jc w:val="left"/>
              <w:rPr>
                <w:rFonts w:ascii="宋体" w:hAnsi="宋体" w:cs="宋体" w:eastAsia="宋体" w:hint="default"/>
                <w:sz w:val="21"/>
                <w:szCs w:val="21"/>
              </w:rPr>
            </w:pPr>
            <w:r>
              <w:rPr>
                <w:rFonts w:ascii="宋体" w:hAnsi="宋体" w:cs="宋体" w:eastAsia="宋体" w:hint="default"/>
                <w:sz w:val="21"/>
                <w:szCs w:val="21"/>
              </w:rPr>
              <w:t>中科软科技股份有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2,727,100.00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1.87</w:t>
            </w:r>
          </w:p>
        </w:tc>
      </w:tr>
      <w:tr>
        <w:trPr>
          <w:trHeight w:val="322" w:hRule="exact"/>
        </w:trPr>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Calibri" w:hAnsi="Calibri" w:cs="Calibri" w:eastAsia="Calibri" w:hint="default"/>
                <w:sz w:val="21"/>
                <w:szCs w:val="21"/>
              </w:rPr>
            </w:pPr>
            <w:r>
              <w:rPr>
                <w:rFonts w:ascii="Calibri"/>
                <w:sz w:val="21"/>
              </w:rPr>
              <w:t>--</w:t>
            </w:r>
          </w:p>
        </w:tc>
        <w:tc>
          <w:tcPr>
            <w:tcW w:w="17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32,415,964.70</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22.18</w:t>
            </w:r>
          </w:p>
        </w:tc>
      </w:tr>
    </w:tbl>
    <w:p>
      <w:pPr>
        <w:spacing w:line="289"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Calibri" w:hAnsi="Calibri" w:cs="Calibri" w:eastAsia="Calibri" w:hint="default"/>
          <w:sz w:val="21"/>
          <w:szCs w:val="21"/>
        </w:rPr>
        <w:t>“</w:t>
      </w:r>
      <w:r>
        <w:rPr>
          <w:rFonts w:ascii="宋体" w:hAnsi="宋体" w:cs="宋体" w:eastAsia="宋体" w:hint="default"/>
          <w:sz w:val="21"/>
          <w:szCs w:val="21"/>
        </w:rPr>
        <w:t>单位名称</w:t>
      </w:r>
      <w:r>
        <w:rPr>
          <w:rFonts w:ascii="Calibri" w:hAnsi="Calibri" w:cs="Calibri" w:eastAsia="Calibri" w:hint="default"/>
          <w:sz w:val="21"/>
          <w:szCs w:val="21"/>
        </w:rPr>
        <w:t>”</w:t>
      </w:r>
      <w:r>
        <w:rPr>
          <w:rFonts w:ascii="宋体" w:hAnsi="宋体" w:cs="宋体" w:eastAsia="宋体" w:hint="default"/>
          <w:sz w:val="21"/>
          <w:szCs w:val="21"/>
        </w:rPr>
        <w:t>和</w:t>
      </w:r>
      <w:r>
        <w:rPr>
          <w:rFonts w:ascii="Calibri" w:hAnsi="Calibri" w:cs="Calibri" w:eastAsia="Calibri" w:hint="default"/>
          <w:sz w:val="21"/>
          <w:szCs w:val="21"/>
        </w:rPr>
        <w:t>“</w:t>
      </w:r>
      <w:r>
        <w:rPr>
          <w:rFonts w:ascii="宋体" w:hAnsi="宋体" w:cs="宋体" w:eastAsia="宋体" w:hint="default"/>
          <w:sz w:val="21"/>
          <w:szCs w:val="21"/>
        </w:rPr>
        <w:t>与本公司关系</w:t>
      </w:r>
      <w:r>
        <w:rPr>
          <w:rFonts w:ascii="Calibri" w:hAnsi="Calibri" w:cs="Calibri" w:eastAsia="Calibri" w:hint="default"/>
          <w:sz w:val="21"/>
          <w:szCs w:val="21"/>
        </w:rPr>
        <w:t>”</w:t>
      </w:r>
      <w:r>
        <w:rPr>
          <w:rFonts w:ascii="宋体" w:hAnsi="宋体" w:cs="宋体" w:eastAsia="宋体" w:hint="default"/>
          <w:sz w:val="21"/>
          <w:szCs w:val="21"/>
        </w:rPr>
        <w:t>公司根据实际需要填写。</w:t>
      </w:r>
    </w:p>
    <w:p>
      <w:pPr>
        <w:spacing w:line="240" w:lineRule="auto" w:before="9"/>
        <w:rPr>
          <w:rFonts w:ascii="宋体" w:hAnsi="宋体" w:cs="宋体" w:eastAsia="宋体" w:hint="default"/>
          <w:sz w:val="23"/>
          <w:szCs w:val="23"/>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）应收关联方账款情况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2069"/>
        <w:gridCol w:w="2222"/>
        <w:gridCol w:w="2223"/>
        <w:gridCol w:w="2211"/>
      </w:tblGrid>
      <w:tr>
        <w:trPr>
          <w:trHeight w:val="161" w:hRule="exact"/>
        </w:trPr>
        <w:tc>
          <w:tcPr>
            <w:tcW w:w="2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2"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11"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13" w:right="0"/>
              <w:jc w:val="center"/>
              <w:rPr>
                <w:rFonts w:ascii="宋体" w:hAnsi="宋体" w:cs="宋体" w:eastAsia="宋体" w:hint="default"/>
                <w:sz w:val="21"/>
                <w:szCs w:val="21"/>
              </w:rPr>
            </w:pPr>
            <w:r>
              <w:rPr>
                <w:rFonts w:ascii="宋体" w:hAnsi="宋体" w:cs="宋体" w:eastAsia="宋体" w:hint="default"/>
                <w:b/>
                <w:bCs/>
                <w:sz w:val="21"/>
                <w:szCs w:val="21"/>
              </w:rPr>
              <w:t>占应收账款总额的比例</w:t>
            </w:r>
            <w:r>
              <w:rPr>
                <w:rFonts w:ascii="宋体" w:hAnsi="宋体" w:cs="宋体" w:eastAsia="宋体" w:hint="default"/>
                <w:sz w:val="21"/>
                <w:szCs w:val="21"/>
              </w:rPr>
            </w:r>
          </w:p>
          <w:p>
            <w:pPr>
              <w:pStyle w:val="TableParagraph"/>
              <w:spacing w:line="240" w:lineRule="auto" w:before="77"/>
              <w:ind w:left="14" w:right="0"/>
              <w:jc w:val="center"/>
              <w:rPr>
                <w:rFonts w:ascii="Calibri" w:hAnsi="Calibri" w:cs="Calibri" w:eastAsia="Calibri" w:hint="default"/>
                <w:sz w:val="21"/>
                <w:szCs w:val="21"/>
              </w:rPr>
            </w:pPr>
            <w:r>
              <w:rPr>
                <w:rFonts w:ascii="Calibri"/>
                <w:b/>
                <w:sz w:val="21"/>
              </w:rPr>
              <w:t>(%)</w:t>
            </w:r>
            <w:r>
              <w:rPr>
                <w:rFonts w:ascii="Calibri"/>
                <w:sz w:val="21"/>
              </w:rPr>
            </w:r>
          </w:p>
        </w:tc>
      </w:tr>
      <w:tr>
        <w:trPr>
          <w:trHeight w:val="312" w:hRule="exact"/>
        </w:trPr>
        <w:tc>
          <w:tcPr>
            <w:tcW w:w="2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602"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2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22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211" w:type="dxa"/>
            <w:vMerge/>
            <w:tcBorders>
              <w:left w:val="single" w:sz="4" w:space="0" w:color="000000"/>
              <w:right w:val="single" w:sz="4" w:space="0" w:color="000000"/>
            </w:tcBorders>
            <w:shd w:val="clear" w:color="auto" w:fill="D2D2D2"/>
          </w:tcPr>
          <w:p>
            <w:pPr/>
          </w:p>
        </w:tc>
      </w:tr>
      <w:tr>
        <w:trPr>
          <w:trHeight w:val="161" w:hRule="exact"/>
        </w:trPr>
        <w:tc>
          <w:tcPr>
            <w:tcW w:w="2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22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2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11"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22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
              <w:jc w:val="right"/>
              <w:rPr>
                <w:rFonts w:ascii="Calibri" w:hAnsi="Calibri" w:cs="Calibri" w:eastAsia="Calibri" w:hint="default"/>
                <w:sz w:val="21"/>
                <w:szCs w:val="21"/>
              </w:rPr>
            </w:pPr>
            <w:r>
              <w:rPr>
                <w:rFonts w:ascii="Calibri"/>
                <w:spacing w:val="-1"/>
                <w:sz w:val="21"/>
              </w:rPr>
              <w:t>0.00</w:t>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）终止确认的应收款项情况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722"/>
        <w:gridCol w:w="2746"/>
        <w:gridCol w:w="3281"/>
      </w:tblGrid>
      <w:tr>
        <w:trPr>
          <w:trHeight w:val="322" w:hRule="exact"/>
        </w:trPr>
        <w:tc>
          <w:tcPr>
            <w:tcW w:w="2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41" w:right="0"/>
              <w:jc w:val="left"/>
              <w:rPr>
                <w:rFonts w:ascii="宋体" w:hAnsi="宋体" w:cs="宋体" w:eastAsia="宋体" w:hint="default"/>
                <w:sz w:val="21"/>
                <w:szCs w:val="21"/>
              </w:rPr>
            </w:pPr>
            <w:r>
              <w:rPr>
                <w:rFonts w:ascii="宋体" w:hAnsi="宋体" w:cs="宋体" w:eastAsia="宋体" w:hint="default"/>
                <w:b/>
                <w:bCs/>
                <w:sz w:val="21"/>
                <w:szCs w:val="21"/>
              </w:rPr>
              <w:t>终止确认金额</w:t>
            </w:r>
            <w:r>
              <w:rPr>
                <w:rFonts w:ascii="宋体" w:hAnsi="宋体" w:cs="宋体" w:eastAsia="宋体" w:hint="default"/>
                <w:sz w:val="21"/>
                <w:szCs w:val="21"/>
              </w:rPr>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与终止确认相关的利得或损失</w:t>
            </w:r>
            <w:r>
              <w:rPr>
                <w:rFonts w:ascii="宋体" w:hAnsi="宋体" w:cs="宋体" w:eastAsia="宋体" w:hint="default"/>
                <w:sz w:val="21"/>
                <w:szCs w:val="21"/>
              </w:rPr>
            </w:r>
          </w:p>
        </w:tc>
      </w:tr>
      <w:tr>
        <w:trPr>
          <w:trHeight w:val="324" w:hRule="exact"/>
        </w:trPr>
        <w:tc>
          <w:tcPr>
            <w:tcW w:w="2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）以应收款项为标的进行证券化的，列示继续涉入形成的资产、负债的金额</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3506"/>
        <w:gridCol w:w="5231"/>
      </w:tblGrid>
      <w:tr>
        <w:trPr>
          <w:trHeight w:val="326" w:hRule="exact"/>
        </w:trPr>
        <w:tc>
          <w:tcPr>
            <w:tcW w:w="3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5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12" w:hRule="exact"/>
        </w:trPr>
        <w:tc>
          <w:tcPr>
            <w:tcW w:w="87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w:t>
            </w:r>
          </w:p>
        </w:tc>
      </w:tr>
      <w:tr>
        <w:trPr>
          <w:trHeight w:val="334" w:hRule="exact"/>
        </w:trPr>
        <w:tc>
          <w:tcPr>
            <w:tcW w:w="3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资产小计</w:t>
            </w:r>
          </w:p>
        </w:tc>
        <w:tc>
          <w:tcPr>
            <w:tcW w:w="5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18"/>
              <w:jc w:val="right"/>
              <w:rPr>
                <w:rFonts w:ascii="Calibri" w:hAnsi="Calibri" w:cs="Calibri" w:eastAsia="Calibri" w:hint="default"/>
                <w:sz w:val="21"/>
                <w:szCs w:val="21"/>
              </w:rPr>
            </w:pPr>
            <w:r>
              <w:rPr>
                <w:rFonts w:ascii="Calibri"/>
                <w:w w:val="100"/>
                <w:sz w:val="21"/>
              </w:rPr>
              <w:t>0</w:t>
            </w:r>
          </w:p>
        </w:tc>
      </w:tr>
      <w:tr>
        <w:trPr>
          <w:trHeight w:val="312" w:hRule="exact"/>
        </w:trPr>
        <w:tc>
          <w:tcPr>
            <w:tcW w:w="87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w:t>
            </w:r>
          </w:p>
        </w:tc>
      </w:tr>
      <w:tr>
        <w:trPr>
          <w:trHeight w:val="326" w:hRule="exact"/>
        </w:trPr>
        <w:tc>
          <w:tcPr>
            <w:tcW w:w="35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负债小计</w:t>
            </w:r>
          </w:p>
        </w:tc>
        <w:tc>
          <w:tcPr>
            <w:tcW w:w="5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8"/>
              <w:jc w:val="right"/>
              <w:rPr>
                <w:rFonts w:ascii="Calibri" w:hAnsi="Calibri" w:cs="Calibri" w:eastAsia="Calibri" w:hint="default"/>
                <w:sz w:val="21"/>
                <w:szCs w:val="21"/>
              </w:rPr>
            </w:pPr>
            <w:r>
              <w:rPr>
                <w:rFonts w:ascii="Calibri"/>
                <w:w w:val="100"/>
                <w:sz w:val="21"/>
              </w:rPr>
              <w:t>0</w:t>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661"/>
        <w:gridCol w:w="3512"/>
        <w:gridCol w:w="3565"/>
      </w:tblGrid>
      <w:tr>
        <w:trPr>
          <w:trHeight w:val="322" w:hRule="exact"/>
        </w:trPr>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3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bl>
    <w:p>
      <w:pPr>
        <w:spacing w:after="0" w:line="262" w:lineRule="exact"/>
        <w:jc w:val="center"/>
        <w:rPr>
          <w:rFonts w:ascii="宋体" w:hAnsi="宋体" w:cs="宋体" w:eastAsia="宋体" w:hint="default"/>
          <w:sz w:val="21"/>
          <w:szCs w:val="21"/>
        </w:rPr>
        <w:sectPr>
          <w:pgSz w:w="11910" w:h="16840"/>
          <w:pgMar w:header="884" w:footer="1007" w:top="1160" w:bottom="1200" w:left="1240" w:right="1260"/>
        </w:sectPr>
      </w:pPr>
    </w:p>
    <w:p>
      <w:pPr>
        <w:spacing w:line="240" w:lineRule="auto" w:before="13"/>
        <w:rPr>
          <w:rFonts w:ascii="宋体" w:hAnsi="宋体" w:cs="宋体" w:eastAsia="宋体" w:hint="default"/>
          <w:sz w:val="19"/>
          <w:szCs w:val="19"/>
        </w:rPr>
      </w:pPr>
    </w:p>
    <w:tbl>
      <w:tblPr>
        <w:tblW w:w="0" w:type="auto"/>
        <w:jc w:val="left"/>
        <w:tblInd w:w="524" w:type="dxa"/>
        <w:tblLayout w:type="fixed"/>
        <w:tblCellMar>
          <w:top w:w="0" w:type="dxa"/>
          <w:left w:w="0" w:type="dxa"/>
          <w:bottom w:w="0" w:type="dxa"/>
          <w:right w:w="0" w:type="dxa"/>
        </w:tblCellMar>
        <w:tblLook w:val="01E0"/>
      </w:tblPr>
      <w:tblGrid>
        <w:gridCol w:w="1654"/>
        <w:gridCol w:w="1164"/>
        <w:gridCol w:w="643"/>
        <w:gridCol w:w="1063"/>
        <w:gridCol w:w="648"/>
        <w:gridCol w:w="1157"/>
        <w:gridCol w:w="768"/>
        <w:gridCol w:w="1064"/>
        <w:gridCol w:w="588"/>
      </w:tblGrid>
      <w:tr>
        <w:trPr>
          <w:trHeight w:val="322" w:hRule="exact"/>
        </w:trPr>
        <w:tc>
          <w:tcPr>
            <w:tcW w:w="1654" w:type="dxa"/>
            <w:vMerge w:val="restart"/>
            <w:tcBorders>
              <w:top w:val="single" w:sz="4" w:space="0" w:color="000000"/>
              <w:left w:val="single" w:sz="4" w:space="0" w:color="000000"/>
              <w:right w:val="single" w:sz="4" w:space="0" w:color="000000"/>
            </w:tcBorders>
            <w:shd w:val="clear" w:color="auto" w:fill="D2D2D2"/>
          </w:tcPr>
          <w:p>
            <w:pPr/>
          </w:p>
        </w:tc>
        <w:tc>
          <w:tcPr>
            <w:tcW w:w="18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79"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7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29"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9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53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6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398"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161" w:hRule="exact"/>
        </w:trPr>
        <w:tc>
          <w:tcPr>
            <w:tcW w:w="1654" w:type="dxa"/>
            <w:vMerge/>
            <w:tcBorders>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3"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72" w:right="0"/>
              <w:jc w:val="left"/>
              <w:rPr>
                <w:rFonts w:ascii="Calibri" w:hAnsi="Calibri" w:cs="Calibri" w:eastAsia="Calibri" w:hint="default"/>
                <w:sz w:val="21"/>
                <w:szCs w:val="21"/>
              </w:rPr>
            </w:pPr>
            <w:r>
              <w:rPr>
                <w:rFonts w:ascii="Calibri"/>
                <w:b/>
                <w:sz w:val="21"/>
              </w:rPr>
              <w:t>(%)</w:t>
            </w:r>
            <w:r>
              <w:rPr>
                <w:rFonts w:ascii="Calibri"/>
                <w:sz w:val="21"/>
              </w:rPr>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75" w:right="0"/>
              <w:jc w:val="left"/>
              <w:rPr>
                <w:rFonts w:ascii="Calibri" w:hAnsi="Calibri" w:cs="Calibri" w:eastAsia="Calibri" w:hint="default"/>
                <w:sz w:val="21"/>
                <w:szCs w:val="21"/>
              </w:rPr>
            </w:pPr>
            <w:r>
              <w:rPr>
                <w:rFonts w:ascii="Calibri"/>
                <w:b/>
                <w:sz w:val="21"/>
              </w:rPr>
              <w:t>(%)</w:t>
            </w:r>
            <w:r>
              <w:rPr>
                <w:rFonts w:ascii="Calibri"/>
                <w:sz w:val="21"/>
              </w:rPr>
            </w:r>
          </w:p>
        </w:tc>
        <w:tc>
          <w:tcPr>
            <w:tcW w:w="1157" w:type="dxa"/>
            <w:tcBorders>
              <w:top w:val="single" w:sz="4" w:space="0" w:color="000000"/>
              <w:left w:val="single" w:sz="4" w:space="0" w:color="000000"/>
              <w:bottom w:val="nil" w:sz="6" w:space="0" w:color="auto"/>
              <w:right w:val="single" w:sz="4" w:space="0" w:color="000000"/>
            </w:tcBorders>
            <w:shd w:val="clear" w:color="auto" w:fill="D2D2D2"/>
          </w:tcPr>
          <w:p>
            <w:pPr/>
          </w:p>
        </w:tc>
        <w:tc>
          <w:tcPr>
            <w:tcW w:w="7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76"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46" w:right="0"/>
              <w:jc w:val="left"/>
              <w:rPr>
                <w:rFonts w:ascii="Calibri" w:hAnsi="Calibri" w:cs="Calibri" w:eastAsia="Calibri" w:hint="default"/>
                <w:sz w:val="21"/>
                <w:szCs w:val="21"/>
              </w:rPr>
            </w:pPr>
            <w:r>
              <w:rPr>
                <w:rFonts w:ascii="Calibri"/>
                <w:b/>
                <w:sz w:val="21"/>
              </w:rPr>
              <w:t>(%)</w:t>
            </w:r>
            <w:r>
              <w:rPr>
                <w:rFonts w:ascii="Calibri"/>
                <w:sz w:val="21"/>
              </w:rPr>
            </w:r>
          </w:p>
        </w:tc>
      </w:tr>
      <w:tr>
        <w:trPr>
          <w:trHeight w:val="312" w:hRule="exact"/>
        </w:trPr>
        <w:tc>
          <w:tcPr>
            <w:tcW w:w="1654" w:type="dxa"/>
            <w:vMerge/>
            <w:tcBorders>
              <w:left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366"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643" w:type="dxa"/>
            <w:vMerge/>
            <w:tcBorders>
              <w:left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648" w:type="dxa"/>
            <w:vMerge/>
            <w:tcBorders>
              <w:left w:val="single" w:sz="4" w:space="0" w:color="000000"/>
              <w:right w:val="single" w:sz="4" w:space="0" w:color="000000"/>
            </w:tcBorders>
            <w:shd w:val="clear" w:color="auto" w:fill="D2D2D2"/>
          </w:tcPr>
          <w:p>
            <w:pPr/>
          </w:p>
        </w:tc>
        <w:tc>
          <w:tcPr>
            <w:tcW w:w="11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360"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7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89" w:lineRule="exact"/>
              <w:ind w:right="23"/>
              <w:jc w:val="right"/>
              <w:rPr>
                <w:rFonts w:ascii="Calibri" w:hAnsi="Calibri" w:cs="Calibri" w:eastAsia="Calibri" w:hint="default"/>
                <w:sz w:val="21"/>
                <w:szCs w:val="21"/>
              </w:rPr>
            </w:pPr>
            <w:r>
              <w:rPr>
                <w:rFonts w:ascii="宋体" w:hAnsi="宋体" w:cs="宋体" w:eastAsia="宋体" w:hint="default"/>
                <w:b/>
                <w:bCs/>
                <w:sz w:val="21"/>
                <w:szCs w:val="21"/>
              </w:rPr>
              <w:t>比例</w:t>
            </w:r>
            <w:r>
              <w:rPr>
                <w:rFonts w:ascii="Calibri" w:hAnsi="Calibri" w:cs="Calibri" w:eastAsia="Calibri" w:hint="default"/>
                <w:b/>
                <w:bCs/>
                <w:sz w:val="21"/>
                <w:szCs w:val="21"/>
              </w:rPr>
              <w:t>(%)</w:t>
            </w:r>
            <w:r>
              <w:rPr>
                <w:rFonts w:ascii="Calibri" w:hAnsi="Calibri" w:cs="Calibri" w:eastAsia="Calibri" w:hint="default"/>
                <w:sz w:val="21"/>
                <w:szCs w:val="21"/>
              </w:rPr>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312"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588" w:type="dxa"/>
            <w:vMerge/>
            <w:tcBorders>
              <w:left w:val="single" w:sz="4" w:space="0" w:color="000000"/>
              <w:right w:val="single" w:sz="4" w:space="0" w:color="000000"/>
            </w:tcBorders>
            <w:shd w:val="clear" w:color="auto" w:fill="D2D2D2"/>
          </w:tcPr>
          <w:p>
            <w:pPr/>
          </w:p>
        </w:tc>
      </w:tr>
      <w:tr>
        <w:trPr>
          <w:trHeight w:val="161" w:hRule="exact"/>
        </w:trPr>
        <w:tc>
          <w:tcPr>
            <w:tcW w:w="1654"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43"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c>
          <w:tcPr>
            <w:tcW w:w="1157" w:type="dxa"/>
            <w:tcBorders>
              <w:top w:val="nil" w:sz="6" w:space="0" w:color="auto"/>
              <w:left w:val="single" w:sz="4" w:space="0" w:color="000000"/>
              <w:bottom w:val="single" w:sz="4" w:space="0" w:color="000000"/>
              <w:right w:val="single" w:sz="4" w:space="0" w:color="000000"/>
            </w:tcBorders>
            <w:shd w:val="clear" w:color="auto" w:fill="D2D2D2"/>
          </w:tcPr>
          <w:p>
            <w:pPr/>
          </w:p>
        </w:tc>
        <w:tc>
          <w:tcPr>
            <w:tcW w:w="7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r>
      <w:tr>
        <w:trPr>
          <w:trHeight w:val="947"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144"/>
              <w:jc w:val="both"/>
              <w:rPr>
                <w:rFonts w:ascii="宋体" w:hAnsi="宋体" w:cs="宋体" w:eastAsia="宋体" w:hint="default"/>
                <w:sz w:val="21"/>
                <w:szCs w:val="21"/>
              </w:rPr>
            </w:pPr>
            <w:r>
              <w:rPr>
                <w:rFonts w:ascii="宋体" w:hAnsi="宋体" w:cs="宋体" w:eastAsia="宋体" w:hint="default"/>
                <w:sz w:val="21"/>
                <w:szCs w:val="21"/>
              </w:rPr>
              <w:t>单项金额重大并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单项计提坏账准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备的其他应收款</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r>
      <w:tr>
        <w:trPr>
          <w:trHeight w:val="323" w:hRule="exact"/>
        </w:trPr>
        <w:tc>
          <w:tcPr>
            <w:tcW w:w="875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r>
      <w:tr>
        <w:trPr>
          <w:trHeight w:val="322" w:hRule="exact"/>
        </w:trPr>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19,902,665.78</w:t>
            </w:r>
            <w:r>
              <w:rPr>
                <w:rFonts w:ascii="Arial Narrow"/>
                <w:sz w:val="21"/>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6,220,588.64</w:t>
            </w:r>
            <w:r>
              <w:rPr>
                <w:rFonts w:ascii="Arial Narrow"/>
                <w:sz w:val="21"/>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Arial Narrow" w:hAnsi="Arial Narrow" w:cs="Arial Narrow" w:eastAsia="Arial Narrow" w:hint="default"/>
                <w:sz w:val="21"/>
                <w:szCs w:val="21"/>
              </w:rPr>
            </w:pPr>
            <w:r>
              <w:rPr>
                <w:rFonts w:ascii="Arial Narrow"/>
                <w:spacing w:val="-1"/>
                <w:sz w:val="21"/>
              </w:rPr>
              <w:t>31.26</w:t>
            </w:r>
            <w:r>
              <w:rPr>
                <w:rFonts w:ascii="Arial Narrow"/>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17,108,912.91</w:t>
            </w:r>
            <w:r>
              <w:rPr>
                <w:rFonts w:ascii="Arial Narrow"/>
                <w:sz w:val="21"/>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4,882,406.36</w:t>
            </w:r>
            <w:r>
              <w:rPr>
                <w:rFonts w:ascii="Arial Narrow"/>
                <w:sz w:val="21"/>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28.54</w:t>
            </w:r>
            <w:r>
              <w:rPr>
                <w:rFonts w:ascii="Arial Narrow"/>
                <w:sz w:val="21"/>
              </w:rPr>
            </w:r>
          </w:p>
        </w:tc>
      </w:tr>
      <w:tr>
        <w:trPr>
          <w:trHeight w:val="322"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19,902,665.78</w:t>
            </w:r>
            <w:r>
              <w:rPr>
                <w:rFonts w:ascii="Arial Narrow"/>
                <w:sz w:val="21"/>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6,220,588.64</w:t>
            </w:r>
            <w:r>
              <w:rPr>
                <w:rFonts w:ascii="Arial Narrow"/>
                <w:sz w:val="21"/>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Arial Narrow" w:hAnsi="Arial Narrow" w:cs="Arial Narrow" w:eastAsia="Arial Narrow" w:hint="default"/>
                <w:sz w:val="21"/>
                <w:szCs w:val="21"/>
              </w:rPr>
            </w:pPr>
            <w:r>
              <w:rPr>
                <w:rFonts w:ascii="Arial Narrow"/>
                <w:spacing w:val="-1"/>
                <w:sz w:val="21"/>
              </w:rPr>
              <w:t>31.26</w:t>
            </w:r>
            <w:r>
              <w:rPr>
                <w:rFonts w:ascii="Arial Narrow"/>
                <w:sz w:val="21"/>
              </w:rPr>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17,108,912.91</w:t>
            </w:r>
            <w:r>
              <w:rPr>
                <w:rFonts w:ascii="Arial Narrow"/>
                <w:sz w:val="21"/>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4,882,406.36</w:t>
            </w:r>
            <w:r>
              <w:rPr>
                <w:rFonts w:ascii="Arial Narrow"/>
                <w:sz w:val="21"/>
              </w:rPr>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28.54</w:t>
            </w:r>
            <w:r>
              <w:rPr>
                <w:rFonts w:ascii="Arial Narrow"/>
                <w:sz w:val="21"/>
              </w:rPr>
            </w:r>
          </w:p>
        </w:tc>
      </w:tr>
      <w:tr>
        <w:trPr>
          <w:trHeight w:val="1258"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144"/>
              <w:jc w:val="both"/>
              <w:rPr>
                <w:rFonts w:ascii="宋体" w:hAnsi="宋体" w:cs="宋体" w:eastAsia="宋体" w:hint="default"/>
                <w:sz w:val="21"/>
                <w:szCs w:val="21"/>
              </w:rPr>
            </w:pPr>
            <w:r>
              <w:rPr>
                <w:rFonts w:ascii="宋体" w:hAnsi="宋体" w:cs="宋体" w:eastAsia="宋体" w:hint="default"/>
                <w:sz w:val="21"/>
                <w:szCs w:val="21"/>
              </w:rPr>
              <w:t>单项金额虽不重</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大但单项计提坏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账准备的其他应</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r>
      <w:tr>
        <w:trPr>
          <w:trHeight w:val="322" w:hRule="exact"/>
        </w:trPr>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19,902,665.78</w:t>
            </w:r>
            <w:r>
              <w:rPr>
                <w:rFonts w:ascii="Arial Narrow"/>
                <w:sz w:val="21"/>
              </w:rPr>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6,220,588.64</w:t>
            </w:r>
            <w:r>
              <w:rPr>
                <w:rFonts w:ascii="Arial Narrow"/>
                <w:sz w:val="21"/>
              </w:rPr>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17,108,912.91</w:t>
            </w:r>
            <w:r>
              <w:rPr>
                <w:rFonts w:ascii="Arial Narrow"/>
                <w:sz w:val="21"/>
              </w:rPr>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4,882,406.36</w:t>
            </w:r>
            <w:r>
              <w:rPr>
                <w:rFonts w:ascii="Arial Narrow"/>
                <w:sz w:val="21"/>
              </w:rPr>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r>
    </w:tbl>
    <w:p>
      <w:pPr>
        <w:spacing w:after="0" w:line="240" w:lineRule="auto"/>
        <w:jc w:val="center"/>
        <w:rPr>
          <w:rFonts w:ascii="Calibri" w:hAnsi="Calibri" w:cs="Calibri" w:eastAsia="Calibri" w:hint="default"/>
          <w:sz w:val="21"/>
          <w:szCs w:val="21"/>
        </w:rPr>
        <w:sectPr>
          <w:pgSz w:w="11910" w:h="16840"/>
          <w:pgMar w:header="884" w:footer="1007" w:top="1160" w:bottom="1200" w:left="1240" w:right="1260"/>
        </w:sectPr>
      </w:pPr>
    </w:p>
    <w:p>
      <w:pPr>
        <w:spacing w:line="273" w:lineRule="auto"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其他应收款种类的说明：无</w:t>
      </w:r>
      <w:r>
        <w:rPr>
          <w:rFonts w:ascii="宋体" w:hAnsi="宋体" w:cs="宋体" w:eastAsia="宋体" w:hint="default"/>
          <w:spacing w:val="-3"/>
          <w:w w:val="100"/>
          <w:sz w:val="21"/>
          <w:szCs w:val="21"/>
        </w:rPr>
        <w:t> </w:t>
      </w:r>
      <w:r>
        <w:rPr>
          <w:rFonts w:ascii="宋体" w:hAnsi="宋体" w:cs="宋体" w:eastAsia="宋体" w:hint="default"/>
          <w:spacing w:val="-2"/>
          <w:sz w:val="21"/>
          <w:szCs w:val="21"/>
        </w:rPr>
        <w:t>期末单项金额重大并单项计提坏账准备的其他应收款</w:t>
      </w:r>
    </w:p>
    <w:p>
      <w:pPr>
        <w:spacing w:line="247" w:lineRule="auto" w:before="7"/>
        <w:ind w:left="558" w:right="0"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Calibri" w:hAnsi="Calibri" w:cs="Calibri" w:eastAsia="Calibri" w:hint="default"/>
          <w:spacing w:val="8"/>
          <w:sz w:val="21"/>
          <w:szCs w:val="21"/>
        </w:rPr>
        <w:t> </w:t>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组合中，采用账龄分析法计提坏账准备的其他应收款</w:t>
      </w:r>
    </w:p>
    <w:p>
      <w:pPr>
        <w:spacing w:before="31"/>
        <w:ind w:left="558" w:right="0" w:firstLine="0"/>
        <w:jc w:val="left"/>
        <w:rPr>
          <w:rFonts w:ascii="宋体" w:hAnsi="宋体" w:cs="宋体" w:eastAsia="宋体" w:hint="default"/>
          <w:sz w:val="21"/>
          <w:szCs w:val="21"/>
        </w:rPr>
      </w:pPr>
      <w:r>
        <w:rPr>
          <w:rFonts w:ascii="Calibri" w:hAnsi="Calibri" w:cs="Calibri" w:eastAsia="Calibri"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56"/>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440" w:bottom="280" w:left="1240" w:right="1260"/>
          <w:cols w:num="2" w:equalWidth="0">
            <w:col w:w="5393" w:space="2353"/>
            <w:col w:w="1664"/>
          </w:cols>
        </w:sectPr>
      </w:pPr>
    </w:p>
    <w:p>
      <w:pPr>
        <w:spacing w:line="240" w:lineRule="auto" w:before="12"/>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689"/>
        <w:gridCol w:w="1684"/>
        <w:gridCol w:w="602"/>
        <w:gridCol w:w="1323"/>
        <w:gridCol w:w="1325"/>
        <w:gridCol w:w="603"/>
        <w:gridCol w:w="1524"/>
      </w:tblGrid>
      <w:tr>
        <w:trPr>
          <w:trHeight w:val="323" w:hRule="exact"/>
        </w:trPr>
        <w:tc>
          <w:tcPr>
            <w:tcW w:w="16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60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45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1689" w:type="dxa"/>
            <w:vMerge/>
            <w:tcBorders>
              <w:left w:val="single" w:sz="4" w:space="0" w:color="000000"/>
              <w:right w:val="single" w:sz="4" w:space="0" w:color="000000"/>
            </w:tcBorders>
            <w:shd w:val="clear" w:color="auto" w:fill="D2D2D2"/>
          </w:tcPr>
          <w:p>
            <w:pPr/>
          </w:p>
        </w:tc>
        <w:tc>
          <w:tcPr>
            <w:tcW w:w="22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71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9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537"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5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634" w:hRule="exact"/>
        </w:trPr>
        <w:tc>
          <w:tcPr>
            <w:tcW w:w="1689" w:type="dxa"/>
            <w:vMerge/>
            <w:tcBorders>
              <w:left w:val="single" w:sz="4" w:space="0" w:color="000000"/>
              <w:bottom w:val="single" w:sz="4" w:space="0" w:color="000000"/>
              <w:right w:val="single" w:sz="4" w:space="0" w:color="000000"/>
            </w:tcBorders>
            <w:shd w:val="clear" w:color="auto" w:fill="D2D2D2"/>
          </w:tcPr>
          <w:p>
            <w:pP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3"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53" w:right="0"/>
              <w:jc w:val="left"/>
              <w:rPr>
                <w:rFonts w:ascii="Calibri" w:hAnsi="Calibri" w:cs="Calibri" w:eastAsia="Calibri" w:hint="default"/>
                <w:sz w:val="21"/>
                <w:szCs w:val="21"/>
              </w:rPr>
            </w:pPr>
            <w:r>
              <w:rPr>
                <w:rFonts w:ascii="Calibri"/>
                <w:b/>
                <w:sz w:val="21"/>
              </w:rPr>
              <w:t>(%)</w:t>
            </w:r>
            <w:r>
              <w:rPr>
                <w:rFonts w:ascii="Calibri"/>
                <w:sz w:val="21"/>
              </w:rPr>
            </w:r>
          </w:p>
        </w:tc>
        <w:tc>
          <w:tcPr>
            <w:tcW w:w="1323" w:type="dxa"/>
            <w:vMerge/>
            <w:tcBorders>
              <w:left w:val="single" w:sz="4" w:space="0" w:color="000000"/>
              <w:bottom w:val="single" w:sz="4" w:space="0" w:color="000000"/>
              <w:right w:val="single" w:sz="4" w:space="0" w:color="000000"/>
            </w:tcBorders>
            <w:shd w:val="clear" w:color="auto" w:fill="D2D2D2"/>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3"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53" w:right="0"/>
              <w:jc w:val="left"/>
              <w:rPr>
                <w:rFonts w:ascii="Calibri" w:hAnsi="Calibri" w:cs="Calibri" w:eastAsia="Calibri" w:hint="default"/>
                <w:sz w:val="21"/>
                <w:szCs w:val="21"/>
              </w:rPr>
            </w:pPr>
            <w:r>
              <w:rPr>
                <w:rFonts w:ascii="Calibri"/>
                <w:b/>
                <w:sz w:val="21"/>
              </w:rPr>
              <w:t>(%)</w:t>
            </w:r>
            <w:r>
              <w:rPr>
                <w:rFonts w:ascii="Calibri"/>
                <w:sz w:val="21"/>
              </w:rPr>
            </w:r>
          </w:p>
        </w:tc>
        <w:tc>
          <w:tcPr>
            <w:tcW w:w="1524"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875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r>
      <w:tr>
        <w:trPr>
          <w:trHeight w:val="322" w:hRule="exact"/>
        </w:trPr>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2" w:hRule="exact"/>
        </w:trPr>
        <w:tc>
          <w:tcPr>
            <w:tcW w:w="1689" w:type="dxa"/>
            <w:tcBorders>
              <w:top w:val="single" w:sz="4" w:space="0" w:color="000000"/>
              <w:left w:val="single" w:sz="4" w:space="0" w:color="000000"/>
              <w:bottom w:val="single" w:sz="4" w:space="0" w:color="000000"/>
              <w:right w:val="single" w:sz="4" w:space="0" w:color="000000"/>
            </w:tcBorders>
          </w:tcPr>
          <w:p>
            <w:pPr/>
          </w:p>
        </w:tc>
        <w:tc>
          <w:tcPr>
            <w:tcW w:w="1684"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1323"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年以内小计</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9,991,654.90</w:t>
            </w:r>
            <w:r>
              <w:rPr>
                <w:rFonts w:ascii="Arial Narrow"/>
                <w:sz w:val="21"/>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50.20</w:t>
            </w:r>
            <w:r>
              <w:rPr>
                <w:rFonts w:ascii="Arial Narrow"/>
                <w:sz w:val="21"/>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499,582.73</w:t>
            </w:r>
            <w:r>
              <w:rPr>
                <w:rFonts w:ascii="Arial Narrow"/>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10,365,478.38</w:t>
            </w:r>
            <w:r>
              <w:rPr>
                <w:rFonts w:ascii="Arial Narrow"/>
                <w:sz w:val="21"/>
              </w:rPr>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36" w:right="0"/>
              <w:jc w:val="left"/>
              <w:rPr>
                <w:rFonts w:ascii="Arial Narrow" w:hAnsi="Arial Narrow" w:cs="Arial Narrow" w:eastAsia="Arial Narrow" w:hint="default"/>
                <w:sz w:val="21"/>
                <w:szCs w:val="21"/>
              </w:rPr>
            </w:pPr>
            <w:r>
              <w:rPr>
                <w:rFonts w:ascii="Arial Narrow"/>
                <w:sz w:val="21"/>
              </w:rPr>
              <w:t>60.59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Arial Narrow" w:hAnsi="Arial Narrow" w:cs="Arial Narrow" w:eastAsia="Arial Narrow" w:hint="default"/>
                <w:sz w:val="21"/>
                <w:szCs w:val="21"/>
              </w:rPr>
            </w:pPr>
            <w:r>
              <w:rPr>
                <w:rFonts w:ascii="Arial Narrow"/>
                <w:spacing w:val="-1"/>
                <w:sz w:val="21"/>
              </w:rPr>
              <w:t>518,273.90</w:t>
            </w:r>
            <w:r>
              <w:rPr>
                <w:rFonts w:ascii="Arial Narrow"/>
                <w:sz w:val="21"/>
              </w:rPr>
            </w:r>
          </w:p>
        </w:tc>
      </w:tr>
      <w:tr>
        <w:trPr>
          <w:trHeight w:val="322" w:hRule="exact"/>
        </w:trPr>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4,222,774.70</w:t>
            </w:r>
            <w:r>
              <w:rPr>
                <w:rFonts w:ascii="Arial Narrow"/>
                <w:sz w:val="21"/>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21.22</w:t>
            </w:r>
            <w:r>
              <w:rPr>
                <w:rFonts w:ascii="Arial Narrow"/>
                <w:sz w:val="21"/>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844,554.94</w:t>
            </w:r>
            <w:r>
              <w:rPr>
                <w:rFonts w:ascii="Arial Narrow"/>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1,883,182.75</w:t>
            </w:r>
            <w:r>
              <w:rPr>
                <w:rFonts w:ascii="Arial Narrow"/>
                <w:sz w:val="21"/>
              </w:rPr>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6" w:right="0"/>
              <w:jc w:val="left"/>
              <w:rPr>
                <w:rFonts w:ascii="Arial Narrow" w:hAnsi="Arial Narrow" w:cs="Arial Narrow" w:eastAsia="Arial Narrow" w:hint="default"/>
                <w:sz w:val="21"/>
                <w:szCs w:val="21"/>
              </w:rPr>
            </w:pPr>
            <w:r>
              <w:rPr>
                <w:rFonts w:ascii="Arial Narrow"/>
                <w:sz w:val="21"/>
              </w:rPr>
              <w:t>11.01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376,636.57</w:t>
            </w:r>
            <w:r>
              <w:rPr>
                <w:rFonts w:ascii="Arial Narrow"/>
                <w:sz w:val="21"/>
              </w:rPr>
            </w:r>
          </w:p>
        </w:tc>
      </w:tr>
      <w:tr>
        <w:trPr>
          <w:trHeight w:val="322" w:hRule="exact"/>
        </w:trPr>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1,623,570.42</w:t>
            </w:r>
            <w:r>
              <w:rPr>
                <w:rFonts w:ascii="Arial Narrow"/>
                <w:sz w:val="21"/>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8.16</w:t>
            </w:r>
            <w:r>
              <w:rPr>
                <w:rFonts w:ascii="Arial Narrow"/>
                <w:sz w:val="21"/>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811,785.21</w:t>
            </w:r>
            <w:r>
              <w:rPr>
                <w:rFonts w:ascii="Arial Narrow"/>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1,745,511.78</w:t>
            </w:r>
            <w:r>
              <w:rPr>
                <w:rFonts w:ascii="Arial Narrow"/>
                <w:sz w:val="21"/>
              </w:rPr>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6" w:right="0"/>
              <w:jc w:val="left"/>
              <w:rPr>
                <w:rFonts w:ascii="Arial Narrow" w:hAnsi="Arial Narrow" w:cs="Arial Narrow" w:eastAsia="Arial Narrow" w:hint="default"/>
                <w:sz w:val="21"/>
                <w:szCs w:val="21"/>
              </w:rPr>
            </w:pPr>
            <w:r>
              <w:rPr>
                <w:rFonts w:ascii="Arial Narrow"/>
                <w:sz w:val="21"/>
              </w:rPr>
              <w:t>10.20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872,755.89</w:t>
            </w:r>
            <w:r>
              <w:rPr>
                <w:rFonts w:ascii="Arial Narrow"/>
                <w:sz w:val="21"/>
              </w:rPr>
            </w:r>
          </w:p>
        </w:tc>
      </w:tr>
      <w:tr>
        <w:trPr>
          <w:trHeight w:val="322" w:hRule="exact"/>
        </w:trPr>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4,064,665.76</w:t>
            </w:r>
            <w:r>
              <w:rPr>
                <w:rFonts w:ascii="Arial Narrow"/>
                <w:sz w:val="21"/>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20.42</w:t>
            </w:r>
            <w:r>
              <w:rPr>
                <w:rFonts w:ascii="Arial Narrow"/>
                <w:sz w:val="21"/>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4,064,665.76</w:t>
            </w:r>
            <w:r>
              <w:rPr>
                <w:rFonts w:ascii="Arial Narrow"/>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3,114,740.00</w:t>
            </w:r>
            <w:r>
              <w:rPr>
                <w:rFonts w:ascii="Arial Narrow"/>
                <w:sz w:val="21"/>
              </w:rPr>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36" w:right="0"/>
              <w:jc w:val="left"/>
              <w:rPr>
                <w:rFonts w:ascii="Arial Narrow" w:hAnsi="Arial Narrow" w:cs="Arial Narrow" w:eastAsia="Arial Narrow" w:hint="default"/>
                <w:sz w:val="21"/>
                <w:szCs w:val="21"/>
              </w:rPr>
            </w:pPr>
            <w:r>
              <w:rPr>
                <w:rFonts w:ascii="Arial Narrow"/>
                <w:sz w:val="21"/>
              </w:rPr>
              <w:t>18.20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3,114,740.00</w:t>
            </w:r>
            <w:r>
              <w:rPr>
                <w:rFonts w:ascii="Arial Narrow"/>
                <w:sz w:val="21"/>
              </w:rPr>
            </w:r>
          </w:p>
        </w:tc>
      </w:tr>
      <w:tr>
        <w:trPr>
          <w:trHeight w:val="322" w:hRule="exact"/>
        </w:trPr>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2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4</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4,064,665.76</w:t>
            </w:r>
            <w:r>
              <w:rPr>
                <w:rFonts w:ascii="Arial Narrow"/>
                <w:sz w:val="21"/>
              </w:rPr>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Narrow" w:hAnsi="Arial Narrow" w:cs="Arial Narrow" w:eastAsia="Arial Narrow" w:hint="default"/>
                <w:sz w:val="21"/>
                <w:szCs w:val="21"/>
              </w:rPr>
            </w:pPr>
            <w:r>
              <w:rPr>
                <w:rFonts w:ascii="Arial Narrow"/>
                <w:spacing w:val="-1"/>
                <w:sz w:val="21"/>
              </w:rPr>
              <w:t>20.42</w:t>
            </w:r>
            <w:r>
              <w:rPr>
                <w:rFonts w:ascii="Arial Narrow"/>
                <w:sz w:val="21"/>
              </w:rPr>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4,064,665.76</w:t>
            </w:r>
            <w:r>
              <w:rPr>
                <w:rFonts w:ascii="Arial Narrow"/>
                <w:sz w:val="21"/>
              </w:rPr>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3,114,740.00</w:t>
            </w:r>
            <w:r>
              <w:rPr>
                <w:rFonts w:ascii="Arial Narrow"/>
                <w:sz w:val="21"/>
              </w:rPr>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36" w:right="0"/>
              <w:jc w:val="left"/>
              <w:rPr>
                <w:rFonts w:ascii="Arial Narrow" w:hAnsi="Arial Narrow" w:cs="Arial Narrow" w:eastAsia="Arial Narrow" w:hint="default"/>
                <w:sz w:val="21"/>
                <w:szCs w:val="21"/>
              </w:rPr>
            </w:pPr>
            <w:r>
              <w:rPr>
                <w:rFonts w:ascii="Arial Narrow"/>
                <w:sz w:val="21"/>
              </w:rPr>
              <w:t>18.20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3,114,740.00</w:t>
            </w:r>
            <w:r>
              <w:rPr>
                <w:rFonts w:ascii="Arial Narrow"/>
                <w:sz w:val="21"/>
              </w:rPr>
            </w:r>
          </w:p>
        </w:tc>
      </w:tr>
      <w:tr>
        <w:trPr>
          <w:trHeight w:val="322" w:hRule="exact"/>
        </w:trPr>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96" w:right="0"/>
              <w:jc w:val="left"/>
              <w:rPr>
                <w:rFonts w:ascii="Calibri" w:hAnsi="Calibri" w:cs="Calibri" w:eastAsia="Calibri" w:hint="default"/>
                <w:sz w:val="21"/>
                <w:szCs w:val="21"/>
              </w:rPr>
            </w:pPr>
            <w:r>
              <w:rPr>
                <w:rFonts w:ascii="Calibri"/>
                <w:sz w:val="21"/>
              </w:rPr>
              <w:t>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324" w:hRule="exact"/>
        </w:trPr>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23"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w w:val="100"/>
                <w:sz w:val="21"/>
              </w:rPr>
              <w:t>0</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1"/>
                <w:sz w:val="21"/>
              </w:rPr>
              <w:t>0.00</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w w:val="100"/>
                <w:sz w:val="21"/>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w w:val="100"/>
                <w:sz w:val="21"/>
              </w:rPr>
              <w:t>0</w:t>
            </w:r>
          </w:p>
        </w:tc>
        <w:tc>
          <w:tcPr>
            <w:tcW w:w="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96" w:right="0"/>
              <w:jc w:val="left"/>
              <w:rPr>
                <w:rFonts w:ascii="Calibri" w:hAnsi="Calibri" w:cs="Calibri" w:eastAsia="Calibri" w:hint="default"/>
                <w:sz w:val="21"/>
                <w:szCs w:val="21"/>
              </w:rPr>
            </w:pPr>
            <w:r>
              <w:rPr>
                <w:rFonts w:ascii="Calibri"/>
                <w:sz w:val="21"/>
              </w:rPr>
              <w:t>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w w:val="100"/>
                <w:sz w:val="21"/>
              </w:rPr>
              <w:t>0</w:t>
            </w:r>
          </w:p>
        </w:tc>
      </w:tr>
      <w:tr>
        <w:trPr>
          <w:trHeight w:val="322" w:hRule="exact"/>
        </w:trPr>
        <w:tc>
          <w:tcPr>
            <w:tcW w:w="1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8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33"/>
              <w:ind w:right="14"/>
              <w:jc w:val="right"/>
              <w:rPr>
                <w:rFonts w:ascii="Arial Narrow" w:hAnsi="Arial Narrow" w:cs="Arial Narrow" w:eastAsia="Arial Narrow" w:hint="default"/>
                <w:sz w:val="21"/>
                <w:szCs w:val="21"/>
              </w:rPr>
            </w:pPr>
            <w:r>
              <w:rPr>
                <w:rFonts w:ascii="Arial Narrow"/>
                <w:b/>
                <w:spacing w:val="-1"/>
                <w:sz w:val="21"/>
              </w:rPr>
              <w:t>19,902,665.78</w:t>
            </w:r>
            <w:r>
              <w:rPr>
                <w:rFonts w:ascii="Arial Narrow"/>
                <w:sz w:val="21"/>
              </w:rPr>
            </w: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b/>
                <w:spacing w:val="-1"/>
                <w:sz w:val="21"/>
              </w:rPr>
              <w:t>6,220,588.64</w:t>
            </w:r>
            <w:r>
              <w:rPr>
                <w:rFonts w:ascii="Arial Narrow"/>
                <w:spacing w:val="-1"/>
                <w:sz w:val="21"/>
              </w:rPr>
            </w:r>
          </w:p>
        </w:tc>
        <w:tc>
          <w:tcPr>
            <w:tcW w:w="132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33"/>
              <w:ind w:right="14"/>
              <w:jc w:val="right"/>
              <w:rPr>
                <w:rFonts w:ascii="Arial Narrow" w:hAnsi="Arial Narrow" w:cs="Arial Narrow" w:eastAsia="Arial Narrow" w:hint="default"/>
                <w:sz w:val="21"/>
                <w:szCs w:val="21"/>
              </w:rPr>
            </w:pPr>
            <w:r>
              <w:rPr>
                <w:rFonts w:ascii="Arial Narrow"/>
                <w:b/>
                <w:spacing w:val="-1"/>
                <w:sz w:val="21"/>
              </w:rPr>
              <w:t>17,108,912.91</w:t>
            </w:r>
            <w:r>
              <w:rPr>
                <w:rFonts w:ascii="Arial Narrow"/>
                <w:sz w:val="21"/>
              </w:rPr>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0" w:right="0"/>
              <w:jc w:val="left"/>
              <w:rPr>
                <w:rFonts w:ascii="Calibri" w:hAnsi="Calibri" w:cs="Calibri" w:eastAsia="Calibri" w:hint="default"/>
                <w:sz w:val="21"/>
                <w:szCs w:val="21"/>
              </w:rPr>
            </w:pPr>
            <w:r>
              <w:rPr>
                <w:rFonts w:ascii="Calibri"/>
                <w:sz w:val="21"/>
              </w:rPr>
              <w:t>--</w:t>
            </w:r>
          </w:p>
        </w:tc>
        <w:tc>
          <w:tcPr>
            <w:tcW w:w="15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4,882,406.36</w:t>
            </w:r>
            <w:r>
              <w:rPr>
                <w:rFonts w:ascii="Arial Narrow"/>
                <w:sz w:val="21"/>
              </w:rPr>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组合中，采用余额百分比法计提坏账准备的其他应收款</w:t>
      </w:r>
    </w:p>
    <w:p>
      <w:pPr>
        <w:spacing w:line="247" w:lineRule="auto" w:before="37"/>
        <w:ind w:left="558" w:right="3589"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Calibri" w:hAnsi="Calibri" w:cs="Calibri" w:eastAsia="Calibri" w:hint="default"/>
          <w:spacing w:val="8"/>
          <w:sz w:val="21"/>
          <w:szCs w:val="21"/>
        </w:rPr>
        <w:t> </w:t>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组合中，采用其他方法计提坏账准备的其他应收款</w:t>
      </w:r>
    </w:p>
    <w:p>
      <w:pPr>
        <w:spacing w:line="247" w:lineRule="auto" w:before="31"/>
        <w:ind w:left="558" w:right="3589"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Calibri" w:hAnsi="Calibri" w:cs="Calibri" w:eastAsia="Calibri" w:hint="default"/>
          <w:spacing w:val="8"/>
          <w:sz w:val="21"/>
          <w:szCs w:val="21"/>
        </w:rPr>
        <w:t> </w:t>
      </w:r>
      <w:r>
        <w:rPr>
          <w:rFonts w:ascii="宋体" w:hAnsi="宋体" w:cs="宋体" w:eastAsia="宋体" w:hint="default"/>
          <w:sz w:val="21"/>
          <w:szCs w:val="21"/>
        </w:rPr>
        <w:t>不适用</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期末单项金额虽不重大但单项计提坏账准备的其他应收款</w:t>
      </w:r>
    </w:p>
    <w:p>
      <w:pPr>
        <w:spacing w:before="31"/>
        <w:ind w:left="558"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w:t>
      </w:r>
      <w:r>
        <w:rPr>
          <w:rFonts w:ascii="宋体" w:hAnsi="宋体" w:cs="宋体" w:eastAsia="宋体" w:hint="default"/>
          <w:spacing w:val="-12"/>
          <w:sz w:val="21"/>
          <w:szCs w:val="21"/>
        </w:rPr>
        <w:t> </w:t>
      </w:r>
      <w:r>
        <w:rPr>
          <w:rFonts w:ascii="Calibri" w:hAnsi="Calibri" w:cs="Calibri" w:eastAsia="Calibri" w:hint="default"/>
          <w:sz w:val="21"/>
          <w:szCs w:val="21"/>
        </w:rPr>
        <w:t>√</w:t>
      </w:r>
      <w:r>
        <w:rPr>
          <w:rFonts w:ascii="宋体" w:hAnsi="宋体" w:cs="宋体" w:eastAsia="宋体" w:hint="default"/>
          <w:sz w:val="21"/>
          <w:szCs w:val="21"/>
        </w:rPr>
        <w:t>不适用</w:t>
      </w:r>
    </w:p>
    <w:p>
      <w:pPr>
        <w:spacing w:after="0"/>
        <w:jc w:val="left"/>
        <w:rPr>
          <w:rFonts w:ascii="宋体" w:hAnsi="宋体" w:cs="宋体" w:eastAsia="宋体" w:hint="default"/>
          <w:sz w:val="21"/>
          <w:szCs w:val="21"/>
        </w:rPr>
        <w:sectPr>
          <w:type w:val="continuous"/>
          <w:pgSz w:w="11910" w:h="16840"/>
          <w:pgMar w:top="440" w:bottom="280" w:left="1240" w:right="1260"/>
        </w:sectPr>
      </w:pPr>
    </w:p>
    <w:p>
      <w:pPr>
        <w:spacing w:line="240" w:lineRule="auto" w:before="4"/>
        <w:rPr>
          <w:rFonts w:ascii="宋体" w:hAnsi="宋体" w:cs="宋体" w:eastAsia="宋体" w:hint="default"/>
          <w:sz w:val="16"/>
          <w:szCs w:val="16"/>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）本报告期转回或收回的其他应收款情况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004"/>
        <w:gridCol w:w="1576"/>
        <w:gridCol w:w="1692"/>
        <w:gridCol w:w="2127"/>
        <w:gridCol w:w="1350"/>
      </w:tblGrid>
      <w:tr>
        <w:trPr>
          <w:trHeight w:val="161" w:hRule="exact"/>
        </w:trPr>
        <w:tc>
          <w:tcPr>
            <w:tcW w:w="20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517" w:right="105" w:hanging="420"/>
              <w:jc w:val="left"/>
              <w:rPr>
                <w:rFonts w:ascii="宋体" w:hAnsi="宋体" w:cs="宋体" w:eastAsia="宋体" w:hint="default"/>
                <w:sz w:val="21"/>
                <w:szCs w:val="21"/>
              </w:rPr>
            </w:pPr>
            <w:r>
              <w:rPr>
                <w:rFonts w:ascii="宋体" w:hAnsi="宋体" w:cs="宋体" w:eastAsia="宋体" w:hint="default"/>
                <w:b/>
                <w:bCs/>
                <w:sz w:val="21"/>
                <w:szCs w:val="21"/>
              </w:rPr>
              <w:t>确定原坏账准备</w:t>
            </w:r>
            <w:r>
              <w:rPr>
                <w:rFonts w:ascii="宋体" w:hAnsi="宋体" w:cs="宋体" w:eastAsia="宋体" w:hint="default"/>
                <w:b/>
                <w:bCs/>
                <w:spacing w:val="-104"/>
                <w:sz w:val="21"/>
                <w:szCs w:val="21"/>
              </w:rPr>
              <w:t> </w:t>
            </w:r>
            <w:r>
              <w:rPr>
                <w:rFonts w:ascii="宋体" w:hAnsi="宋体" w:cs="宋体" w:eastAsia="宋体" w:hint="default"/>
                <w:b/>
                <w:bCs/>
                <w:sz w:val="21"/>
                <w:szCs w:val="21"/>
              </w:rPr>
              <w:t>的依据</w:t>
            </w:r>
            <w:r>
              <w:rPr>
                <w:rFonts w:ascii="宋体" w:hAnsi="宋体" w:cs="宋体" w:eastAsia="宋体" w:hint="default"/>
                <w:sz w:val="21"/>
                <w:szCs w:val="21"/>
              </w:rPr>
            </w:r>
          </w:p>
        </w:tc>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14" w:right="105" w:hanging="106"/>
              <w:jc w:val="left"/>
              <w:rPr>
                <w:rFonts w:ascii="宋体" w:hAnsi="宋体" w:cs="宋体" w:eastAsia="宋体" w:hint="default"/>
                <w:sz w:val="21"/>
                <w:szCs w:val="21"/>
              </w:rPr>
            </w:pPr>
            <w:r>
              <w:rPr>
                <w:rFonts w:ascii="宋体" w:hAnsi="宋体" w:cs="宋体" w:eastAsia="宋体" w:hint="default"/>
                <w:b/>
                <w:bCs/>
                <w:sz w:val="21"/>
                <w:szCs w:val="21"/>
              </w:rPr>
              <w:t>转回或收回前累计已</w:t>
            </w:r>
            <w:r>
              <w:rPr>
                <w:rFonts w:ascii="宋体" w:hAnsi="宋体" w:cs="宋体" w:eastAsia="宋体" w:hint="default"/>
                <w:b/>
                <w:bCs/>
                <w:spacing w:val="-103"/>
                <w:sz w:val="21"/>
                <w:szCs w:val="21"/>
              </w:rPr>
              <w:t> </w:t>
            </w:r>
            <w:r>
              <w:rPr>
                <w:rFonts w:ascii="宋体" w:hAnsi="宋体" w:cs="宋体" w:eastAsia="宋体" w:hint="default"/>
                <w:b/>
                <w:bCs/>
                <w:sz w:val="21"/>
                <w:szCs w:val="21"/>
              </w:rPr>
              <w:t>计提坏账准备金额</w:t>
            </w:r>
            <w:r>
              <w:rPr>
                <w:rFonts w:ascii="宋体" w:hAnsi="宋体" w:cs="宋体" w:eastAsia="宋体" w:hint="default"/>
                <w:sz w:val="21"/>
                <w:szCs w:val="21"/>
              </w:rPr>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562" w:right="35" w:hanging="526"/>
              <w:jc w:val="left"/>
              <w:rPr>
                <w:rFonts w:ascii="宋体" w:hAnsi="宋体" w:cs="宋体" w:eastAsia="宋体" w:hint="default"/>
                <w:sz w:val="21"/>
                <w:szCs w:val="21"/>
              </w:rPr>
            </w:pPr>
            <w:r>
              <w:rPr>
                <w:rFonts w:ascii="宋体" w:hAnsi="宋体" w:cs="宋体" w:eastAsia="宋体" w:hint="default"/>
                <w:b/>
                <w:bCs/>
                <w:sz w:val="21"/>
                <w:szCs w:val="21"/>
              </w:rPr>
              <w:t>转回或收回金</w:t>
            </w:r>
            <w:r>
              <w:rPr>
                <w:rFonts w:ascii="宋体" w:hAnsi="宋体" w:cs="宋体" w:eastAsia="宋体" w:hint="default"/>
                <w:b/>
                <w:bCs/>
                <w:spacing w:val="-104"/>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r>
      <w:tr>
        <w:trPr>
          <w:trHeight w:val="312" w:hRule="exact"/>
        </w:trPr>
        <w:tc>
          <w:tcPr>
            <w:tcW w:w="20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其他应收款内容</w:t>
            </w:r>
            <w:r>
              <w:rPr>
                <w:rFonts w:ascii="宋体" w:hAnsi="宋体" w:cs="宋体" w:eastAsia="宋体" w:hint="default"/>
                <w:sz w:val="21"/>
                <w:szCs w:val="21"/>
              </w:rPr>
            </w:r>
          </w:p>
        </w:tc>
        <w:tc>
          <w:tcPr>
            <w:tcW w:w="15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13"/>
              <w:jc w:val="center"/>
              <w:rPr>
                <w:rFonts w:ascii="宋体" w:hAnsi="宋体" w:cs="宋体" w:eastAsia="宋体" w:hint="default"/>
                <w:sz w:val="21"/>
                <w:szCs w:val="21"/>
              </w:rPr>
            </w:pPr>
            <w:r>
              <w:rPr>
                <w:rFonts w:ascii="宋体" w:hAnsi="宋体" w:cs="宋体" w:eastAsia="宋体" w:hint="default"/>
                <w:b/>
                <w:bCs/>
                <w:sz w:val="21"/>
                <w:szCs w:val="21"/>
              </w:rPr>
              <w:t>转回或收回原因</w:t>
            </w:r>
            <w:r>
              <w:rPr>
                <w:rFonts w:ascii="宋体" w:hAnsi="宋体" w:cs="宋体" w:eastAsia="宋体" w:hint="default"/>
                <w:sz w:val="21"/>
                <w:szCs w:val="21"/>
              </w:rPr>
            </w:r>
          </w:p>
        </w:tc>
        <w:tc>
          <w:tcPr>
            <w:tcW w:w="1692" w:type="dxa"/>
            <w:vMerge/>
            <w:tcBorders>
              <w:left w:val="single" w:sz="4" w:space="0" w:color="000000"/>
              <w:right w:val="single" w:sz="4" w:space="0" w:color="000000"/>
            </w:tcBorders>
            <w:shd w:val="clear" w:color="auto" w:fill="D2D2D2"/>
          </w:tcPr>
          <w:p>
            <w:pPr/>
          </w:p>
        </w:tc>
        <w:tc>
          <w:tcPr>
            <w:tcW w:w="2127" w:type="dxa"/>
            <w:vMerge/>
            <w:tcBorders>
              <w:left w:val="single" w:sz="4" w:space="0" w:color="000000"/>
              <w:right w:val="single" w:sz="4" w:space="0" w:color="000000"/>
            </w:tcBorders>
            <w:shd w:val="clear" w:color="auto" w:fill="D2D2D2"/>
          </w:tcPr>
          <w:p>
            <w:pPr/>
          </w:p>
        </w:tc>
        <w:tc>
          <w:tcPr>
            <w:tcW w:w="1350" w:type="dxa"/>
            <w:vMerge/>
            <w:tcBorders>
              <w:left w:val="single" w:sz="4" w:space="0" w:color="000000"/>
              <w:right w:val="single" w:sz="4" w:space="0" w:color="000000"/>
            </w:tcBorders>
            <w:shd w:val="clear" w:color="auto" w:fill="D2D2D2"/>
          </w:tcPr>
          <w:p>
            <w:pPr/>
          </w:p>
        </w:tc>
      </w:tr>
      <w:tr>
        <w:trPr>
          <w:trHeight w:val="161" w:hRule="exact"/>
        </w:trPr>
        <w:tc>
          <w:tcPr>
            <w:tcW w:w="20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92" w:type="dxa"/>
            <w:vMerge/>
            <w:tcBorders>
              <w:left w:val="single" w:sz="4" w:space="0" w:color="000000"/>
              <w:bottom w:val="single" w:sz="4" w:space="0" w:color="000000"/>
              <w:right w:val="single" w:sz="4" w:space="0" w:color="000000"/>
            </w:tcBorders>
            <w:shd w:val="clear" w:color="auto" w:fill="D2D2D2"/>
          </w:tcPr>
          <w:p>
            <w:pPr/>
          </w:p>
        </w:tc>
        <w:tc>
          <w:tcPr>
            <w:tcW w:w="2127"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3"/>
              <w:jc w:val="center"/>
              <w:rPr>
                <w:rFonts w:ascii="Calibri" w:hAnsi="Calibri" w:cs="Calibri" w:eastAsia="Calibri" w:hint="default"/>
                <w:sz w:val="21"/>
                <w:szCs w:val="21"/>
              </w:rPr>
            </w:pPr>
            <w:r>
              <w:rPr>
                <w:rFonts w:ascii="Calibri"/>
                <w:sz w:val="21"/>
              </w:rPr>
              <w:t>--</w:t>
            </w:r>
          </w:p>
        </w:tc>
        <w:tc>
          <w:tcPr>
            <w:tcW w:w="1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Calibri" w:hAnsi="Calibri" w:cs="Calibri" w:eastAsia="Calibri" w:hint="default"/>
                <w:sz w:val="21"/>
                <w:szCs w:val="21"/>
              </w:rPr>
            </w:pPr>
            <w:r>
              <w:rPr>
                <w:rFonts w:ascii="Calibri"/>
                <w:sz w:val="21"/>
              </w:rPr>
              <w:t>--</w:t>
            </w:r>
          </w:p>
        </w:tc>
        <w:tc>
          <w:tcPr>
            <w:tcW w:w="2127"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28"/>
              <w:ind w:right="8"/>
              <w:jc w:val="right"/>
              <w:rPr>
                <w:rFonts w:ascii="Calibri" w:hAnsi="Calibri" w:cs="Calibri" w:eastAsia="Calibri" w:hint="default"/>
                <w:sz w:val="21"/>
                <w:szCs w:val="21"/>
              </w:rPr>
            </w:pPr>
            <w:r>
              <w:rPr>
                <w:rFonts w:ascii="Calibri"/>
                <w:w w:val="100"/>
                <w:sz w:val="21"/>
              </w:rPr>
              <w:t>0</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Calibri" w:hAnsi="Calibri" w:cs="Calibri" w:eastAsia="Calibri" w:hint="default"/>
                <w:sz w:val="21"/>
                <w:szCs w:val="21"/>
              </w:rPr>
            </w:pPr>
            <w:r>
              <w:rPr>
                <w:rFonts w:ascii="Calibri"/>
                <w:sz w:val="21"/>
              </w:rPr>
              <w:t>--</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期末单项金额重大或虽不重大但单独进行减值测试的其他应收账款坏账准备计提</w:t>
      </w:r>
    </w:p>
    <w:p>
      <w:pPr>
        <w:spacing w:before="37"/>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1682"/>
        <w:gridCol w:w="1786"/>
        <w:gridCol w:w="1799"/>
        <w:gridCol w:w="1774"/>
        <w:gridCol w:w="1684"/>
      </w:tblGrid>
      <w:tr>
        <w:trPr>
          <w:trHeight w:val="322" w:hRule="exact"/>
        </w:trPr>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96" w:right="0"/>
              <w:jc w:val="left"/>
              <w:rPr>
                <w:rFonts w:ascii="宋体" w:hAnsi="宋体" w:cs="宋体" w:eastAsia="宋体" w:hint="default"/>
                <w:sz w:val="21"/>
                <w:szCs w:val="21"/>
              </w:rPr>
            </w:pPr>
            <w:r>
              <w:rPr>
                <w:rFonts w:ascii="宋体" w:hAnsi="宋体" w:cs="宋体" w:eastAsia="宋体" w:hint="default"/>
                <w:b/>
                <w:bCs/>
                <w:sz w:val="21"/>
                <w:szCs w:val="21"/>
              </w:rPr>
              <w:t>应收账款内容</w:t>
            </w:r>
            <w:r>
              <w:rPr>
                <w:rFonts w:ascii="宋体" w:hAnsi="宋体" w:cs="宋体" w:eastAsia="宋体" w:hint="default"/>
                <w:sz w:val="21"/>
                <w:szCs w:val="21"/>
              </w:rPr>
            </w:r>
          </w:p>
        </w:tc>
        <w:tc>
          <w:tcPr>
            <w:tcW w:w="1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6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理由</w:t>
            </w:r>
            <w:r>
              <w:rPr>
                <w:rFonts w:ascii="宋体" w:hAnsi="宋体" w:cs="宋体" w:eastAsia="宋体" w:hint="default"/>
                <w:sz w:val="21"/>
                <w:szCs w:val="21"/>
              </w:rPr>
            </w:r>
          </w:p>
        </w:tc>
      </w:tr>
      <w:tr>
        <w:trPr>
          <w:trHeight w:val="324" w:hRule="exact"/>
        </w:trPr>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17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right="24"/>
              <w:jc w:val="right"/>
              <w:rPr>
                <w:rFonts w:ascii="Calibri" w:hAnsi="Calibri" w:cs="Calibri" w:eastAsia="Calibri" w:hint="default"/>
                <w:sz w:val="21"/>
                <w:szCs w:val="21"/>
              </w:rPr>
            </w:pPr>
            <w:r>
              <w:rPr>
                <w:rFonts w:ascii="Calibri"/>
                <w:w w:val="100"/>
                <w:sz w:val="21"/>
              </w:rPr>
              <w:t>0</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Calibri" w:hAnsi="Calibri" w:cs="Calibri" w:eastAsia="Calibri" w:hint="default"/>
                <w:sz w:val="21"/>
                <w:szCs w:val="21"/>
              </w:rPr>
            </w:pPr>
            <w:r>
              <w:rPr>
                <w:rFonts w:ascii="Calibri"/>
                <w:sz w:val="21"/>
              </w:rPr>
              <w:t>--</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 w:right="0"/>
              <w:jc w:val="center"/>
              <w:rPr>
                <w:rFonts w:ascii="Calibri" w:hAnsi="Calibri" w:cs="Calibri" w:eastAsia="Calibri" w:hint="default"/>
                <w:sz w:val="21"/>
                <w:szCs w:val="21"/>
              </w:rPr>
            </w:pPr>
            <w:r>
              <w:rPr>
                <w:rFonts w:ascii="Calibri"/>
                <w:sz w:val="21"/>
              </w:rPr>
              <w:t>--</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单项金额不重大但按信用风险特征组合后该组合的风险较大的其他应收款的说明</w:t>
      </w:r>
    </w:p>
    <w:p>
      <w:pPr>
        <w:spacing w:line="240" w:lineRule="auto" w:before="11"/>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471"/>
        <w:gridCol w:w="1436"/>
        <w:gridCol w:w="1469"/>
        <w:gridCol w:w="1337"/>
        <w:gridCol w:w="1401"/>
        <w:gridCol w:w="1624"/>
      </w:tblGrid>
      <w:tr>
        <w:trPr>
          <w:trHeight w:val="161" w:hRule="exact"/>
        </w:trPr>
        <w:tc>
          <w:tcPr>
            <w:tcW w:w="1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607" w:right="75" w:hanging="527"/>
              <w:jc w:val="left"/>
              <w:rPr>
                <w:rFonts w:ascii="宋体" w:hAnsi="宋体" w:cs="宋体" w:eastAsia="宋体" w:hint="default"/>
                <w:sz w:val="21"/>
                <w:szCs w:val="21"/>
              </w:rPr>
            </w:pPr>
            <w:r>
              <w:rPr>
                <w:rFonts w:ascii="宋体" w:hAnsi="宋体" w:cs="宋体" w:eastAsia="宋体" w:hint="default"/>
                <w:b/>
                <w:bCs/>
                <w:sz w:val="21"/>
                <w:szCs w:val="21"/>
              </w:rPr>
              <w:t>其他应收款性</w:t>
            </w:r>
            <w:r>
              <w:rPr>
                <w:rFonts w:ascii="宋体" w:hAnsi="宋体" w:cs="宋体" w:eastAsia="宋体" w:hint="default"/>
                <w:b/>
                <w:bCs/>
                <w:spacing w:val="-104"/>
                <w:sz w:val="21"/>
                <w:szCs w:val="21"/>
              </w:rPr>
              <w:t> </w:t>
            </w:r>
            <w:r>
              <w:rPr>
                <w:rFonts w:ascii="宋体" w:hAnsi="宋体" w:cs="宋体" w:eastAsia="宋体" w:hint="default"/>
                <w:b/>
                <w:bCs/>
                <w:sz w:val="21"/>
                <w:szCs w:val="21"/>
              </w:rPr>
              <w:t>质</w:t>
            </w:r>
            <w:r>
              <w:rPr>
                <w:rFonts w:ascii="宋体" w:hAnsi="宋体" w:cs="宋体" w:eastAsia="宋体" w:hint="default"/>
                <w:sz w:val="21"/>
                <w:szCs w:val="21"/>
              </w:rPr>
            </w:r>
          </w:p>
        </w:tc>
        <w:tc>
          <w:tcPr>
            <w:tcW w:w="14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594" w:right="65" w:hanging="526"/>
              <w:jc w:val="left"/>
              <w:rPr>
                <w:rFonts w:ascii="宋体" w:hAnsi="宋体" w:cs="宋体" w:eastAsia="宋体" w:hint="default"/>
                <w:sz w:val="21"/>
                <w:szCs w:val="21"/>
              </w:rPr>
            </w:pPr>
            <w:r>
              <w:rPr>
                <w:rFonts w:ascii="宋体" w:hAnsi="宋体" w:cs="宋体" w:eastAsia="宋体" w:hint="default"/>
                <w:b/>
                <w:bCs/>
                <w:sz w:val="21"/>
                <w:szCs w:val="21"/>
              </w:rPr>
              <w:t>是否因关联交易</w:t>
            </w:r>
            <w:r>
              <w:rPr>
                <w:rFonts w:ascii="宋体" w:hAnsi="宋体" w:cs="宋体" w:eastAsia="宋体" w:hint="default"/>
                <w:b/>
                <w:bCs/>
                <w:spacing w:val="-104"/>
                <w:sz w:val="21"/>
                <w:szCs w:val="21"/>
              </w:rPr>
              <w:t> </w:t>
            </w:r>
            <w:r>
              <w:rPr>
                <w:rFonts w:ascii="宋体" w:hAnsi="宋体" w:cs="宋体" w:eastAsia="宋体" w:hint="default"/>
                <w:b/>
                <w:bCs/>
                <w:sz w:val="21"/>
                <w:szCs w:val="21"/>
              </w:rPr>
              <w:t>产生</w:t>
            </w:r>
            <w:r>
              <w:rPr>
                <w:rFonts w:ascii="宋体" w:hAnsi="宋体" w:cs="宋体" w:eastAsia="宋体" w:hint="default"/>
                <w:sz w:val="21"/>
                <w:szCs w:val="21"/>
              </w:rPr>
            </w:r>
          </w:p>
        </w:tc>
      </w:tr>
      <w:tr>
        <w:trPr>
          <w:trHeight w:val="312" w:hRule="exact"/>
        </w:trPr>
        <w:tc>
          <w:tcPr>
            <w:tcW w:w="14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436" w:type="dxa"/>
            <w:vMerge/>
            <w:tcBorders>
              <w:left w:val="single" w:sz="4" w:space="0" w:color="000000"/>
              <w:right w:val="single" w:sz="4" w:space="0" w:color="000000"/>
            </w:tcBorders>
            <w:shd w:val="clear" w:color="auto" w:fill="D2D2D2"/>
          </w:tcPr>
          <w:p>
            <w:pPr/>
          </w:p>
        </w:tc>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14" w:right="0"/>
              <w:jc w:val="center"/>
              <w:rPr>
                <w:rFonts w:ascii="宋体" w:hAnsi="宋体" w:cs="宋体" w:eastAsia="宋体" w:hint="default"/>
                <w:sz w:val="21"/>
                <w:szCs w:val="21"/>
              </w:rPr>
            </w:pPr>
            <w:r>
              <w:rPr>
                <w:rFonts w:ascii="宋体" w:hAnsi="宋体" w:cs="宋体" w:eastAsia="宋体" w:hint="default"/>
                <w:b/>
                <w:bCs/>
                <w:sz w:val="21"/>
                <w:szCs w:val="21"/>
              </w:rPr>
              <w:t>核销时间</w:t>
            </w:r>
            <w:r>
              <w:rPr>
                <w:rFonts w:ascii="宋体" w:hAnsi="宋体" w:cs="宋体" w:eastAsia="宋体" w:hint="default"/>
                <w:sz w:val="21"/>
                <w:szCs w:val="21"/>
              </w:rPr>
            </w:r>
          </w:p>
        </w:tc>
        <w:tc>
          <w:tcPr>
            <w:tcW w:w="13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242" w:right="0"/>
              <w:jc w:val="left"/>
              <w:rPr>
                <w:rFonts w:ascii="宋体" w:hAnsi="宋体" w:cs="宋体" w:eastAsia="宋体" w:hint="default"/>
                <w:sz w:val="21"/>
                <w:szCs w:val="21"/>
              </w:rPr>
            </w:pPr>
            <w:r>
              <w:rPr>
                <w:rFonts w:ascii="宋体" w:hAnsi="宋体" w:cs="宋体" w:eastAsia="宋体" w:hint="default"/>
                <w:b/>
                <w:bCs/>
                <w:sz w:val="21"/>
                <w:szCs w:val="21"/>
              </w:rPr>
              <w:t>核销金额</w:t>
            </w:r>
            <w:r>
              <w:rPr>
                <w:rFonts w:ascii="宋体" w:hAnsi="宋体" w:cs="宋体" w:eastAsia="宋体" w:hint="default"/>
                <w:sz w:val="21"/>
                <w:szCs w:val="21"/>
              </w:rPr>
            </w:r>
          </w:p>
        </w:tc>
        <w:tc>
          <w:tcPr>
            <w:tcW w:w="14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6"/>
              <w:jc w:val="center"/>
              <w:rPr>
                <w:rFonts w:ascii="宋体" w:hAnsi="宋体" w:cs="宋体" w:eastAsia="宋体" w:hint="default"/>
                <w:sz w:val="21"/>
                <w:szCs w:val="21"/>
              </w:rPr>
            </w:pPr>
            <w:r>
              <w:rPr>
                <w:rFonts w:ascii="宋体" w:hAnsi="宋体" w:cs="宋体" w:eastAsia="宋体" w:hint="default"/>
                <w:b/>
                <w:bCs/>
                <w:sz w:val="21"/>
                <w:szCs w:val="21"/>
              </w:rPr>
              <w:t>核销原因</w:t>
            </w:r>
            <w:r>
              <w:rPr>
                <w:rFonts w:ascii="宋体" w:hAnsi="宋体" w:cs="宋体" w:eastAsia="宋体" w:hint="default"/>
                <w:sz w:val="21"/>
                <w:szCs w:val="21"/>
              </w:rPr>
            </w:r>
          </w:p>
        </w:tc>
        <w:tc>
          <w:tcPr>
            <w:tcW w:w="1624" w:type="dxa"/>
            <w:vMerge/>
            <w:tcBorders>
              <w:left w:val="single" w:sz="4" w:space="0" w:color="000000"/>
              <w:right w:val="single" w:sz="4" w:space="0" w:color="000000"/>
            </w:tcBorders>
            <w:shd w:val="clear" w:color="auto" w:fill="D2D2D2"/>
          </w:tcPr>
          <w:p>
            <w:pPr/>
          </w:p>
        </w:tc>
      </w:tr>
      <w:tr>
        <w:trPr>
          <w:trHeight w:val="161" w:hRule="exact"/>
        </w:trPr>
        <w:tc>
          <w:tcPr>
            <w:tcW w:w="1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6" w:type="dxa"/>
            <w:vMerge/>
            <w:tcBorders>
              <w:left w:val="single" w:sz="4" w:space="0" w:color="000000"/>
              <w:bottom w:val="single" w:sz="4" w:space="0" w:color="000000"/>
              <w:right w:val="single" w:sz="4" w:space="0" w:color="000000"/>
            </w:tcBorders>
            <w:shd w:val="clear" w:color="auto" w:fill="D2D2D2"/>
          </w:tcPr>
          <w:p>
            <w:pPr/>
          </w:p>
        </w:tc>
        <w:tc>
          <w:tcPr>
            <w:tcW w:w="14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4"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Calibri" w:hAnsi="Calibri" w:cs="Calibri" w:eastAsia="Calibri" w:hint="default"/>
                <w:sz w:val="21"/>
                <w:szCs w:val="21"/>
              </w:rPr>
            </w:pPr>
            <w:r>
              <w:rPr>
                <w:rFonts w:ascii="Calibri"/>
                <w:sz w:val="21"/>
              </w:rPr>
              <w:t>--</w:t>
            </w:r>
          </w:p>
        </w:tc>
        <w:tc>
          <w:tcPr>
            <w:tcW w:w="133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8"/>
              <w:ind w:right="6"/>
              <w:jc w:val="right"/>
              <w:rPr>
                <w:rFonts w:ascii="Calibri" w:hAnsi="Calibri" w:cs="Calibri" w:eastAsia="Calibri" w:hint="default"/>
                <w:sz w:val="21"/>
                <w:szCs w:val="21"/>
              </w:rPr>
            </w:pPr>
            <w:r>
              <w:rPr>
                <w:rFonts w:ascii="Calibri"/>
                <w:w w:val="100"/>
                <w:sz w:val="21"/>
              </w:rPr>
              <w:t>0</w:t>
            </w:r>
          </w:p>
        </w:tc>
        <w:tc>
          <w:tcPr>
            <w:tcW w:w="1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1"/>
              <w:jc w:val="center"/>
              <w:rPr>
                <w:rFonts w:ascii="Calibri" w:hAnsi="Calibri" w:cs="Calibri" w:eastAsia="Calibri" w:hint="default"/>
                <w:sz w:val="21"/>
                <w:szCs w:val="21"/>
              </w:rPr>
            </w:pPr>
            <w:r>
              <w:rPr>
                <w:rFonts w:ascii="Calibri"/>
                <w:sz w:val="21"/>
              </w:rPr>
              <w:t>--</w:t>
            </w:r>
          </w:p>
        </w:tc>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Calibri" w:hAnsi="Calibri" w:cs="Calibri" w:eastAsia="Calibri" w:hint="default"/>
                <w:sz w:val="21"/>
                <w:szCs w:val="21"/>
              </w:rPr>
            </w:pPr>
            <w:r>
              <w:rPr>
                <w:rFonts w:ascii="Calibri"/>
                <w:sz w:val="21"/>
              </w:rPr>
              <w:t>--</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其他应收款核销说明：无</w:t>
      </w:r>
    </w:p>
    <w:p>
      <w:pPr>
        <w:spacing w:line="240" w:lineRule="auto" w:before="10"/>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）本报告期其他应收款中持有公司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2542"/>
        <w:gridCol w:w="1579"/>
        <w:gridCol w:w="1458"/>
        <w:gridCol w:w="1701"/>
        <w:gridCol w:w="1445"/>
      </w:tblGrid>
      <w:tr>
        <w:trPr>
          <w:trHeight w:val="166" w:hRule="exact"/>
        </w:trPr>
        <w:tc>
          <w:tcPr>
            <w:tcW w:w="254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14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10" w:right="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151" w:hRule="exact"/>
        </w:trPr>
        <w:tc>
          <w:tcPr>
            <w:tcW w:w="2542"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837"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3038" w:type="dxa"/>
            <w:gridSpan w:val="2"/>
            <w:vMerge/>
            <w:tcBorders>
              <w:left w:val="single" w:sz="4" w:space="0" w:color="000000"/>
              <w:bottom w:val="single" w:sz="4" w:space="0" w:color="000000"/>
              <w:right w:val="single" w:sz="4" w:space="0" w:color="000000"/>
            </w:tcBorders>
            <w:shd w:val="clear" w:color="auto" w:fill="D2D2D2"/>
          </w:tcPr>
          <w:p>
            <w:pPr/>
          </w:p>
        </w:tc>
        <w:tc>
          <w:tcPr>
            <w:tcW w:w="3146"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542" w:type="dxa"/>
            <w:vMerge/>
            <w:tcBorders>
              <w:left w:val="single" w:sz="4" w:space="0" w:color="000000"/>
              <w:bottom w:val="nil" w:sz="6" w:space="0" w:color="auto"/>
              <w:right w:val="single" w:sz="4" w:space="0" w:color="000000"/>
            </w:tcBorders>
            <w:shd w:val="clear" w:color="auto" w:fill="D2D2D2"/>
          </w:tcPr>
          <w:p>
            <w:pPr/>
          </w:p>
        </w:tc>
        <w:tc>
          <w:tcPr>
            <w:tcW w:w="1579"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364"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58"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计提坏账金额</w:t>
            </w:r>
            <w:r>
              <w:rPr>
                <w:rFonts w:ascii="宋体" w:hAnsi="宋体" w:cs="宋体" w:eastAsia="宋体" w:hint="default"/>
                <w:sz w:val="21"/>
                <w:szCs w:val="21"/>
              </w:rPr>
            </w: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45"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88" w:right="0"/>
              <w:jc w:val="left"/>
              <w:rPr>
                <w:rFonts w:ascii="宋体" w:hAnsi="宋体" w:cs="宋体" w:eastAsia="宋体" w:hint="default"/>
                <w:sz w:val="21"/>
                <w:szCs w:val="21"/>
              </w:rPr>
            </w:pPr>
            <w:r>
              <w:rPr>
                <w:rFonts w:ascii="宋体" w:hAnsi="宋体" w:cs="宋体" w:eastAsia="宋体" w:hint="default"/>
                <w:b/>
                <w:bCs/>
                <w:sz w:val="21"/>
                <w:szCs w:val="21"/>
              </w:rPr>
              <w:t>计提坏账金额</w:t>
            </w:r>
            <w:r>
              <w:rPr>
                <w:rFonts w:ascii="宋体" w:hAnsi="宋体" w:cs="宋体" w:eastAsia="宋体" w:hint="default"/>
                <w:sz w:val="21"/>
                <w:szCs w:val="21"/>
              </w:rPr>
            </w:r>
          </w:p>
        </w:tc>
      </w:tr>
      <w:tr>
        <w:trPr>
          <w:trHeight w:val="166" w:hRule="exact"/>
        </w:trPr>
        <w:tc>
          <w:tcPr>
            <w:tcW w:w="25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9" w:type="dxa"/>
            <w:vMerge/>
            <w:tcBorders>
              <w:left w:val="single" w:sz="4" w:space="0" w:color="000000"/>
              <w:bottom w:val="single" w:sz="4" w:space="0" w:color="000000"/>
              <w:right w:val="single" w:sz="4" w:space="0" w:color="000000"/>
            </w:tcBorders>
            <w:shd w:val="clear" w:color="auto" w:fill="D2D2D2"/>
          </w:tcPr>
          <w:p>
            <w:pPr/>
          </w:p>
        </w:tc>
        <w:tc>
          <w:tcPr>
            <w:tcW w:w="1458" w:type="dxa"/>
            <w:vMerge/>
            <w:tcBorders>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1445" w:type="dxa"/>
            <w:vMerge/>
            <w:tcBorders>
              <w:left w:val="single" w:sz="4" w:space="0" w:color="000000"/>
              <w:bottom w:val="single" w:sz="4" w:space="0" w:color="000000"/>
              <w:right w:val="single" w:sz="4" w:space="0" w:color="000000"/>
            </w:tcBorders>
            <w:shd w:val="clear" w:color="auto" w:fill="D2D2D2"/>
          </w:tcPr>
          <w:p>
            <w:pPr/>
          </w:p>
        </w:tc>
      </w:tr>
      <w:tr>
        <w:trPr>
          <w:trHeight w:val="324" w:hRule="exact"/>
        </w:trPr>
        <w:tc>
          <w:tcPr>
            <w:tcW w:w="2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18"/>
              <w:jc w:val="right"/>
              <w:rPr>
                <w:rFonts w:ascii="Calibri" w:hAnsi="Calibri" w:cs="Calibri" w:eastAsia="Calibri" w:hint="default"/>
                <w:sz w:val="21"/>
                <w:szCs w:val="21"/>
              </w:rPr>
            </w:pPr>
            <w:r>
              <w:rPr>
                <w:rFonts w:ascii="Calibri"/>
                <w:w w:val="100"/>
                <w:sz w:val="21"/>
              </w:rPr>
              <w:t>0</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w w:val="100"/>
                <w:sz w:val="21"/>
              </w:rPr>
              <w:t>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w w:val="100"/>
                <w:sz w:val="21"/>
              </w:rPr>
              <w:t>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8"/>
              <w:jc w:val="right"/>
              <w:rPr>
                <w:rFonts w:ascii="Calibri" w:hAnsi="Calibri" w:cs="Calibri" w:eastAsia="Calibri" w:hint="default"/>
                <w:sz w:val="21"/>
                <w:szCs w:val="21"/>
              </w:rPr>
            </w:pPr>
            <w:r>
              <w:rPr>
                <w:rFonts w:ascii="Calibri"/>
                <w:w w:val="100"/>
                <w:sz w:val="21"/>
              </w:rPr>
              <w:t>0</w:t>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）金额较大的其他应收款的性质或内容</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2165"/>
        <w:gridCol w:w="1974"/>
        <w:gridCol w:w="1821"/>
        <w:gridCol w:w="2777"/>
      </w:tblGrid>
      <w:tr>
        <w:trPr>
          <w:trHeight w:val="322"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款项的性质或内容</w:t>
            </w:r>
            <w:r>
              <w:rPr>
                <w:rFonts w:ascii="宋体" w:hAnsi="宋体" w:cs="宋体" w:eastAsia="宋体" w:hint="default"/>
                <w:sz w:val="21"/>
                <w:szCs w:val="21"/>
              </w:rPr>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86" w:right="0"/>
              <w:jc w:val="left"/>
              <w:rPr>
                <w:rFonts w:ascii="Calibri" w:hAnsi="Calibri" w:cs="Calibri" w:eastAsia="Calibri" w:hint="default"/>
                <w:sz w:val="21"/>
                <w:szCs w:val="21"/>
              </w:rPr>
            </w:pPr>
            <w:r>
              <w:rPr>
                <w:rFonts w:ascii="宋体" w:hAnsi="宋体" w:cs="宋体" w:eastAsia="宋体" w:hint="default"/>
                <w:b/>
                <w:bCs/>
                <w:sz w:val="21"/>
                <w:szCs w:val="21"/>
              </w:rPr>
              <w:t>占其他应收款总额的比例</w:t>
            </w:r>
            <w:r>
              <w:rPr>
                <w:rFonts w:ascii="Calibri" w:hAnsi="Calibri" w:cs="Calibri" w:eastAsia="Calibri" w:hint="default"/>
                <w:b/>
                <w:bCs/>
                <w:sz w:val="21"/>
                <w:szCs w:val="21"/>
              </w:rPr>
              <w:t>(%)</w:t>
            </w:r>
            <w:r>
              <w:rPr>
                <w:rFonts w:ascii="Calibri" w:hAnsi="Calibri" w:cs="Calibri" w:eastAsia="Calibri" w:hint="default"/>
                <w:sz w:val="21"/>
                <w:szCs w:val="21"/>
              </w:rPr>
            </w:r>
          </w:p>
        </w:tc>
      </w:tr>
      <w:tr>
        <w:trPr>
          <w:trHeight w:val="325" w:hRule="exact"/>
        </w:trPr>
        <w:tc>
          <w:tcPr>
            <w:tcW w:w="2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74"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30"/>
              <w:ind w:right="20"/>
              <w:jc w:val="right"/>
              <w:rPr>
                <w:rFonts w:ascii="Calibri" w:hAnsi="Calibri" w:cs="Calibri" w:eastAsia="Calibri" w:hint="default"/>
                <w:sz w:val="21"/>
                <w:szCs w:val="21"/>
              </w:rPr>
            </w:pPr>
            <w:r>
              <w:rPr>
                <w:rFonts w:ascii="Calibri"/>
                <w:w w:val="100"/>
                <w:sz w:val="21"/>
              </w:rPr>
              <w:t>0</w:t>
            </w:r>
          </w:p>
        </w:tc>
        <w:tc>
          <w:tcPr>
            <w:tcW w:w="1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Calibri" w:hAnsi="Calibri" w:cs="Calibri" w:eastAsia="Calibri" w:hint="default"/>
                <w:sz w:val="21"/>
                <w:szCs w:val="21"/>
              </w:rPr>
            </w:pPr>
            <w:r>
              <w:rPr>
                <w:rFonts w:ascii="Calibri"/>
                <w:sz w:val="21"/>
              </w:rPr>
              <w:t>--</w:t>
            </w:r>
          </w:p>
        </w:tc>
        <w:tc>
          <w:tcPr>
            <w:tcW w:w="27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w w:val="100"/>
                <w:sz w:val="21"/>
              </w:rPr>
              <w:t>0</w:t>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005"/>
        <w:gridCol w:w="1560"/>
        <w:gridCol w:w="1419"/>
        <w:gridCol w:w="1277"/>
        <w:gridCol w:w="1488"/>
      </w:tblGrid>
      <w:tr>
        <w:trPr>
          <w:trHeight w:val="635" w:hRule="exact"/>
        </w:trPr>
        <w:tc>
          <w:tcPr>
            <w:tcW w:w="3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4"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b/>
                <w:bCs/>
                <w:sz w:val="21"/>
                <w:szCs w:val="21"/>
              </w:rPr>
              <w:t>年限</w:t>
            </w:r>
            <w:r>
              <w:rPr>
                <w:rFonts w:ascii="宋体" w:hAnsi="宋体" w:cs="宋体" w:eastAsia="宋体" w:hint="default"/>
                <w:sz w:val="21"/>
                <w:szCs w:val="21"/>
              </w:rPr>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7" w:right="68" w:firstLine="38"/>
              <w:jc w:val="left"/>
              <w:rPr>
                <w:rFonts w:ascii="Calibri" w:hAnsi="Calibri" w:cs="Calibri" w:eastAsia="Calibri" w:hint="default"/>
                <w:sz w:val="21"/>
                <w:szCs w:val="21"/>
              </w:rPr>
            </w:pPr>
            <w:r>
              <w:rPr>
                <w:rFonts w:ascii="宋体" w:hAnsi="宋体" w:cs="宋体" w:eastAsia="宋体" w:hint="default"/>
                <w:b/>
                <w:bCs/>
                <w:sz w:val="21"/>
                <w:szCs w:val="21"/>
              </w:rPr>
              <w:t>占其他应收款</w:t>
            </w:r>
            <w:r>
              <w:rPr>
                <w:rFonts w:ascii="宋体" w:hAnsi="宋体" w:cs="宋体" w:eastAsia="宋体" w:hint="default"/>
                <w:b/>
                <w:bCs/>
                <w:w w:val="100"/>
                <w:sz w:val="21"/>
                <w:szCs w:val="21"/>
              </w:rPr>
              <w:t> </w:t>
            </w:r>
            <w:r>
              <w:rPr>
                <w:rFonts w:ascii="宋体" w:hAnsi="宋体" w:cs="宋体" w:eastAsia="宋体" w:hint="default"/>
                <w:b/>
                <w:bCs/>
                <w:sz w:val="21"/>
                <w:szCs w:val="21"/>
              </w:rPr>
              <w:t>总额的比例</w:t>
            </w:r>
            <w:r>
              <w:rPr>
                <w:rFonts w:ascii="Calibri" w:hAnsi="Calibri" w:cs="Calibri" w:eastAsia="Calibri" w:hint="default"/>
                <w:b/>
                <w:bCs/>
                <w:sz w:val="21"/>
                <w:szCs w:val="21"/>
              </w:rPr>
              <w:t>(%)</w:t>
            </w:r>
            <w:r>
              <w:rPr>
                <w:rFonts w:ascii="Calibri" w:hAnsi="Calibri" w:cs="Calibri" w:eastAsia="Calibri" w:hint="default"/>
                <w:sz w:val="21"/>
                <w:szCs w:val="21"/>
              </w:rPr>
            </w:r>
          </w:p>
        </w:tc>
      </w:tr>
      <w:tr>
        <w:trPr>
          <w:trHeight w:val="32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中科软科技股份有限公司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4" w:right="0"/>
              <w:jc w:val="left"/>
              <w:rPr>
                <w:rFonts w:ascii="Calibri" w:hAnsi="Calibri" w:cs="Calibri" w:eastAsia="Calibri" w:hint="default"/>
                <w:sz w:val="21"/>
                <w:szCs w:val="21"/>
              </w:rPr>
            </w:pPr>
            <w:r>
              <w:rPr>
                <w:rFonts w:ascii="Calibri"/>
                <w:sz w:val="21"/>
              </w:rPr>
              <w:t>1,090,050.00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51" w:right="0"/>
              <w:jc w:val="left"/>
              <w:rPr>
                <w:rFonts w:ascii="Calibri" w:hAnsi="Calibri" w:cs="Calibri" w:eastAsia="Calibri" w:hint="default"/>
                <w:sz w:val="21"/>
                <w:szCs w:val="21"/>
              </w:rPr>
            </w:pPr>
            <w:r>
              <w:rPr>
                <w:rFonts w:ascii="Calibri"/>
                <w:sz w:val="21"/>
              </w:rPr>
              <w:t>5.48</w:t>
            </w:r>
          </w:p>
        </w:tc>
      </w:tr>
      <w:tr>
        <w:trPr>
          <w:trHeight w:val="32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广西鸿雁食品有限公司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Calibri" w:hAnsi="Calibri" w:cs="Calibri" w:eastAsia="Calibri" w:hint="default"/>
                <w:sz w:val="21"/>
                <w:szCs w:val="21"/>
              </w:rPr>
            </w:pPr>
            <w:r>
              <w:rPr>
                <w:rFonts w:ascii="Calibri"/>
                <w:sz w:val="21"/>
              </w:rPr>
              <w:t>540,000.00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49" w:right="0"/>
              <w:jc w:val="left"/>
              <w:rPr>
                <w:rFonts w:ascii="Calibri" w:hAnsi="Calibri" w:cs="Calibri" w:eastAsia="Calibri" w:hint="default"/>
                <w:sz w:val="21"/>
                <w:szCs w:val="21"/>
              </w:rPr>
            </w:pPr>
            <w:r>
              <w:rPr>
                <w:rFonts w:ascii="Calibri"/>
                <w:sz w:val="21"/>
              </w:rPr>
              <w:t>2.71</w:t>
            </w:r>
          </w:p>
        </w:tc>
      </w:tr>
      <w:tr>
        <w:trPr>
          <w:trHeight w:val="32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贵州阳光产权交易所有限公司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Calibri" w:hAnsi="Calibri" w:cs="Calibri" w:eastAsia="Calibri" w:hint="default"/>
                <w:sz w:val="21"/>
                <w:szCs w:val="21"/>
              </w:rPr>
            </w:pPr>
            <w:r>
              <w:rPr>
                <w:rFonts w:ascii="Calibri"/>
                <w:sz w:val="21"/>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51" w:right="0"/>
              <w:jc w:val="left"/>
              <w:rPr>
                <w:rFonts w:ascii="Calibri" w:hAnsi="Calibri" w:cs="Calibri" w:eastAsia="Calibri" w:hint="default"/>
                <w:sz w:val="21"/>
                <w:szCs w:val="21"/>
              </w:rPr>
            </w:pPr>
            <w:r>
              <w:rPr>
                <w:rFonts w:ascii="Calibri"/>
                <w:sz w:val="21"/>
              </w:rPr>
              <w:t>2.51</w:t>
            </w:r>
          </w:p>
        </w:tc>
      </w:tr>
      <w:tr>
        <w:trPr>
          <w:trHeight w:val="32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西安市市级单位政府采购中心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3" w:right="0"/>
              <w:jc w:val="left"/>
              <w:rPr>
                <w:rFonts w:ascii="Calibri" w:hAnsi="Calibri" w:cs="Calibri" w:eastAsia="Calibri" w:hint="default"/>
                <w:sz w:val="21"/>
                <w:szCs w:val="21"/>
              </w:rPr>
            </w:pPr>
            <w:r>
              <w:rPr>
                <w:rFonts w:ascii="Calibri"/>
                <w:sz w:val="21"/>
              </w:rPr>
              <w:t>300,000.00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51" w:right="0"/>
              <w:jc w:val="left"/>
              <w:rPr>
                <w:rFonts w:ascii="Calibri" w:hAnsi="Calibri" w:cs="Calibri" w:eastAsia="Calibri" w:hint="default"/>
                <w:sz w:val="21"/>
                <w:szCs w:val="21"/>
              </w:rPr>
            </w:pPr>
            <w:r>
              <w:rPr>
                <w:rFonts w:ascii="Calibri"/>
                <w:sz w:val="21"/>
              </w:rPr>
              <w:t>1.51</w:t>
            </w:r>
          </w:p>
        </w:tc>
      </w:tr>
      <w:tr>
        <w:trPr>
          <w:trHeight w:val="322" w:hRule="exact"/>
        </w:trPr>
        <w:tc>
          <w:tcPr>
            <w:tcW w:w="30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4" w:right="0"/>
              <w:jc w:val="center"/>
              <w:rPr>
                <w:rFonts w:ascii="宋体" w:hAnsi="宋体" w:cs="宋体" w:eastAsia="宋体" w:hint="default"/>
                <w:sz w:val="21"/>
                <w:szCs w:val="21"/>
              </w:rPr>
            </w:pPr>
            <w:r>
              <w:rPr>
                <w:rFonts w:ascii="宋体" w:hAnsi="宋体" w:cs="宋体" w:eastAsia="宋体" w:hint="default"/>
                <w:sz w:val="21"/>
                <w:szCs w:val="21"/>
              </w:rPr>
              <w:t>北京电子城有限责任公司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25" w:right="0"/>
              <w:jc w:val="left"/>
              <w:rPr>
                <w:rFonts w:ascii="Calibri" w:hAnsi="Calibri" w:cs="Calibri" w:eastAsia="Calibri" w:hint="default"/>
                <w:sz w:val="21"/>
                <w:szCs w:val="21"/>
              </w:rPr>
            </w:pPr>
            <w:r>
              <w:rPr>
                <w:rFonts w:ascii="Calibri"/>
                <w:sz w:val="21"/>
              </w:rPr>
              <w:t>289,761.94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51" w:right="0"/>
              <w:jc w:val="left"/>
              <w:rPr>
                <w:rFonts w:ascii="Calibri" w:hAnsi="Calibri" w:cs="Calibri" w:eastAsia="Calibri" w:hint="default"/>
                <w:sz w:val="21"/>
                <w:szCs w:val="21"/>
              </w:rPr>
            </w:pPr>
            <w:r>
              <w:rPr>
                <w:rFonts w:ascii="Calibri"/>
                <w:sz w:val="21"/>
              </w:rPr>
              <w:t>1.46</w:t>
            </w:r>
          </w:p>
        </w:tc>
      </w:tr>
      <w:tr>
        <w:trPr>
          <w:trHeight w:val="324" w:hRule="exact"/>
        </w:trPr>
        <w:tc>
          <w:tcPr>
            <w:tcW w:w="3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6" w:right="0"/>
              <w:jc w:val="left"/>
              <w:rPr>
                <w:rFonts w:ascii="Calibri" w:hAnsi="Calibri" w:cs="Calibri" w:eastAsia="Calibri" w:hint="default"/>
                <w:sz w:val="21"/>
                <w:szCs w:val="21"/>
              </w:rPr>
            </w:pPr>
            <w:r>
              <w:rPr>
                <w:rFonts w:ascii="Calibri"/>
                <w:sz w:val="21"/>
              </w:rPr>
              <w:t>2,719,811.94</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4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967" w:right="0"/>
              <w:jc w:val="left"/>
              <w:rPr>
                <w:rFonts w:ascii="Calibri" w:hAnsi="Calibri" w:cs="Calibri" w:eastAsia="Calibri" w:hint="default"/>
                <w:sz w:val="21"/>
                <w:szCs w:val="21"/>
              </w:rPr>
            </w:pPr>
            <w:r>
              <w:rPr>
                <w:rFonts w:ascii="Calibri"/>
                <w:sz w:val="21"/>
              </w:rPr>
              <w:t>13.67</w:t>
            </w:r>
          </w:p>
        </w:tc>
      </w:tr>
    </w:tbl>
    <w:p>
      <w:pPr>
        <w:spacing w:after="0" w:line="240" w:lineRule="auto"/>
        <w:jc w:val="left"/>
        <w:rPr>
          <w:rFonts w:ascii="Calibri" w:hAnsi="Calibri" w:cs="Calibri" w:eastAsia="Calibri" w:hint="default"/>
          <w:sz w:val="21"/>
          <w:szCs w:val="21"/>
        </w:rPr>
        <w:sectPr>
          <w:pgSz w:w="11910" w:h="16840"/>
          <w:pgMar w:header="884" w:footer="1007" w:top="1160" w:bottom="1200" w:left="1240" w:right="1260"/>
        </w:sectPr>
      </w:pPr>
    </w:p>
    <w:p>
      <w:pPr>
        <w:spacing w:line="240" w:lineRule="auto" w:before="4"/>
        <w:rPr>
          <w:rFonts w:ascii="宋体" w:hAnsi="宋体" w:cs="宋体" w:eastAsia="宋体" w:hint="default"/>
          <w:sz w:val="16"/>
          <w:szCs w:val="16"/>
        </w:rPr>
      </w:pPr>
    </w:p>
    <w:p>
      <w:pPr>
        <w:spacing w:before="36"/>
        <w:ind w:left="558" w:right="388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）其他应收关联方账款情况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9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2069"/>
        <w:gridCol w:w="2222"/>
        <w:gridCol w:w="2223"/>
        <w:gridCol w:w="2211"/>
      </w:tblGrid>
      <w:tr>
        <w:trPr>
          <w:trHeight w:val="161" w:hRule="exact"/>
        </w:trPr>
        <w:tc>
          <w:tcPr>
            <w:tcW w:w="2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2" w:type="dxa"/>
            <w:tcBorders>
              <w:top w:val="single" w:sz="4" w:space="0" w:color="000000"/>
              <w:left w:val="single" w:sz="4" w:space="0" w:color="000000"/>
              <w:bottom w:val="nil" w:sz="6" w:space="0" w:color="auto"/>
              <w:right w:val="single" w:sz="4" w:space="0" w:color="000000"/>
            </w:tcBorders>
            <w:shd w:val="clear" w:color="auto" w:fill="D2D2D2"/>
          </w:tcPr>
          <w:p>
            <w:pPr/>
          </w:p>
        </w:tc>
        <w:tc>
          <w:tcPr>
            <w:tcW w:w="2223" w:type="dxa"/>
            <w:tcBorders>
              <w:top w:val="single" w:sz="4" w:space="0" w:color="000000"/>
              <w:left w:val="single" w:sz="4" w:space="0" w:color="000000"/>
              <w:bottom w:val="nil" w:sz="6" w:space="0" w:color="auto"/>
              <w:right w:val="single" w:sz="4" w:space="0" w:color="000000"/>
            </w:tcBorders>
            <w:shd w:val="clear" w:color="auto" w:fill="D2D2D2"/>
          </w:tcPr>
          <w:p>
            <w:pPr/>
          </w:p>
        </w:tc>
        <w:tc>
          <w:tcPr>
            <w:tcW w:w="221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859" w:right="36" w:hanging="807"/>
              <w:jc w:val="left"/>
              <w:rPr>
                <w:rFonts w:ascii="Calibri" w:hAnsi="Calibri" w:cs="Calibri" w:eastAsia="Calibri" w:hint="default"/>
                <w:sz w:val="21"/>
                <w:szCs w:val="21"/>
              </w:rPr>
            </w:pPr>
            <w:r>
              <w:rPr>
                <w:rFonts w:ascii="宋体" w:hAnsi="宋体" w:cs="宋体" w:eastAsia="宋体" w:hint="default"/>
                <w:b/>
                <w:bCs/>
                <w:sz w:val="21"/>
                <w:szCs w:val="21"/>
              </w:rPr>
              <w:t>占其他应收款总额的比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Calibri" w:hAnsi="Calibri" w:cs="Calibri" w:eastAsia="Calibri" w:hint="default"/>
                <w:b/>
                <w:bCs/>
                <w:sz w:val="21"/>
                <w:szCs w:val="21"/>
              </w:rPr>
              <w:t>(%)</w:t>
            </w:r>
            <w:r>
              <w:rPr>
                <w:rFonts w:ascii="Calibri" w:hAnsi="Calibri" w:cs="Calibri" w:eastAsia="Calibri" w:hint="default"/>
                <w:sz w:val="21"/>
                <w:szCs w:val="21"/>
              </w:rPr>
            </w:r>
          </w:p>
        </w:tc>
      </w:tr>
      <w:tr>
        <w:trPr>
          <w:trHeight w:val="312" w:hRule="exact"/>
        </w:trPr>
        <w:tc>
          <w:tcPr>
            <w:tcW w:w="2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2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22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211" w:type="dxa"/>
            <w:vMerge/>
            <w:tcBorders>
              <w:left w:val="single" w:sz="4" w:space="0" w:color="000000"/>
              <w:right w:val="single" w:sz="4" w:space="0" w:color="000000"/>
            </w:tcBorders>
            <w:shd w:val="clear" w:color="auto" w:fill="D2D2D2"/>
          </w:tcPr>
          <w:p>
            <w:pPr/>
          </w:p>
        </w:tc>
      </w:tr>
      <w:tr>
        <w:trPr>
          <w:trHeight w:val="161" w:hRule="exact"/>
        </w:trPr>
        <w:tc>
          <w:tcPr>
            <w:tcW w:w="2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22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2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11"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sz w:val="21"/>
                <w:szCs w:val="21"/>
              </w:rPr>
              <w:t>合计</w:t>
            </w:r>
          </w:p>
        </w:tc>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22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2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6"/>
              <w:jc w:val="right"/>
              <w:rPr>
                <w:rFonts w:ascii="Calibri" w:hAnsi="Calibri" w:cs="Calibri" w:eastAsia="Calibri" w:hint="default"/>
                <w:sz w:val="21"/>
                <w:szCs w:val="21"/>
              </w:rPr>
            </w:pPr>
            <w:r>
              <w:rPr>
                <w:rFonts w:ascii="Calibri"/>
                <w:w w:val="100"/>
                <w:sz w:val="21"/>
              </w:rPr>
              <w:t>0</w:t>
            </w:r>
          </w:p>
        </w:tc>
      </w:tr>
    </w:tbl>
    <w:p>
      <w:pPr>
        <w:spacing w:line="240" w:lineRule="auto" w:before="3"/>
        <w:rPr>
          <w:rFonts w:ascii="宋体" w:hAnsi="宋体" w:cs="宋体" w:eastAsia="宋体" w:hint="default"/>
          <w:sz w:val="19"/>
          <w:szCs w:val="19"/>
        </w:rPr>
      </w:pPr>
    </w:p>
    <w:p>
      <w:pPr>
        <w:spacing w:before="36"/>
        <w:ind w:left="558" w:right="388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）终止确认的其他应收款项情况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9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722"/>
        <w:gridCol w:w="2746"/>
        <w:gridCol w:w="3281"/>
      </w:tblGrid>
      <w:tr>
        <w:trPr>
          <w:trHeight w:val="322" w:hRule="exact"/>
        </w:trPr>
        <w:tc>
          <w:tcPr>
            <w:tcW w:w="2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138"/>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41" w:right="0"/>
              <w:jc w:val="left"/>
              <w:rPr>
                <w:rFonts w:ascii="宋体" w:hAnsi="宋体" w:cs="宋体" w:eastAsia="宋体" w:hint="default"/>
                <w:sz w:val="21"/>
                <w:szCs w:val="21"/>
              </w:rPr>
            </w:pPr>
            <w:r>
              <w:rPr>
                <w:rFonts w:ascii="宋体" w:hAnsi="宋体" w:cs="宋体" w:eastAsia="宋体" w:hint="default"/>
                <w:b/>
                <w:bCs/>
                <w:sz w:val="21"/>
                <w:szCs w:val="21"/>
              </w:rPr>
              <w:t>终止确认金额</w:t>
            </w:r>
            <w:r>
              <w:rPr>
                <w:rFonts w:ascii="宋体" w:hAnsi="宋体" w:cs="宋体" w:eastAsia="宋体" w:hint="default"/>
                <w:sz w:val="21"/>
                <w:szCs w:val="21"/>
              </w:rPr>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与终止确认相关的利得或损失</w:t>
            </w:r>
            <w:r>
              <w:rPr>
                <w:rFonts w:ascii="宋体" w:hAnsi="宋体" w:cs="宋体" w:eastAsia="宋体" w:hint="default"/>
                <w:sz w:val="21"/>
                <w:szCs w:val="21"/>
              </w:rPr>
            </w:r>
          </w:p>
        </w:tc>
      </w:tr>
      <w:tr>
        <w:trPr>
          <w:trHeight w:val="322" w:hRule="exact"/>
        </w:trPr>
        <w:tc>
          <w:tcPr>
            <w:tcW w:w="2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1136"/>
              <w:jc w:val="right"/>
              <w:rPr>
                <w:rFonts w:ascii="宋体" w:hAnsi="宋体" w:cs="宋体" w:eastAsia="宋体" w:hint="default"/>
                <w:sz w:val="21"/>
                <w:szCs w:val="21"/>
              </w:rPr>
            </w:pPr>
            <w:r>
              <w:rPr>
                <w:rFonts w:ascii="宋体" w:hAnsi="宋体" w:cs="宋体" w:eastAsia="宋体" w:hint="default"/>
                <w:sz w:val="21"/>
                <w:szCs w:val="21"/>
              </w:rPr>
              <w:t>合计</w:t>
            </w:r>
          </w:p>
        </w:tc>
        <w:tc>
          <w:tcPr>
            <w:tcW w:w="27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09"/>
              <w:jc w:val="right"/>
              <w:rPr>
                <w:rFonts w:ascii="Calibri" w:hAnsi="Calibri" w:cs="Calibri" w:eastAsia="Calibri" w:hint="default"/>
                <w:sz w:val="21"/>
                <w:szCs w:val="21"/>
              </w:rPr>
            </w:pPr>
            <w:r>
              <w:rPr>
                <w:rFonts w:ascii="Calibri"/>
                <w:w w:val="100"/>
                <w:sz w:val="21"/>
              </w:rPr>
              <w:t>0</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9"/>
              <w:jc w:val="right"/>
              <w:rPr>
                <w:rFonts w:ascii="Calibri" w:hAnsi="Calibri" w:cs="Calibri" w:eastAsia="Calibri" w:hint="default"/>
                <w:sz w:val="21"/>
                <w:szCs w:val="21"/>
              </w:rPr>
            </w:pPr>
            <w:r>
              <w:rPr>
                <w:rFonts w:ascii="Calibri"/>
                <w:w w:val="100"/>
                <w:sz w:val="21"/>
              </w:rPr>
              <w:t>0</w:t>
            </w:r>
          </w:p>
        </w:tc>
      </w:tr>
    </w:tbl>
    <w:p>
      <w:pPr>
        <w:spacing w:line="240" w:lineRule="auto" w:before="3"/>
        <w:rPr>
          <w:rFonts w:ascii="宋体" w:hAnsi="宋体" w:cs="宋体" w:eastAsia="宋体" w:hint="default"/>
          <w:sz w:val="19"/>
          <w:szCs w:val="19"/>
        </w:rPr>
      </w:pPr>
    </w:p>
    <w:p>
      <w:pPr>
        <w:spacing w:before="36"/>
        <w:ind w:left="558" w:right="8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）以其他应收款为标的进行证券化的，列示继续涉入形成的资产、负债的金额</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9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3384"/>
        <w:gridCol w:w="5354"/>
      </w:tblGrid>
      <w:tr>
        <w:trPr>
          <w:trHeight w:val="322" w:hRule="exact"/>
        </w:trPr>
        <w:tc>
          <w:tcPr>
            <w:tcW w:w="3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5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22" w:hRule="exact"/>
        </w:trPr>
        <w:tc>
          <w:tcPr>
            <w:tcW w:w="87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w:t>
            </w:r>
          </w:p>
        </w:tc>
      </w:tr>
      <w:tr>
        <w:trPr>
          <w:trHeight w:val="322" w:hRule="exact"/>
        </w:trPr>
        <w:tc>
          <w:tcPr>
            <w:tcW w:w="3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资产小计</w:t>
            </w:r>
          </w:p>
        </w:tc>
        <w:tc>
          <w:tcPr>
            <w:tcW w:w="53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322" w:hRule="exact"/>
        </w:trPr>
        <w:tc>
          <w:tcPr>
            <w:tcW w:w="87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w:t>
            </w:r>
          </w:p>
        </w:tc>
      </w:tr>
      <w:tr>
        <w:trPr>
          <w:trHeight w:val="324" w:hRule="exact"/>
        </w:trPr>
        <w:tc>
          <w:tcPr>
            <w:tcW w:w="3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负债小计</w:t>
            </w:r>
          </w:p>
        </w:tc>
        <w:tc>
          <w:tcPr>
            <w:tcW w:w="535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bl>
    <w:p>
      <w:pPr>
        <w:spacing w:line="240" w:lineRule="auto" w:before="3"/>
        <w:rPr>
          <w:rFonts w:ascii="宋体" w:hAnsi="宋体" w:cs="宋体" w:eastAsia="宋体" w:hint="default"/>
          <w:sz w:val="19"/>
          <w:szCs w:val="19"/>
        </w:rPr>
      </w:pPr>
    </w:p>
    <w:p>
      <w:pPr>
        <w:spacing w:before="36"/>
        <w:ind w:left="558" w:right="388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、预付款项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58" w:right="388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9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5"/>
        <w:rPr>
          <w:rFonts w:ascii="宋体" w:hAnsi="宋体" w:cs="宋体" w:eastAsia="宋体" w:hint="default"/>
          <w:sz w:val="25"/>
          <w:szCs w:val="25"/>
        </w:rPr>
      </w:pPr>
    </w:p>
    <w:p>
      <w:pPr>
        <w:spacing w:before="36"/>
        <w:ind w:left="0" w:right="112" w:firstLine="0"/>
        <w:jc w:val="right"/>
        <w:rPr>
          <w:rFonts w:ascii="宋体" w:hAnsi="宋体" w:cs="宋体" w:eastAsia="宋体" w:hint="default"/>
          <w:sz w:val="21"/>
          <w:szCs w:val="21"/>
        </w:rPr>
      </w:pPr>
      <w:r>
        <w:rPr/>
        <w:pict>
          <v:shape style="position:absolute;margin-left:329.829987pt;margin-top:2.423687pt;width:146.1pt;height:15.6pt;mso-position-horizontal-relative:page;mso-position-vertical-relative:paragraph;z-index:-917848" type="#_x0000_t202" filled="false" stroked="false">
            <v:textbox inset="0,0,0,0">
              <w:txbxContent>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xbxContent>
            </v:textbox>
            <w10:wrap type="none"/>
          </v:shape>
        </w:pict>
      </w:r>
      <w:r>
        <w:rPr/>
        <w:pict>
          <v:shape style="position:absolute;margin-left:88.823997pt;margin-top:-14.136324pt;width:437.6pt;height:113.2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75"/>
                    <w:gridCol w:w="2926"/>
                    <w:gridCol w:w="972"/>
                    <w:gridCol w:w="2792"/>
                    <w:gridCol w:w="972"/>
                  </w:tblGrid>
                  <w:tr>
                    <w:trPr>
                      <w:trHeight w:val="166" w:hRule="exact"/>
                    </w:trPr>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76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156" w:hRule="exact"/>
                    </w:trPr>
                    <w:tc>
                      <w:tcPr>
                        <w:tcW w:w="1075"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321"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899" w:type="dxa"/>
                        <w:gridSpan w:val="2"/>
                        <w:vMerge/>
                        <w:tcBorders>
                          <w:left w:val="single" w:sz="4" w:space="0" w:color="000000"/>
                          <w:bottom w:val="single" w:sz="4" w:space="0" w:color="000000"/>
                          <w:right w:val="single" w:sz="4" w:space="0" w:color="000000"/>
                        </w:tcBorders>
                        <w:shd w:val="clear" w:color="auto" w:fill="D2D2D2"/>
                      </w:tcPr>
                      <w:p>
                        <w:pPr/>
                      </w:p>
                    </w:tc>
                    <w:tc>
                      <w:tcPr>
                        <w:tcW w:w="3764" w:type="dxa"/>
                        <w:gridSpan w:val="2"/>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1075" w:type="dxa"/>
                        <w:vMerge/>
                        <w:tcBorders>
                          <w:left w:val="single" w:sz="4" w:space="0" w:color="000000"/>
                          <w:bottom w:val="nil" w:sz="6" w:space="0" w:color="auto"/>
                          <w:right w:val="single" w:sz="4" w:space="0" w:color="000000"/>
                        </w:tcBorders>
                        <w:shd w:val="clear" w:color="auto" w:fill="D2D2D2"/>
                      </w:tcPr>
                      <w:p>
                        <w:pPr/>
                      </w:p>
                    </w:tc>
                    <w:tc>
                      <w:tcPr>
                        <w:tcW w:w="2926"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72" w:type="dxa"/>
                        <w:vMerge w:val="restart"/>
                        <w:tcBorders>
                          <w:top w:val="single" w:sz="4" w:space="0" w:color="000000"/>
                          <w:left w:val="single" w:sz="4" w:space="0" w:color="000000"/>
                          <w:right w:val="single" w:sz="4" w:space="0" w:color="000000"/>
                        </w:tcBorders>
                        <w:shd w:val="clear" w:color="auto" w:fill="D2D2D2"/>
                      </w:tcPr>
                      <w:p>
                        <w:pPr>
                          <w:pStyle w:val="TableParagraph"/>
                          <w:spacing w:line="289" w:lineRule="exact"/>
                          <w:ind w:left="23" w:right="0"/>
                          <w:jc w:val="left"/>
                          <w:rPr>
                            <w:rFonts w:ascii="Calibri" w:hAnsi="Calibri" w:cs="Calibri" w:eastAsia="Calibri" w:hint="default"/>
                            <w:sz w:val="21"/>
                            <w:szCs w:val="21"/>
                          </w:rPr>
                        </w:pPr>
                        <w:r>
                          <w:rPr>
                            <w:rFonts w:ascii="宋体" w:hAnsi="宋体" w:cs="宋体" w:eastAsia="宋体" w:hint="default"/>
                            <w:b/>
                            <w:bCs/>
                            <w:sz w:val="21"/>
                            <w:szCs w:val="21"/>
                          </w:rPr>
                          <w:t>比例（</w:t>
                        </w:r>
                        <w:r>
                          <w:rPr>
                            <w:rFonts w:ascii="Calibri" w:hAnsi="Calibri" w:cs="Calibri" w:eastAsia="Calibri" w:hint="default"/>
                            <w:b/>
                            <w:bCs/>
                            <w:sz w:val="21"/>
                            <w:szCs w:val="21"/>
                          </w:rPr>
                          <w:t>%</w:t>
                        </w:r>
                        <w:r>
                          <w:rPr>
                            <w:rFonts w:ascii="Calibri" w:hAnsi="Calibri" w:cs="Calibri" w:eastAsia="Calibri" w:hint="default"/>
                            <w:sz w:val="21"/>
                            <w:szCs w:val="21"/>
                          </w:rPr>
                        </w:r>
                      </w:p>
                    </w:tc>
                    <w:tc>
                      <w:tcPr>
                        <w:tcW w:w="2792"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972" w:type="dxa"/>
                        <w:vMerge w:val="restart"/>
                        <w:tcBorders>
                          <w:top w:val="single" w:sz="4" w:space="0" w:color="000000"/>
                          <w:left w:val="single" w:sz="4" w:space="0" w:color="000000"/>
                          <w:right w:val="single" w:sz="4" w:space="0" w:color="000000"/>
                        </w:tcBorders>
                        <w:shd w:val="clear" w:color="auto" w:fill="D2D2D2"/>
                      </w:tcPr>
                      <w:p>
                        <w:pPr>
                          <w:pStyle w:val="TableParagraph"/>
                          <w:spacing w:line="289" w:lineRule="exact"/>
                          <w:ind w:left="23" w:right="0"/>
                          <w:jc w:val="left"/>
                          <w:rPr>
                            <w:rFonts w:ascii="Calibri" w:hAnsi="Calibri" w:cs="Calibri" w:eastAsia="Calibri" w:hint="default"/>
                            <w:sz w:val="21"/>
                            <w:szCs w:val="21"/>
                          </w:rPr>
                        </w:pPr>
                        <w:r>
                          <w:rPr>
                            <w:rFonts w:ascii="宋体" w:hAnsi="宋体" w:cs="宋体" w:eastAsia="宋体" w:hint="default"/>
                            <w:b/>
                            <w:bCs/>
                            <w:sz w:val="21"/>
                            <w:szCs w:val="21"/>
                          </w:rPr>
                          <w:t>比例（</w:t>
                        </w:r>
                        <w:r>
                          <w:rPr>
                            <w:rFonts w:ascii="Calibri" w:hAnsi="Calibri" w:cs="Calibri" w:eastAsia="Calibri" w:hint="default"/>
                            <w:b/>
                            <w:bCs/>
                            <w:sz w:val="21"/>
                            <w:szCs w:val="21"/>
                          </w:rPr>
                          <w:t>%</w:t>
                        </w:r>
                        <w:r>
                          <w:rPr>
                            <w:rFonts w:ascii="Calibri" w:hAnsi="Calibri" w:cs="Calibri" w:eastAsia="Calibri" w:hint="default"/>
                            <w:sz w:val="21"/>
                            <w:szCs w:val="21"/>
                          </w:rPr>
                        </w:r>
                      </w:p>
                    </w:tc>
                  </w:tr>
                  <w:tr>
                    <w:trPr>
                      <w:trHeight w:val="166" w:hRule="exact"/>
                    </w:trPr>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926" w:type="dxa"/>
                        <w:vMerge/>
                        <w:tcBorders>
                          <w:left w:val="single" w:sz="4" w:space="0" w:color="000000"/>
                          <w:bottom w:val="single" w:sz="4" w:space="0" w:color="000000"/>
                          <w:right w:val="single" w:sz="4" w:space="0" w:color="000000"/>
                        </w:tcBorders>
                        <w:shd w:val="clear" w:color="auto" w:fill="D2D2D2"/>
                      </w:tcPr>
                      <w:p>
                        <w:pPr/>
                      </w:p>
                    </w:tc>
                    <w:tc>
                      <w:tcPr>
                        <w:tcW w:w="972" w:type="dxa"/>
                        <w:vMerge/>
                        <w:tcBorders>
                          <w:left w:val="single" w:sz="4" w:space="0" w:color="000000"/>
                          <w:bottom w:val="single" w:sz="4" w:space="0" w:color="000000"/>
                          <w:right w:val="single" w:sz="4" w:space="0" w:color="000000"/>
                        </w:tcBorders>
                        <w:shd w:val="clear" w:color="auto" w:fill="D2D2D2"/>
                      </w:tcPr>
                      <w:p>
                        <w:pPr/>
                      </w:p>
                    </w:tc>
                    <w:tc>
                      <w:tcPr>
                        <w:tcW w:w="2792" w:type="dxa"/>
                        <w:vMerge/>
                        <w:tcBorders>
                          <w:left w:val="single" w:sz="4" w:space="0" w:color="000000"/>
                          <w:bottom w:val="single" w:sz="4" w:space="0" w:color="000000"/>
                          <w:right w:val="single" w:sz="4" w:space="0" w:color="000000"/>
                        </w:tcBorders>
                        <w:shd w:val="clear" w:color="auto" w:fill="D2D2D2"/>
                      </w:tcPr>
                      <w:p>
                        <w:pPr/>
                      </w:p>
                    </w:tc>
                    <w:tc>
                      <w:tcPr>
                        <w:tcW w:w="972"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2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33,020,128.15</w:t>
                        </w:r>
                        <w:r>
                          <w:rPr>
                            <w:rFonts w:ascii="Arial Narrow"/>
                            <w:sz w:val="21"/>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99.37</w:t>
                        </w:r>
                        <w:r>
                          <w:rPr>
                            <w:rFonts w:ascii="Arial Narrow"/>
                            <w:sz w:val="21"/>
                          </w:rPr>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43,579,773.11</w:t>
                        </w:r>
                        <w:r>
                          <w:rPr>
                            <w:rFonts w:ascii="Arial Narrow"/>
                            <w:sz w:val="21"/>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78.49</w:t>
                        </w:r>
                        <w:r>
                          <w:rPr>
                            <w:rFonts w:ascii="Arial Narrow"/>
                            <w:sz w:val="21"/>
                          </w:rPr>
                        </w:r>
                      </w:p>
                    </w:tc>
                  </w:tr>
                  <w:tr>
                    <w:trPr>
                      <w:trHeight w:val="322" w:hRule="exact"/>
                    </w:trPr>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151,371.09</w:t>
                        </w:r>
                        <w:r>
                          <w:rPr>
                            <w:rFonts w:ascii="Arial Narrow"/>
                            <w:sz w:val="21"/>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0.46</w:t>
                        </w:r>
                        <w:r>
                          <w:rPr>
                            <w:rFonts w:ascii="Arial Narrow"/>
                            <w:sz w:val="21"/>
                          </w:rPr>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6,122,614.31</w:t>
                        </w:r>
                        <w:r>
                          <w:rPr>
                            <w:rFonts w:ascii="Arial Narrow"/>
                            <w:sz w:val="21"/>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11.03</w:t>
                        </w:r>
                        <w:r>
                          <w:rPr>
                            <w:rFonts w:ascii="Arial Narrow"/>
                            <w:sz w:val="21"/>
                          </w:rPr>
                        </w:r>
                      </w:p>
                    </w:tc>
                  </w:tr>
                  <w:tr>
                    <w:trPr>
                      <w:trHeight w:val="325" w:hRule="exact"/>
                    </w:trPr>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11"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2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20,677.50</w:t>
                        </w:r>
                        <w:r>
                          <w:rPr>
                            <w:rFonts w:ascii="Arial Narrow"/>
                            <w:sz w:val="21"/>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0.06</w:t>
                        </w:r>
                        <w:r>
                          <w:rPr>
                            <w:rFonts w:ascii="Arial Narrow"/>
                            <w:sz w:val="21"/>
                          </w:rPr>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8"/>
                          <w:jc w:val="right"/>
                          <w:rPr>
                            <w:rFonts w:ascii="Arial Narrow" w:hAnsi="Arial Narrow" w:cs="Arial Narrow" w:eastAsia="Arial Narrow" w:hint="default"/>
                            <w:sz w:val="21"/>
                            <w:szCs w:val="21"/>
                          </w:rPr>
                        </w:pPr>
                        <w:r>
                          <w:rPr>
                            <w:rFonts w:ascii="Arial Narrow"/>
                            <w:spacing w:val="-1"/>
                            <w:sz w:val="21"/>
                          </w:rPr>
                          <w:t>3,398,793.90</w:t>
                        </w:r>
                        <w:r>
                          <w:rPr>
                            <w:rFonts w:ascii="Arial Narrow"/>
                            <w:sz w:val="21"/>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6.12</w:t>
                        </w:r>
                        <w:r>
                          <w:rPr>
                            <w:rFonts w:ascii="Arial Narrow"/>
                            <w:sz w:val="21"/>
                          </w:rPr>
                        </w:r>
                      </w:p>
                    </w:tc>
                  </w:tr>
                  <w:tr>
                    <w:trPr>
                      <w:trHeight w:val="322" w:hRule="exact"/>
                    </w:trPr>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2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36,255.00</w:t>
                        </w:r>
                        <w:r>
                          <w:rPr>
                            <w:rFonts w:ascii="Arial Narrow"/>
                            <w:sz w:val="21"/>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0.11</w:t>
                        </w:r>
                        <w:r>
                          <w:rPr>
                            <w:rFonts w:ascii="Arial Narrow"/>
                            <w:sz w:val="21"/>
                          </w:rPr>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2,422,388.60</w:t>
                        </w:r>
                        <w:r>
                          <w:rPr>
                            <w:rFonts w:ascii="Arial Narrow"/>
                            <w:sz w:val="21"/>
                          </w:rPr>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4.36</w:t>
                        </w:r>
                        <w:r>
                          <w:rPr>
                            <w:rFonts w:ascii="Arial Narrow"/>
                            <w:sz w:val="21"/>
                          </w:rPr>
                        </w:r>
                      </w:p>
                    </w:tc>
                  </w:tr>
                  <w:tr>
                    <w:trPr>
                      <w:trHeight w:val="322" w:hRule="exact"/>
                    </w:trPr>
                    <w:tc>
                      <w:tcPr>
                        <w:tcW w:w="1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6"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33"/>
                          <w:ind w:right="15"/>
                          <w:jc w:val="right"/>
                          <w:rPr>
                            <w:rFonts w:ascii="Arial Narrow" w:hAnsi="Arial Narrow" w:cs="Arial Narrow" w:eastAsia="Arial Narrow" w:hint="default"/>
                            <w:sz w:val="21"/>
                            <w:szCs w:val="21"/>
                          </w:rPr>
                        </w:pPr>
                        <w:r>
                          <w:rPr>
                            <w:rFonts w:ascii="Arial Narrow"/>
                            <w:b/>
                            <w:spacing w:val="-1"/>
                            <w:sz w:val="21"/>
                          </w:rPr>
                          <w:t>33,228,431.74</w:t>
                        </w:r>
                        <w:r>
                          <w:rPr>
                            <w:rFonts w:ascii="Arial Narrow"/>
                            <w:sz w:val="21"/>
                          </w:rPr>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15" w:right="0"/>
                          <w:jc w:val="left"/>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2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55,523,569.92</w:t>
                        </w:r>
                        <w:r>
                          <w:rPr>
                            <w:rFonts w:ascii="Arial Narrow"/>
                            <w:sz w:val="21"/>
                          </w:rPr>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18" w:right="0"/>
                          <w:jc w:val="left"/>
                          <w:rPr>
                            <w:rFonts w:ascii="Arial Narrow" w:hAnsi="Arial Narrow" w:cs="Arial Narrow" w:eastAsia="Arial Narrow" w:hint="default"/>
                            <w:sz w:val="21"/>
                            <w:szCs w:val="21"/>
                          </w:rPr>
                        </w:pPr>
                        <w:r>
                          <w:rPr>
                            <w:rFonts w:ascii="Arial Narrow"/>
                            <w:b/>
                            <w:sz w:val="21"/>
                          </w:rPr>
                          <w:t>100.00</w:t>
                        </w:r>
                        <w:r>
                          <w:rPr>
                            <w:rFonts w:ascii="Arial Narrow"/>
                            <w:sz w:val="21"/>
                          </w:rPr>
                        </w:r>
                      </w:p>
                    </w:tc>
                  </w:tr>
                </w:tbl>
                <w:p>
                  <w:pPr/>
                </w:p>
              </w:txbxContent>
            </v:textbox>
            <w10:wrap type="none"/>
          </v:shape>
        </w:pict>
      </w:r>
      <w:r>
        <w:rPr>
          <w:rFonts w:ascii="宋体" w:hAnsi="宋体" w:cs="宋体" w:eastAsia="宋体" w:hint="default"/>
          <w:b/>
          <w:bCs/>
          <w:w w:val="100"/>
          <w:sz w:val="21"/>
          <w:szCs w:val="21"/>
        </w:rPr>
        <w:t>）</w:t>
      </w:r>
      <w:r>
        <w:rPr>
          <w:rFonts w:ascii="宋体" w:hAnsi="宋体" w:cs="宋体" w:eastAsia="宋体" w:hint="default"/>
          <w:w w:val="100"/>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3"/>
          <w:szCs w:val="23"/>
        </w:rPr>
      </w:pPr>
    </w:p>
    <w:p>
      <w:pPr>
        <w:spacing w:before="36"/>
        <w:ind w:left="558" w:right="3889" w:firstLine="0"/>
        <w:jc w:val="left"/>
        <w:rPr>
          <w:rFonts w:ascii="宋体" w:hAnsi="宋体" w:cs="宋体" w:eastAsia="宋体" w:hint="default"/>
          <w:sz w:val="21"/>
          <w:szCs w:val="21"/>
        </w:rPr>
      </w:pPr>
      <w:r>
        <w:rPr>
          <w:rFonts w:ascii="宋体" w:hAnsi="宋体" w:cs="宋体" w:eastAsia="宋体" w:hint="default"/>
          <w:sz w:val="21"/>
          <w:szCs w:val="21"/>
        </w:rPr>
        <w:t>预付款项账龄的说明</w:t>
      </w:r>
    </w:p>
    <w:p>
      <w:pPr>
        <w:spacing w:line="240" w:lineRule="auto" w:before="10"/>
        <w:rPr>
          <w:rFonts w:ascii="宋体" w:hAnsi="宋体" w:cs="宋体" w:eastAsia="宋体" w:hint="default"/>
          <w:sz w:val="25"/>
          <w:szCs w:val="25"/>
        </w:rPr>
      </w:pPr>
    </w:p>
    <w:p>
      <w:pPr>
        <w:spacing w:before="0"/>
        <w:ind w:left="558" w:right="3889"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）预付款项金额前五名单位情况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9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291"/>
        <w:gridCol w:w="1702"/>
        <w:gridCol w:w="1416"/>
        <w:gridCol w:w="1136"/>
        <w:gridCol w:w="1205"/>
      </w:tblGrid>
      <w:tr>
        <w:trPr>
          <w:trHeight w:val="322"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时间</w:t>
            </w:r>
            <w:r>
              <w:rPr>
                <w:rFonts w:ascii="宋体" w:hAnsi="宋体" w:cs="宋体" w:eastAsia="宋体" w:hint="default"/>
                <w:sz w:val="21"/>
                <w:szCs w:val="21"/>
              </w:rPr>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67"/>
              <w:jc w:val="right"/>
              <w:rPr>
                <w:rFonts w:ascii="宋体" w:hAnsi="宋体" w:cs="宋体" w:eastAsia="宋体" w:hint="default"/>
                <w:sz w:val="21"/>
                <w:szCs w:val="21"/>
              </w:rPr>
            </w:pPr>
            <w:r>
              <w:rPr>
                <w:rFonts w:ascii="宋体" w:hAnsi="宋体" w:cs="宋体" w:eastAsia="宋体" w:hint="default"/>
                <w:b/>
                <w:bCs/>
                <w:sz w:val="21"/>
                <w:szCs w:val="21"/>
              </w:rPr>
              <w:t>未结算原因</w:t>
            </w:r>
            <w:r>
              <w:rPr>
                <w:rFonts w:ascii="宋体" w:hAnsi="宋体" w:cs="宋体" w:eastAsia="宋体" w:hint="default"/>
                <w:sz w:val="21"/>
                <w:szCs w:val="21"/>
              </w:rPr>
            </w:r>
          </w:p>
        </w:tc>
      </w:tr>
      <w:tr>
        <w:trPr>
          <w:trHeight w:val="634"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日本政府国土交通省、铁道、通信</w:t>
            </w:r>
          </w:p>
          <w:p>
            <w:pPr>
              <w:pStyle w:val="TableParagraph"/>
              <w:spacing w:line="240" w:lineRule="auto" w:before="37"/>
              <w:ind w:left="23" w:right="0"/>
              <w:jc w:val="left"/>
              <w:rPr>
                <w:rFonts w:ascii="宋体" w:hAnsi="宋体" w:cs="宋体" w:eastAsia="宋体" w:hint="default"/>
                <w:sz w:val="21"/>
                <w:szCs w:val="21"/>
              </w:rPr>
            </w:pPr>
            <w:r>
              <w:rPr>
                <w:rFonts w:ascii="Calibri" w:hAnsi="Calibri" w:cs="Calibri" w:eastAsia="Calibri" w:hint="default"/>
                <w:sz w:val="21"/>
                <w:szCs w:val="21"/>
              </w:rPr>
              <w:t>GIS</w:t>
            </w:r>
            <w:r>
              <w:rPr>
                <w:rFonts w:ascii="Calibri" w:hAnsi="Calibri" w:cs="Calibri" w:eastAsia="Calibri" w:hint="default"/>
                <w:spacing w:val="3"/>
                <w:sz w:val="21"/>
                <w:szCs w:val="21"/>
              </w:rPr>
              <w:t> </w:t>
            </w:r>
            <w:r>
              <w:rPr>
                <w:rFonts w:ascii="宋体" w:hAnsi="宋体" w:cs="宋体" w:eastAsia="宋体" w:hint="default"/>
                <w:sz w:val="21"/>
                <w:szCs w:val="21"/>
              </w:rPr>
              <w:t>应用技术开发</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Calibri" w:hAnsi="Calibri" w:cs="Calibri" w:eastAsia="Calibri" w:hint="default"/>
                <w:sz w:val="21"/>
                <w:szCs w:val="21"/>
              </w:rPr>
            </w:pPr>
            <w:r>
              <w:rPr>
                <w:rFonts w:ascii="Calibri"/>
                <w:sz w:val="21"/>
              </w:rPr>
              <w:t>7,464,804.26</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69"/>
              <w:jc w:val="right"/>
              <w:rPr>
                <w:rFonts w:ascii="宋体" w:hAnsi="宋体" w:cs="宋体" w:eastAsia="宋体" w:hint="default"/>
                <w:sz w:val="21"/>
                <w:szCs w:val="21"/>
              </w:rPr>
            </w:pPr>
            <w:r>
              <w:rPr>
                <w:rFonts w:ascii="宋体" w:hAnsi="宋体" w:cs="宋体" w:eastAsia="宋体" w:hint="default"/>
                <w:spacing w:val="-1"/>
                <w:sz w:val="21"/>
                <w:szCs w:val="21"/>
              </w:rPr>
              <w:t>项目未完成</w:t>
            </w:r>
          </w:p>
        </w:tc>
      </w:tr>
      <w:tr>
        <w:trPr>
          <w:trHeight w:val="322"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3" w:right="0"/>
              <w:jc w:val="left"/>
              <w:rPr>
                <w:rFonts w:ascii="宋体" w:hAnsi="宋体" w:cs="宋体" w:eastAsia="宋体" w:hint="default"/>
                <w:sz w:val="21"/>
                <w:szCs w:val="21"/>
              </w:rPr>
            </w:pPr>
            <w:r>
              <w:rPr>
                <w:rFonts w:ascii="Calibri" w:hAnsi="Calibri" w:cs="Calibri" w:eastAsia="Calibri" w:hint="default"/>
                <w:sz w:val="21"/>
                <w:szCs w:val="21"/>
              </w:rPr>
              <w:t>PackageSoftware</w:t>
            </w:r>
            <w:r>
              <w:rPr>
                <w:rFonts w:ascii="Calibri" w:hAnsi="Calibri" w:cs="Calibri" w:eastAsia="Calibri" w:hint="default"/>
                <w:spacing w:val="-14"/>
                <w:sz w:val="21"/>
                <w:szCs w:val="21"/>
              </w:rPr>
              <w:t> </w:t>
            </w:r>
            <w:r>
              <w:rPr>
                <w:rFonts w:ascii="宋体" w:hAnsi="宋体" w:cs="宋体" w:eastAsia="宋体" w:hint="default"/>
                <w:spacing w:val="-3"/>
                <w:sz w:val="21"/>
                <w:szCs w:val="21"/>
              </w:rPr>
              <w:t>开发</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6,607,062.90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69"/>
              <w:jc w:val="right"/>
              <w:rPr>
                <w:rFonts w:ascii="宋体" w:hAnsi="宋体" w:cs="宋体" w:eastAsia="宋体" w:hint="default"/>
                <w:sz w:val="21"/>
                <w:szCs w:val="21"/>
              </w:rPr>
            </w:pPr>
            <w:r>
              <w:rPr>
                <w:rFonts w:ascii="宋体" w:hAnsi="宋体" w:cs="宋体" w:eastAsia="宋体" w:hint="default"/>
                <w:spacing w:val="-1"/>
                <w:sz w:val="21"/>
                <w:szCs w:val="21"/>
              </w:rPr>
              <w:t>项目未完成</w:t>
            </w:r>
          </w:p>
        </w:tc>
      </w:tr>
      <w:tr>
        <w:trPr>
          <w:trHeight w:val="322"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GeoSpace</w:t>
            </w:r>
            <w:r>
              <w:rPr>
                <w:rFonts w:ascii="Calibri" w:hAnsi="Calibri" w:cs="Calibri" w:eastAsia="Calibri" w:hint="default"/>
                <w:spacing w:val="-1"/>
                <w:sz w:val="21"/>
                <w:szCs w:val="21"/>
              </w:rPr>
              <w:t> </w:t>
            </w:r>
            <w:r>
              <w:rPr>
                <w:rFonts w:ascii="宋体" w:hAnsi="宋体" w:cs="宋体" w:eastAsia="宋体" w:hint="default"/>
                <w:sz w:val="21"/>
                <w:szCs w:val="21"/>
              </w:rPr>
              <w:t>整备道路多边形作成作业</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4,327,641.91</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69"/>
              <w:jc w:val="right"/>
              <w:rPr>
                <w:rFonts w:ascii="宋体" w:hAnsi="宋体" w:cs="宋体" w:eastAsia="宋体" w:hint="default"/>
                <w:sz w:val="21"/>
                <w:szCs w:val="21"/>
              </w:rPr>
            </w:pPr>
            <w:r>
              <w:rPr>
                <w:rFonts w:ascii="宋体" w:hAnsi="宋体" w:cs="宋体" w:eastAsia="宋体" w:hint="default"/>
                <w:spacing w:val="-1"/>
                <w:sz w:val="21"/>
                <w:szCs w:val="21"/>
              </w:rPr>
              <w:t>项目未完成</w:t>
            </w:r>
          </w:p>
        </w:tc>
      </w:tr>
    </w:tbl>
    <w:p>
      <w:pPr>
        <w:spacing w:after="0" w:line="262" w:lineRule="exact"/>
        <w:jc w:val="right"/>
        <w:rPr>
          <w:rFonts w:ascii="宋体" w:hAnsi="宋体" w:cs="宋体" w:eastAsia="宋体" w:hint="default"/>
          <w:sz w:val="21"/>
          <w:szCs w:val="21"/>
        </w:rPr>
        <w:sectPr>
          <w:pgSz w:w="11910" w:h="16840"/>
          <w:pgMar w:header="884" w:footer="1007" w:top="1160" w:bottom="1200" w:left="1240" w:right="1220"/>
        </w:sectPr>
      </w:pPr>
    </w:p>
    <w:p>
      <w:pPr>
        <w:spacing w:line="240" w:lineRule="auto" w:before="13"/>
        <w:rPr>
          <w:rFonts w:ascii="宋体" w:hAnsi="宋体" w:cs="宋体" w:eastAsia="宋体" w:hint="default"/>
          <w:sz w:val="19"/>
          <w:szCs w:val="19"/>
        </w:rPr>
      </w:pPr>
    </w:p>
    <w:tbl>
      <w:tblPr>
        <w:tblW w:w="0" w:type="auto"/>
        <w:jc w:val="left"/>
        <w:tblInd w:w="524" w:type="dxa"/>
        <w:tblLayout w:type="fixed"/>
        <w:tblCellMar>
          <w:top w:w="0" w:type="dxa"/>
          <w:left w:w="0" w:type="dxa"/>
          <w:bottom w:w="0" w:type="dxa"/>
          <w:right w:w="0" w:type="dxa"/>
        </w:tblCellMar>
        <w:tblLook w:val="01E0"/>
      </w:tblPr>
      <w:tblGrid>
        <w:gridCol w:w="3291"/>
        <w:gridCol w:w="1702"/>
        <w:gridCol w:w="1416"/>
        <w:gridCol w:w="1136"/>
        <w:gridCol w:w="1205"/>
      </w:tblGrid>
      <w:tr>
        <w:trPr>
          <w:trHeight w:val="322"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3" w:right="0"/>
              <w:jc w:val="left"/>
              <w:rPr>
                <w:rFonts w:ascii="Calibri" w:hAnsi="Calibri" w:cs="Calibri" w:eastAsia="Calibri" w:hint="default"/>
                <w:sz w:val="21"/>
                <w:szCs w:val="21"/>
              </w:rPr>
            </w:pPr>
            <w:r>
              <w:rPr>
                <w:rFonts w:ascii="宋体" w:hAnsi="宋体" w:cs="宋体" w:eastAsia="宋体" w:hint="default"/>
                <w:sz w:val="21"/>
                <w:szCs w:val="21"/>
              </w:rPr>
              <w:t>等</w:t>
            </w:r>
            <w:r>
              <w:rPr>
                <w:rFonts w:ascii="Calibri" w:hAnsi="Calibri" w:cs="Calibri" w:eastAsia="Calibri" w:hint="default"/>
                <w:sz w:val="21"/>
                <w:szCs w:val="21"/>
              </w:rPr>
              <w:t>(NTT</w:t>
            </w:r>
            <w:r>
              <w:rPr>
                <w:rFonts w:ascii="Calibri" w:hAnsi="Calibri" w:cs="Calibri" w:eastAsia="Calibri" w:hint="default"/>
                <w:spacing w:val="4"/>
                <w:sz w:val="21"/>
                <w:szCs w:val="21"/>
              </w:rPr>
              <w:t> </w:t>
            </w:r>
            <w:r>
              <w:rPr>
                <w:rFonts w:ascii="宋体" w:hAnsi="宋体" w:cs="宋体" w:eastAsia="宋体" w:hint="default"/>
                <w:sz w:val="21"/>
                <w:szCs w:val="21"/>
              </w:rPr>
              <w:t>空间情報</w:t>
            </w:r>
            <w:r>
              <w:rPr>
                <w:rFonts w:ascii="Calibri" w:hAnsi="Calibri" w:cs="Calibri" w:eastAsia="Calibri"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Calibri" w:hAnsi="Calibri" w:cs="Calibri" w:eastAsia="Calibri" w:hint="default"/>
                <w:sz w:val="21"/>
                <w:szCs w:val="21"/>
              </w:rPr>
            </w:pPr>
            <w:r>
              <w:rPr>
                <w:rFonts w:ascii="Calibri"/>
                <w:sz w:val="21"/>
              </w:rPr>
              <w:t>CloudGISPlatform(Geo2M)</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8" w:right="0"/>
              <w:jc w:val="left"/>
              <w:rPr>
                <w:rFonts w:ascii="Calibri" w:hAnsi="Calibri" w:cs="Calibri" w:eastAsia="Calibri" w:hint="default"/>
                <w:sz w:val="21"/>
                <w:szCs w:val="21"/>
              </w:rPr>
            </w:pPr>
            <w:r>
              <w:rPr>
                <w:rFonts w:ascii="Calibri"/>
                <w:sz w:val="21"/>
              </w:rPr>
              <w:t>1,853,472.28</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项目未完成</w:t>
            </w:r>
          </w:p>
        </w:tc>
      </w:tr>
      <w:tr>
        <w:trPr>
          <w:trHeight w:val="322" w:hRule="exact"/>
        </w:trPr>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Calibri" w:hAnsi="Calibri" w:cs="Calibri" w:eastAsia="Calibri" w:hint="default"/>
                <w:sz w:val="21"/>
                <w:szCs w:val="21"/>
              </w:rPr>
            </w:pPr>
            <w:r>
              <w:rPr>
                <w:rFonts w:ascii="Calibri" w:hAnsi="Calibri" w:cs="Calibri" w:eastAsia="Calibri" w:hint="default"/>
                <w:sz w:val="21"/>
                <w:szCs w:val="21"/>
              </w:rPr>
              <w:t>Globale-service </w:t>
            </w:r>
            <w:r>
              <w:rPr>
                <w:rFonts w:ascii="宋体" w:hAnsi="宋体" w:cs="宋体" w:eastAsia="宋体" w:hint="default"/>
                <w:sz w:val="21"/>
                <w:szCs w:val="21"/>
              </w:rPr>
              <w:t>升级Ⅱ新企画</w:t>
            </w:r>
            <w:r>
              <w:rPr>
                <w:rFonts w:ascii="Calibri" w:hAnsi="Calibri" w:cs="Calibri" w:eastAsia="Calibri" w:hint="default"/>
                <w:sz w:val="21"/>
                <w:szCs w:val="21"/>
              </w:rPr>
              <w:t>(</w:t>
            </w:r>
            <w:r>
              <w:rPr>
                <w:rFonts w:ascii="宋体" w:hAnsi="宋体" w:cs="宋体" w:eastAsia="宋体" w:hint="default"/>
                <w:sz w:val="21"/>
                <w:szCs w:val="21"/>
              </w:rPr>
              <w:t>日立</w:t>
            </w:r>
            <w:r>
              <w:rPr>
                <w:rFonts w:ascii="Calibri" w:hAnsi="Calibri" w:cs="Calibri" w:eastAsia="Calibri" w:hint="default"/>
                <w:sz w:val="21"/>
                <w:szCs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非关联方</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8" w:right="0"/>
              <w:jc w:val="left"/>
              <w:rPr>
                <w:rFonts w:ascii="Calibri" w:hAnsi="Calibri" w:cs="Calibri" w:eastAsia="Calibri" w:hint="default"/>
                <w:sz w:val="21"/>
                <w:szCs w:val="21"/>
              </w:rPr>
            </w:pPr>
            <w:r>
              <w:rPr>
                <w:rFonts w:ascii="Calibri"/>
                <w:sz w:val="21"/>
              </w:rPr>
              <w:t>1,592,176.00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项目未完成</w:t>
            </w:r>
          </w:p>
        </w:tc>
      </w:tr>
      <w:tr>
        <w:trPr>
          <w:trHeight w:val="324" w:hRule="exact"/>
        </w:trPr>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0"/>
              <w:jc w:val="center"/>
              <w:rPr>
                <w:rFonts w:ascii="Calibri" w:hAnsi="Calibri" w:cs="Calibri" w:eastAsia="Calibri" w:hint="default"/>
                <w:sz w:val="21"/>
                <w:szCs w:val="21"/>
              </w:rPr>
            </w:pPr>
            <w:r>
              <w:rPr>
                <w:rFonts w:ascii="Calibri"/>
                <w:sz w:val="21"/>
              </w:rPr>
              <w:t>--</w:t>
            </w:r>
          </w:p>
        </w:tc>
        <w:tc>
          <w:tcPr>
            <w:tcW w:w="141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30"/>
              <w:ind w:left="93" w:right="0"/>
              <w:jc w:val="left"/>
              <w:rPr>
                <w:rFonts w:ascii="Calibri" w:hAnsi="Calibri" w:cs="Calibri" w:eastAsia="Calibri" w:hint="default"/>
                <w:sz w:val="21"/>
                <w:szCs w:val="21"/>
              </w:rPr>
            </w:pPr>
            <w:r>
              <w:rPr>
                <w:rFonts w:ascii="Calibri"/>
                <w:sz w:val="21"/>
              </w:rPr>
              <w:t>21,845,157.35</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1"/>
              <w:jc w:val="center"/>
              <w:rPr>
                <w:rFonts w:ascii="Calibri" w:hAnsi="Calibri" w:cs="Calibri" w:eastAsia="Calibri" w:hint="default"/>
                <w:sz w:val="21"/>
                <w:szCs w:val="21"/>
              </w:rPr>
            </w:pPr>
            <w:r>
              <w:rPr>
                <w:rFonts w:ascii="Calibri"/>
                <w:sz w:val="21"/>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
              <w:jc w:val="center"/>
              <w:rPr>
                <w:rFonts w:ascii="Calibri" w:hAnsi="Calibri" w:cs="Calibri" w:eastAsia="Calibri" w:hint="default"/>
                <w:sz w:val="21"/>
                <w:szCs w:val="21"/>
              </w:rPr>
            </w:pPr>
            <w:r>
              <w:rPr>
                <w:rFonts w:ascii="Calibri"/>
                <w:sz w:val="21"/>
              </w:rPr>
              <w:t>--</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预付款项主要单位的说明</w:t>
      </w:r>
    </w:p>
    <w:p>
      <w:pPr>
        <w:spacing w:line="240" w:lineRule="auto" w:before="10"/>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）本报告期预付款项中持有本公司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866"/>
        <w:gridCol w:w="1560"/>
        <w:gridCol w:w="1419"/>
        <w:gridCol w:w="1330"/>
        <w:gridCol w:w="1574"/>
      </w:tblGrid>
      <w:tr>
        <w:trPr>
          <w:trHeight w:val="323" w:hRule="exact"/>
        </w:trPr>
        <w:tc>
          <w:tcPr>
            <w:tcW w:w="28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9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3"/>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286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52"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70"/>
              <w:jc w:val="right"/>
              <w:rPr>
                <w:rFonts w:ascii="宋体" w:hAnsi="宋体" w:cs="宋体" w:eastAsia="宋体" w:hint="default"/>
                <w:sz w:val="21"/>
                <w:szCs w:val="21"/>
              </w:rPr>
            </w:pPr>
            <w:r>
              <w:rPr>
                <w:rFonts w:ascii="宋体" w:hAnsi="宋体" w:cs="宋体" w:eastAsia="宋体" w:hint="default"/>
                <w:b/>
                <w:bCs/>
                <w:sz w:val="21"/>
                <w:szCs w:val="21"/>
              </w:rPr>
              <w:t>计提坏账金额</w:t>
            </w:r>
            <w:r>
              <w:rPr>
                <w:rFonts w:ascii="宋体" w:hAnsi="宋体" w:cs="宋体" w:eastAsia="宋体" w:hint="default"/>
                <w:sz w:val="21"/>
                <w:szCs w:val="21"/>
              </w:rPr>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7"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48" w:right="0"/>
              <w:jc w:val="left"/>
              <w:rPr>
                <w:rFonts w:ascii="宋体" w:hAnsi="宋体" w:cs="宋体" w:eastAsia="宋体" w:hint="default"/>
                <w:sz w:val="21"/>
                <w:szCs w:val="21"/>
              </w:rPr>
            </w:pPr>
            <w:r>
              <w:rPr>
                <w:rFonts w:ascii="宋体" w:hAnsi="宋体" w:cs="宋体" w:eastAsia="宋体" w:hint="default"/>
                <w:b/>
                <w:bCs/>
                <w:sz w:val="21"/>
                <w:szCs w:val="21"/>
              </w:rPr>
              <w:t>计提坏账金额</w:t>
            </w:r>
            <w:r>
              <w:rPr>
                <w:rFonts w:ascii="宋体" w:hAnsi="宋体" w:cs="宋体" w:eastAsia="宋体" w:hint="default"/>
                <w:sz w:val="21"/>
                <w:szCs w:val="21"/>
              </w:rPr>
            </w:r>
          </w:p>
        </w:tc>
      </w:tr>
      <w:tr>
        <w:trPr>
          <w:trHeight w:val="322"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浙江中科数城软件有限公司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919,500.00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hAnsi="宋体" w:cs="宋体" w:eastAsia="宋体" w:hint="default"/>
                <w:w w:val="100"/>
                <w:sz w:val="21"/>
                <w:szCs w:val="21"/>
              </w:rPr>
              <w:t>－</w:t>
            </w:r>
          </w:p>
        </w:tc>
      </w:tr>
      <w:tr>
        <w:trPr>
          <w:trHeight w:val="322" w:hRule="exact"/>
        </w:trPr>
        <w:tc>
          <w:tcPr>
            <w:tcW w:w="2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919,500.00</w:t>
            </w:r>
            <w:r>
              <w:rPr>
                <w:rFonts w:ascii="Arial Narrow"/>
                <w:sz w:val="21"/>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2"/>
              <w:jc w:val="right"/>
              <w:rPr>
                <w:rFonts w:ascii="宋体" w:hAnsi="宋体" w:cs="宋体" w:eastAsia="宋体" w:hint="default"/>
                <w:sz w:val="21"/>
                <w:szCs w:val="21"/>
              </w:rPr>
            </w:pPr>
            <w:r>
              <w:rPr>
                <w:rFonts w:ascii="宋体" w:hAnsi="宋体" w:cs="宋体" w:eastAsia="宋体" w:hint="default"/>
                <w:w w:val="100"/>
                <w:sz w:val="21"/>
                <w:szCs w:val="21"/>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3"/>
              <w:jc w:val="right"/>
              <w:rPr>
                <w:rFonts w:ascii="宋体" w:hAnsi="宋体" w:cs="宋体" w:eastAsia="宋体" w:hint="default"/>
                <w:sz w:val="21"/>
                <w:szCs w:val="21"/>
              </w:rPr>
            </w:pPr>
            <w:r>
              <w:rPr>
                <w:rFonts w:ascii="宋体" w:hAnsi="宋体" w:cs="宋体" w:eastAsia="宋体" w:hint="default"/>
                <w:w w:val="100"/>
                <w:sz w:val="21"/>
                <w:szCs w:val="21"/>
              </w:rPr>
              <w:t>－</w:t>
            </w:r>
          </w:p>
        </w:tc>
      </w:tr>
    </w:tbl>
    <w:p>
      <w:pPr>
        <w:spacing w:line="240" w:lineRule="auto" w:before="3"/>
        <w:rPr>
          <w:rFonts w:ascii="宋体" w:hAnsi="宋体" w:cs="宋体" w:eastAsia="宋体" w:hint="default"/>
          <w:sz w:val="19"/>
          <w:szCs w:val="19"/>
        </w:rPr>
      </w:pPr>
    </w:p>
    <w:p>
      <w:pPr>
        <w:spacing w:line="487" w:lineRule="auto" w:before="36"/>
        <w:ind w:left="558" w:right="282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）预付款项的说明</w:t>
      </w:r>
      <w:r>
        <w:rPr>
          <w:rFonts w:ascii="宋体" w:hAnsi="宋体" w:cs="宋体" w:eastAsia="宋体" w:hint="default"/>
          <w:b/>
          <w:bCs/>
          <w:w w:val="100"/>
          <w:sz w:val="21"/>
          <w:szCs w:val="21"/>
        </w:rPr>
        <w:t> </w:t>
      </w:r>
      <w:r>
        <w:rPr>
          <w:rFonts w:ascii="宋体" w:hAnsi="宋体" w:cs="宋体" w:eastAsia="宋体" w:hint="default"/>
          <w:sz w:val="24"/>
          <w:szCs w:val="24"/>
        </w:rPr>
        <w:t>账龄超过一年的预付款项主要为未完工的定制软件外包费 </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、存货</w:t>
      </w:r>
      <w:r>
        <w:rPr>
          <w:rFonts w:ascii="宋体" w:hAnsi="宋体" w:cs="宋体" w:eastAsia="宋体" w:hint="default"/>
          <w:sz w:val="21"/>
          <w:szCs w:val="21"/>
        </w:rPr>
      </w:r>
    </w:p>
    <w:p>
      <w:pPr>
        <w:spacing w:before="81"/>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1410"/>
        <w:gridCol w:w="1295"/>
        <w:gridCol w:w="1205"/>
        <w:gridCol w:w="1210"/>
        <w:gridCol w:w="1205"/>
        <w:gridCol w:w="1205"/>
        <w:gridCol w:w="1207"/>
      </w:tblGrid>
      <w:tr>
        <w:trPr>
          <w:trHeight w:val="166" w:hRule="exact"/>
        </w:trPr>
        <w:tc>
          <w:tcPr>
            <w:tcW w:w="141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61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151" w:hRule="exact"/>
        </w:trPr>
        <w:tc>
          <w:tcPr>
            <w:tcW w:w="1410"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right="1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10" w:type="dxa"/>
            <w:gridSpan w:val="3"/>
            <w:vMerge/>
            <w:tcBorders>
              <w:left w:val="single" w:sz="4" w:space="0" w:color="000000"/>
              <w:bottom w:val="single" w:sz="4" w:space="0" w:color="000000"/>
              <w:right w:val="single" w:sz="4" w:space="0" w:color="000000"/>
            </w:tcBorders>
            <w:shd w:val="clear" w:color="auto" w:fill="D2D2D2"/>
          </w:tcPr>
          <w:p>
            <w:pPr/>
          </w:p>
        </w:tc>
        <w:tc>
          <w:tcPr>
            <w:tcW w:w="3617" w:type="dxa"/>
            <w:gridSpan w:val="3"/>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0" w:type="dxa"/>
            <w:vMerge/>
            <w:tcBorders>
              <w:left w:val="single" w:sz="4" w:space="0" w:color="000000"/>
              <w:bottom w:val="nil" w:sz="6" w:space="0" w:color="auto"/>
              <w:right w:val="single" w:sz="4" w:space="0" w:color="000000"/>
            </w:tcBorders>
            <w:shd w:val="clear" w:color="auto" w:fill="D2D2D2"/>
          </w:tcPr>
          <w:p>
            <w:pPr/>
          </w:p>
        </w:tc>
        <w:tc>
          <w:tcPr>
            <w:tcW w:w="1295"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219"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c>
          <w:tcPr>
            <w:tcW w:w="1210"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跌价准备</w:t>
            </w:r>
            <w:r>
              <w:rPr>
                <w:rFonts w:ascii="宋体" w:hAnsi="宋体" w:cs="宋体" w:eastAsia="宋体" w:hint="default"/>
                <w:sz w:val="21"/>
                <w:szCs w:val="21"/>
              </w:rPr>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175"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166" w:hRule="exact"/>
        </w:trPr>
        <w:tc>
          <w:tcPr>
            <w:tcW w:w="14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5"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210"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295" w:type="dxa"/>
            <w:tcBorders>
              <w:top w:val="single" w:sz="4" w:space="0" w:color="000000"/>
              <w:left w:val="single" w:sz="9" w:space="0" w:color="D2D2D2"/>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295" w:type="dxa"/>
            <w:tcBorders>
              <w:top w:val="single" w:sz="4" w:space="0" w:color="000000"/>
              <w:left w:val="single" w:sz="9" w:space="0" w:color="D2D2D2"/>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6,114,515.19</w:t>
            </w:r>
            <w:r>
              <w:rPr>
                <w:rFonts w:ascii="Arial Narrow"/>
                <w:sz w:val="21"/>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2,369,264.44</w:t>
            </w:r>
            <w:r>
              <w:rPr>
                <w:rFonts w:ascii="Arial Narrow"/>
                <w:sz w:val="21"/>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spacing w:val="-1"/>
                <w:sz w:val="21"/>
              </w:rPr>
              <w:t>3,745,250.75</w:t>
            </w:r>
            <w:r>
              <w:rPr>
                <w:rFonts w:ascii="Arial Narrow"/>
                <w:sz w:val="21"/>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6,800,446.82</w:t>
            </w:r>
            <w:r>
              <w:rPr>
                <w:rFonts w:ascii="Arial Narrow"/>
                <w:sz w:val="21"/>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1,838,549.70</w:t>
            </w:r>
            <w:r>
              <w:rPr>
                <w:rFonts w:ascii="Arial Narrow"/>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4,961,897.12</w:t>
            </w:r>
            <w:r>
              <w:rPr>
                <w:rFonts w:ascii="Arial Narrow"/>
                <w:sz w:val="21"/>
              </w:rPr>
            </w:r>
          </w:p>
        </w:tc>
      </w:tr>
      <w:tr>
        <w:trPr>
          <w:trHeight w:val="322" w:hRule="exact"/>
        </w:trPr>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295" w:type="dxa"/>
            <w:tcBorders>
              <w:top w:val="single" w:sz="4" w:space="0" w:color="000000"/>
              <w:left w:val="single" w:sz="9" w:space="0" w:color="D2D2D2"/>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123"/>
              <w:jc w:val="left"/>
              <w:rPr>
                <w:rFonts w:ascii="宋体" w:hAnsi="宋体" w:cs="宋体" w:eastAsia="宋体" w:hint="default"/>
                <w:sz w:val="21"/>
                <w:szCs w:val="21"/>
              </w:rPr>
            </w:pPr>
            <w:r>
              <w:rPr>
                <w:rFonts w:ascii="宋体" w:hAnsi="宋体" w:cs="宋体" w:eastAsia="宋体" w:hint="default"/>
                <w:sz w:val="21"/>
                <w:szCs w:val="21"/>
              </w:rPr>
              <w:t>消耗性生物资</w:t>
            </w:r>
            <w:r>
              <w:rPr>
                <w:rFonts w:ascii="宋体" w:hAnsi="宋体" w:cs="宋体" w:eastAsia="宋体" w:hint="default"/>
                <w:w w:val="100"/>
                <w:sz w:val="21"/>
                <w:szCs w:val="21"/>
              </w:rPr>
              <w:t> </w:t>
            </w:r>
            <w:r>
              <w:rPr>
                <w:rFonts w:ascii="宋体" w:hAnsi="宋体" w:cs="宋体" w:eastAsia="宋体" w:hint="default"/>
                <w:sz w:val="21"/>
                <w:szCs w:val="21"/>
              </w:rPr>
              <w:t>产</w:t>
            </w:r>
          </w:p>
        </w:tc>
        <w:tc>
          <w:tcPr>
            <w:tcW w:w="1295" w:type="dxa"/>
            <w:tcBorders>
              <w:top w:val="single" w:sz="4" w:space="0" w:color="000000"/>
              <w:left w:val="single" w:sz="9" w:space="0" w:color="D2D2D2"/>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6,114,515.19</w:t>
            </w:r>
            <w:r>
              <w:rPr>
                <w:rFonts w:ascii="Arial Narrow"/>
                <w:sz w:val="21"/>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2,369,264.44</w:t>
            </w:r>
            <w:r>
              <w:rPr>
                <w:rFonts w:ascii="Arial Narrow"/>
                <w:sz w:val="21"/>
              </w:rPr>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Narrow" w:hAnsi="Arial Narrow" w:cs="Arial Narrow" w:eastAsia="Arial Narrow" w:hint="default"/>
                <w:sz w:val="21"/>
                <w:szCs w:val="21"/>
              </w:rPr>
            </w:pPr>
            <w:r>
              <w:rPr>
                <w:rFonts w:ascii="Arial Narrow"/>
                <w:spacing w:val="-1"/>
                <w:sz w:val="21"/>
              </w:rPr>
              <w:t>3,745,250.75</w:t>
            </w:r>
            <w:r>
              <w:rPr>
                <w:rFonts w:ascii="Arial Narrow"/>
                <w:sz w:val="21"/>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6,800,446.82</w:t>
            </w:r>
            <w:r>
              <w:rPr>
                <w:rFonts w:ascii="Arial Narrow"/>
                <w:sz w:val="21"/>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1,838,549.70</w:t>
            </w:r>
            <w:r>
              <w:rPr>
                <w:rFonts w:ascii="Arial Narrow"/>
                <w:sz w:val="21"/>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4,961,897.12</w:t>
            </w:r>
            <w:r>
              <w:rPr>
                <w:rFonts w:ascii="Arial Narrow"/>
                <w:sz w:val="21"/>
              </w:rPr>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1566"/>
        <w:gridCol w:w="1487"/>
        <w:gridCol w:w="1476"/>
        <w:gridCol w:w="1292"/>
        <w:gridCol w:w="1311"/>
        <w:gridCol w:w="1606"/>
      </w:tblGrid>
      <w:tr>
        <w:trPr>
          <w:trHeight w:val="166" w:hRule="exact"/>
        </w:trPr>
        <w:tc>
          <w:tcPr>
            <w:tcW w:w="1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0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566"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357" w:right="0"/>
              <w:jc w:val="left"/>
              <w:rPr>
                <w:rFonts w:ascii="宋体" w:hAnsi="宋体" w:cs="宋体" w:eastAsia="宋体" w:hint="default"/>
                <w:sz w:val="21"/>
                <w:szCs w:val="21"/>
              </w:rPr>
            </w:pPr>
            <w:r>
              <w:rPr>
                <w:rFonts w:ascii="宋体" w:hAnsi="宋体" w:cs="宋体" w:eastAsia="宋体" w:hint="default"/>
                <w:b/>
                <w:bCs/>
                <w:sz w:val="21"/>
                <w:szCs w:val="21"/>
              </w:rPr>
              <w:t>存货种类</w:t>
            </w:r>
            <w:r>
              <w:rPr>
                <w:rFonts w:ascii="宋体" w:hAnsi="宋体" w:cs="宋体" w:eastAsia="宋体" w:hint="default"/>
                <w:sz w:val="21"/>
                <w:szCs w:val="21"/>
              </w:rPr>
            </w:r>
          </w:p>
        </w:tc>
        <w:tc>
          <w:tcPr>
            <w:tcW w:w="1487"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111"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sz w:val="21"/>
                <w:szCs w:val="21"/>
              </w:rPr>
            </w:r>
          </w:p>
        </w:tc>
        <w:tc>
          <w:tcPr>
            <w:tcW w:w="1476"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06" w:right="0"/>
              <w:jc w:val="left"/>
              <w:rPr>
                <w:rFonts w:ascii="宋体" w:hAnsi="宋体" w:cs="宋体" w:eastAsia="宋体" w:hint="default"/>
                <w:sz w:val="21"/>
                <w:szCs w:val="21"/>
              </w:rPr>
            </w:pPr>
            <w:r>
              <w:rPr>
                <w:rFonts w:ascii="宋体" w:hAnsi="宋体" w:cs="宋体" w:eastAsia="宋体" w:hint="default"/>
                <w:b/>
                <w:bCs/>
                <w:sz w:val="21"/>
                <w:szCs w:val="21"/>
              </w:rPr>
              <w:t>本期计提额</w:t>
            </w:r>
            <w:r>
              <w:rPr>
                <w:rFonts w:ascii="宋体" w:hAnsi="宋体" w:cs="宋体" w:eastAsia="宋体" w:hint="default"/>
                <w:sz w:val="21"/>
                <w:szCs w:val="21"/>
              </w:rPr>
            </w:r>
          </w:p>
        </w:tc>
        <w:tc>
          <w:tcPr>
            <w:tcW w:w="2603"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163"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sz w:val="21"/>
                <w:szCs w:val="21"/>
              </w:rPr>
            </w:r>
          </w:p>
        </w:tc>
      </w:tr>
      <w:tr>
        <w:trPr>
          <w:trHeight w:val="161" w:hRule="exact"/>
        </w:trPr>
        <w:tc>
          <w:tcPr>
            <w:tcW w:w="1566" w:type="dxa"/>
            <w:vMerge/>
            <w:tcBorders>
              <w:left w:val="single" w:sz="4" w:space="0" w:color="000000"/>
              <w:bottom w:val="nil" w:sz="6" w:space="0" w:color="auto"/>
              <w:right w:val="single" w:sz="4" w:space="0" w:color="000000"/>
            </w:tcBorders>
            <w:shd w:val="clear" w:color="auto" w:fill="D2D2D2"/>
          </w:tcPr>
          <w:p>
            <w:pPr/>
          </w:p>
        </w:tc>
        <w:tc>
          <w:tcPr>
            <w:tcW w:w="1487" w:type="dxa"/>
            <w:vMerge/>
            <w:tcBorders>
              <w:left w:val="single" w:sz="4" w:space="0" w:color="000000"/>
              <w:bottom w:val="nil" w:sz="6" w:space="0" w:color="auto"/>
              <w:right w:val="single" w:sz="4" w:space="0" w:color="000000"/>
            </w:tcBorders>
            <w:shd w:val="clear" w:color="auto" w:fill="D2D2D2"/>
          </w:tcPr>
          <w:p>
            <w:pPr/>
          </w:p>
        </w:tc>
        <w:tc>
          <w:tcPr>
            <w:tcW w:w="1476" w:type="dxa"/>
            <w:vMerge/>
            <w:tcBorders>
              <w:left w:val="single" w:sz="4" w:space="0" w:color="000000"/>
              <w:bottom w:val="nil" w:sz="6" w:space="0" w:color="auto"/>
              <w:right w:val="single" w:sz="4" w:space="0" w:color="000000"/>
            </w:tcBorders>
            <w:shd w:val="clear" w:color="auto" w:fill="D2D2D2"/>
          </w:tcPr>
          <w:p>
            <w:pPr/>
          </w:p>
        </w:tc>
        <w:tc>
          <w:tcPr>
            <w:tcW w:w="1292"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1311"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b/>
                <w:bCs/>
                <w:sz w:val="21"/>
                <w:szCs w:val="21"/>
              </w:rPr>
              <w:t>转销</w:t>
            </w:r>
            <w:r>
              <w:rPr>
                <w:rFonts w:ascii="宋体" w:hAnsi="宋体" w:cs="宋体" w:eastAsia="宋体" w:hint="default"/>
                <w:sz w:val="21"/>
                <w:szCs w:val="21"/>
              </w:rPr>
            </w:r>
          </w:p>
        </w:tc>
        <w:tc>
          <w:tcPr>
            <w:tcW w:w="1606"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92" w:type="dxa"/>
            <w:vMerge/>
            <w:tcBorders>
              <w:left w:val="single" w:sz="4" w:space="0" w:color="000000"/>
              <w:bottom w:val="single" w:sz="4" w:space="0" w:color="000000"/>
              <w:right w:val="single" w:sz="4" w:space="0" w:color="000000"/>
            </w:tcBorders>
            <w:shd w:val="clear" w:color="auto" w:fill="D2D2D2"/>
          </w:tcPr>
          <w:p>
            <w:pPr/>
          </w:p>
        </w:tc>
        <w:tc>
          <w:tcPr>
            <w:tcW w:w="1311"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1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87" w:type="dxa"/>
            <w:tcBorders>
              <w:top w:val="single" w:sz="4" w:space="0" w:color="000000"/>
              <w:left w:val="single" w:sz="9" w:space="0" w:color="D2D2D2"/>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87" w:type="dxa"/>
            <w:tcBorders>
              <w:top w:val="single" w:sz="4" w:space="0" w:color="000000"/>
              <w:left w:val="single" w:sz="9" w:space="0" w:color="D2D2D2"/>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3"/>
              <w:ind w:right="18"/>
              <w:jc w:val="right"/>
              <w:rPr>
                <w:rFonts w:ascii="Arial Narrow" w:hAnsi="Arial Narrow" w:cs="Arial Narrow" w:eastAsia="Arial Narrow" w:hint="default"/>
                <w:sz w:val="21"/>
                <w:szCs w:val="21"/>
              </w:rPr>
            </w:pPr>
            <w:r>
              <w:rPr>
                <w:rFonts w:ascii="Arial Narrow"/>
                <w:spacing w:val="-1"/>
                <w:sz w:val="21"/>
              </w:rPr>
              <w:t>1,838,549.70</w:t>
            </w:r>
            <w:r>
              <w:rPr>
                <w:rFonts w:ascii="Arial Narrow"/>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6"/>
              <w:jc w:val="right"/>
              <w:rPr>
                <w:rFonts w:ascii="Arial Narrow" w:hAnsi="Arial Narrow" w:cs="Arial Narrow" w:eastAsia="Arial Narrow" w:hint="default"/>
                <w:sz w:val="21"/>
                <w:szCs w:val="21"/>
              </w:rPr>
            </w:pPr>
            <w:r>
              <w:rPr>
                <w:rFonts w:ascii="Arial Narrow"/>
                <w:spacing w:val="-1"/>
                <w:sz w:val="21"/>
              </w:rPr>
              <w:t>530,754.18</w:t>
            </w:r>
            <w:r>
              <w:rPr>
                <w:rFonts w:ascii="Arial Narrow"/>
                <w:sz w:val="21"/>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39.44</w:t>
            </w:r>
            <w:r>
              <w:rPr>
                <w:rFonts w:ascii="Arial Narrow"/>
                <w:sz w:val="21"/>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2,369,264.44</w:t>
            </w:r>
            <w:r>
              <w:rPr>
                <w:rFonts w:ascii="Arial Narrow"/>
                <w:sz w:val="21"/>
              </w:rPr>
            </w:r>
          </w:p>
        </w:tc>
      </w:tr>
      <w:tr>
        <w:trPr>
          <w:trHeight w:val="322" w:hRule="exact"/>
        </w:trPr>
        <w:tc>
          <w:tcPr>
            <w:tcW w:w="1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1487" w:type="dxa"/>
            <w:tcBorders>
              <w:top w:val="single" w:sz="4" w:space="0" w:color="000000"/>
              <w:left w:val="single" w:sz="9" w:space="0" w:color="D2D2D2"/>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1487" w:type="dxa"/>
            <w:tcBorders>
              <w:top w:val="single" w:sz="4" w:space="0" w:color="000000"/>
              <w:left w:val="single" w:sz="9" w:space="0" w:color="D2D2D2"/>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1292" w:type="dxa"/>
            <w:tcBorders>
              <w:top w:val="single" w:sz="4" w:space="0" w:color="000000"/>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34" w:val="left" w:leader="none"/>
              </w:tabs>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48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3"/>
              <w:ind w:right="18"/>
              <w:jc w:val="right"/>
              <w:rPr>
                <w:rFonts w:ascii="Arial Narrow" w:hAnsi="Arial Narrow" w:cs="Arial Narrow" w:eastAsia="Arial Narrow" w:hint="default"/>
                <w:sz w:val="21"/>
                <w:szCs w:val="21"/>
              </w:rPr>
            </w:pPr>
            <w:r>
              <w:rPr>
                <w:rFonts w:ascii="Arial Narrow"/>
                <w:spacing w:val="-1"/>
                <w:sz w:val="21"/>
              </w:rPr>
              <w:t>1,838,549.70</w:t>
            </w:r>
            <w:r>
              <w:rPr>
                <w:rFonts w:ascii="Arial Narrow"/>
                <w:sz w:val="21"/>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530,754.18</w:t>
            </w:r>
            <w:r>
              <w:rPr>
                <w:rFonts w:ascii="Arial Narrow"/>
                <w:sz w:val="21"/>
              </w:rPr>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w w:val="100"/>
                <w:sz w:val="21"/>
              </w:rPr>
              <w:t>-</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39.44</w:t>
            </w:r>
            <w:r>
              <w:rPr>
                <w:rFonts w:ascii="Arial Narrow"/>
                <w:sz w:val="21"/>
              </w:rPr>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2,369,264.44</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84" w:footer="1007" w:top="1160" w:bottom="1200" w:left="1240" w:right="1260"/>
        </w:sectPr>
      </w:pPr>
    </w:p>
    <w:p>
      <w:pPr>
        <w:spacing w:line="240" w:lineRule="auto" w:before="4"/>
        <w:rPr>
          <w:rFonts w:ascii="宋体" w:hAnsi="宋体" w:cs="宋体" w:eastAsia="宋体" w:hint="default"/>
          <w:sz w:val="16"/>
          <w:szCs w:val="16"/>
        </w:rPr>
      </w:pPr>
    </w:p>
    <w:p>
      <w:pPr>
        <w:spacing w:before="36"/>
        <w:ind w:left="558" w:right="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）存货跌价准备情况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6"/>
          <w:szCs w:val="26"/>
        </w:rPr>
      </w:pPr>
    </w:p>
    <w:p>
      <w:pPr>
        <w:spacing w:before="36"/>
        <w:ind w:left="0" w:right="108" w:firstLine="0"/>
        <w:jc w:val="right"/>
        <w:rPr>
          <w:rFonts w:ascii="宋体" w:hAnsi="宋体" w:cs="宋体" w:eastAsia="宋体" w:hint="default"/>
          <w:sz w:val="21"/>
          <w:szCs w:val="21"/>
        </w:rPr>
      </w:pPr>
      <w:r>
        <w:rPr/>
        <w:pict>
          <v:shape style="position:absolute;margin-left:88.223999pt;margin-top:-13.656306pt;width:438.2pt;height:128.3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7"/>
                    <w:gridCol w:w="2186"/>
                    <w:gridCol w:w="2189"/>
                    <w:gridCol w:w="2187"/>
                  </w:tblGrid>
                  <w:tr>
                    <w:trPr>
                      <w:trHeight w:val="161" w:hRule="exact"/>
                    </w:trPr>
                    <w:tc>
                      <w:tcPr>
                        <w:tcW w:w="2187" w:type="dxa"/>
                        <w:tcBorders>
                          <w:top w:val="single" w:sz="4" w:space="0" w:color="000000"/>
                          <w:left w:val="single" w:sz="4" w:space="0" w:color="000000"/>
                          <w:bottom w:val="nil" w:sz="6" w:space="0" w:color="auto"/>
                          <w:right w:val="single" w:sz="4" w:space="0" w:color="000000"/>
                        </w:tcBorders>
                        <w:shd w:val="clear" w:color="auto" w:fill="D2D2D2"/>
                      </w:tcPr>
                      <w:p>
                        <w:pPr/>
                      </w:p>
                    </w:tc>
                    <w:tc>
                      <w:tcPr>
                        <w:tcW w:w="218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983" w:right="29" w:hanging="948"/>
                          <w:jc w:val="left"/>
                          <w:rPr>
                            <w:rFonts w:ascii="宋体" w:hAnsi="宋体" w:cs="宋体" w:eastAsia="宋体" w:hint="default"/>
                            <w:sz w:val="21"/>
                            <w:szCs w:val="21"/>
                          </w:rPr>
                        </w:pPr>
                        <w:r>
                          <w:rPr>
                            <w:rFonts w:ascii="宋体" w:hAnsi="宋体" w:cs="宋体" w:eastAsia="宋体" w:hint="default"/>
                            <w:b/>
                            <w:bCs/>
                            <w:sz w:val="21"/>
                            <w:szCs w:val="21"/>
                          </w:rPr>
                          <w:t>计提存货跌价准备的依</w:t>
                        </w:r>
                        <w:r>
                          <w:rPr>
                            <w:rFonts w:ascii="宋体" w:hAnsi="宋体" w:cs="宋体" w:eastAsia="宋体" w:hint="default"/>
                            <w:b/>
                            <w:bCs/>
                            <w:w w:val="100"/>
                            <w:sz w:val="21"/>
                            <w:szCs w:val="21"/>
                          </w:rPr>
                          <w:t> </w:t>
                        </w:r>
                        <w:r>
                          <w:rPr>
                            <w:rFonts w:ascii="宋体" w:hAnsi="宋体" w:cs="宋体" w:eastAsia="宋体" w:hint="default"/>
                            <w:b/>
                            <w:bCs/>
                            <w:sz w:val="21"/>
                            <w:szCs w:val="21"/>
                          </w:rPr>
                          <w:t>据</w:t>
                        </w:r>
                        <w:r>
                          <w:rPr>
                            <w:rFonts w:ascii="宋体" w:hAnsi="宋体" w:cs="宋体" w:eastAsia="宋体" w:hint="default"/>
                            <w:sz w:val="21"/>
                            <w:szCs w:val="21"/>
                          </w:rPr>
                        </w:r>
                      </w:p>
                    </w:tc>
                    <w:tc>
                      <w:tcPr>
                        <w:tcW w:w="218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773" w:right="31" w:hanging="738"/>
                          <w:jc w:val="left"/>
                          <w:rPr>
                            <w:rFonts w:ascii="宋体" w:hAnsi="宋体" w:cs="宋体" w:eastAsia="宋体" w:hint="default"/>
                            <w:sz w:val="21"/>
                            <w:szCs w:val="21"/>
                          </w:rPr>
                        </w:pPr>
                        <w:r>
                          <w:rPr>
                            <w:rFonts w:ascii="宋体" w:hAnsi="宋体" w:cs="宋体" w:eastAsia="宋体" w:hint="default"/>
                            <w:b/>
                            <w:bCs/>
                            <w:sz w:val="21"/>
                            <w:szCs w:val="21"/>
                          </w:rPr>
                          <w:t>本期转回存货跌价准备</w:t>
                        </w:r>
                        <w:r>
                          <w:rPr>
                            <w:rFonts w:ascii="宋体" w:hAnsi="宋体" w:cs="宋体" w:eastAsia="宋体" w:hint="default"/>
                            <w:b/>
                            <w:bCs/>
                            <w:w w:val="100"/>
                            <w:sz w:val="21"/>
                            <w:szCs w:val="21"/>
                          </w:rPr>
                          <w:t> </w:t>
                        </w:r>
                        <w:r>
                          <w:rPr>
                            <w:rFonts w:ascii="宋体" w:hAnsi="宋体" w:cs="宋体" w:eastAsia="宋体" w:hint="default"/>
                            <w:b/>
                            <w:bCs/>
                            <w:sz w:val="21"/>
                            <w:szCs w:val="21"/>
                          </w:rPr>
                          <w:t>的原因</w:t>
                        </w:r>
                        <w:r>
                          <w:rPr>
                            <w:rFonts w:ascii="宋体" w:hAnsi="宋体" w:cs="宋体" w:eastAsia="宋体" w:hint="default"/>
                            <w:sz w:val="21"/>
                            <w:szCs w:val="21"/>
                          </w:rPr>
                        </w:r>
                      </w:p>
                    </w:tc>
                    <w:tc>
                      <w:tcPr>
                        <w:tcW w:w="218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1" w:right="32" w:firstLine="12"/>
                          <w:jc w:val="left"/>
                          <w:rPr>
                            <w:rFonts w:ascii="Calibri" w:hAnsi="Calibri" w:cs="Calibri" w:eastAsia="Calibri" w:hint="default"/>
                            <w:sz w:val="21"/>
                            <w:szCs w:val="21"/>
                          </w:rPr>
                        </w:pPr>
                        <w:r>
                          <w:rPr>
                            <w:rFonts w:ascii="宋体" w:hAnsi="宋体" w:cs="宋体" w:eastAsia="宋体" w:hint="default"/>
                            <w:b/>
                            <w:bCs/>
                            <w:sz w:val="21"/>
                            <w:szCs w:val="21"/>
                          </w:rPr>
                          <w:t>本期转回金额占该项存</w:t>
                        </w:r>
                        <w:r>
                          <w:rPr>
                            <w:rFonts w:ascii="宋体" w:hAnsi="宋体" w:cs="宋体" w:eastAsia="宋体" w:hint="default"/>
                            <w:b/>
                            <w:bCs/>
                            <w:w w:val="100"/>
                            <w:sz w:val="21"/>
                            <w:szCs w:val="21"/>
                          </w:rPr>
                          <w:t> </w:t>
                        </w:r>
                        <w:r>
                          <w:rPr>
                            <w:rFonts w:ascii="宋体" w:hAnsi="宋体" w:cs="宋体" w:eastAsia="宋体" w:hint="default"/>
                            <w:b/>
                            <w:bCs/>
                            <w:spacing w:val="-3"/>
                            <w:sz w:val="21"/>
                            <w:szCs w:val="21"/>
                          </w:rPr>
                          <w:t>货期末余额的比例（</w:t>
                        </w:r>
                        <w:r>
                          <w:rPr>
                            <w:rFonts w:ascii="Calibri" w:hAnsi="Calibri" w:cs="Calibri" w:eastAsia="Calibri" w:hint="default"/>
                            <w:b/>
                            <w:bCs/>
                            <w:spacing w:val="-3"/>
                            <w:sz w:val="21"/>
                            <w:szCs w:val="21"/>
                          </w:rPr>
                          <w:t>%</w:t>
                        </w:r>
                        <w:r>
                          <w:rPr>
                            <w:rFonts w:ascii="Calibri" w:hAnsi="Calibri" w:cs="Calibri" w:eastAsia="Calibri" w:hint="default"/>
                            <w:spacing w:val="-3"/>
                            <w:sz w:val="21"/>
                            <w:szCs w:val="21"/>
                          </w:rPr>
                        </w:r>
                      </w:p>
                    </w:tc>
                  </w:tr>
                  <w:tr>
                    <w:trPr>
                      <w:trHeight w:val="312" w:hRule="exact"/>
                    </w:trPr>
                    <w:tc>
                      <w:tcPr>
                        <w:tcW w:w="2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86" w:type="dxa"/>
                        <w:vMerge/>
                        <w:tcBorders>
                          <w:left w:val="single" w:sz="4" w:space="0" w:color="000000"/>
                          <w:right w:val="single" w:sz="4" w:space="0" w:color="000000"/>
                        </w:tcBorders>
                        <w:shd w:val="clear" w:color="auto" w:fill="D2D2D2"/>
                      </w:tcPr>
                      <w:p>
                        <w:pPr/>
                      </w:p>
                    </w:tc>
                    <w:tc>
                      <w:tcPr>
                        <w:tcW w:w="2189" w:type="dxa"/>
                        <w:vMerge/>
                        <w:tcBorders>
                          <w:left w:val="single" w:sz="4" w:space="0" w:color="000000"/>
                          <w:right w:val="single" w:sz="4" w:space="0" w:color="000000"/>
                        </w:tcBorders>
                        <w:shd w:val="clear" w:color="auto" w:fill="D2D2D2"/>
                      </w:tcPr>
                      <w:p>
                        <w:pPr/>
                      </w:p>
                    </w:tc>
                    <w:tc>
                      <w:tcPr>
                        <w:tcW w:w="2187" w:type="dxa"/>
                        <w:vMerge/>
                        <w:tcBorders>
                          <w:left w:val="single" w:sz="4" w:space="0" w:color="000000"/>
                          <w:right w:val="single" w:sz="4" w:space="0" w:color="000000"/>
                        </w:tcBorders>
                        <w:shd w:val="clear" w:color="auto" w:fill="D2D2D2"/>
                      </w:tcPr>
                      <w:p>
                        <w:pPr/>
                      </w:p>
                    </w:tc>
                  </w:tr>
                  <w:tr>
                    <w:trPr>
                      <w:trHeight w:val="161" w:hRule="exact"/>
                    </w:trPr>
                    <w:tc>
                      <w:tcPr>
                        <w:tcW w:w="2187" w:type="dxa"/>
                        <w:tcBorders>
                          <w:top w:val="nil" w:sz="6" w:space="0" w:color="auto"/>
                          <w:left w:val="single" w:sz="4" w:space="0" w:color="000000"/>
                          <w:bottom w:val="single" w:sz="4" w:space="0" w:color="000000"/>
                          <w:right w:val="single" w:sz="4" w:space="0" w:color="000000"/>
                        </w:tcBorders>
                        <w:shd w:val="clear" w:color="auto" w:fill="D2D2D2"/>
                      </w:tcPr>
                      <w:p>
                        <w:pPr/>
                      </w:p>
                    </w:tc>
                    <w:tc>
                      <w:tcPr>
                        <w:tcW w:w="2186" w:type="dxa"/>
                        <w:vMerge/>
                        <w:tcBorders>
                          <w:left w:val="single" w:sz="4" w:space="0" w:color="000000"/>
                          <w:bottom w:val="single" w:sz="4" w:space="0" w:color="000000"/>
                          <w:right w:val="single" w:sz="4" w:space="0" w:color="000000"/>
                        </w:tcBorders>
                        <w:shd w:val="clear" w:color="auto" w:fill="D2D2D2"/>
                      </w:tcPr>
                      <w:p>
                        <w:pPr/>
                      </w:p>
                    </w:tc>
                    <w:tc>
                      <w:tcPr>
                        <w:tcW w:w="2189" w:type="dxa"/>
                        <w:vMerge/>
                        <w:tcBorders>
                          <w:left w:val="single" w:sz="4" w:space="0" w:color="000000"/>
                          <w:bottom w:val="single" w:sz="4" w:space="0" w:color="000000"/>
                          <w:right w:val="single" w:sz="4" w:space="0" w:color="000000"/>
                        </w:tcBorders>
                        <w:shd w:val="clear" w:color="auto" w:fill="D2D2D2"/>
                      </w:tcPr>
                      <w:p>
                        <w:pPr/>
                      </w:p>
                    </w:tc>
                    <w:tc>
                      <w:tcPr>
                        <w:tcW w:w="2187"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2186" w:type="dxa"/>
                        <w:tcBorders>
                          <w:top w:val="single" w:sz="4" w:space="0" w:color="000000"/>
                          <w:left w:val="single" w:sz="13" w:space="0" w:color="D2D2D2"/>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187" w:type="dxa"/>
                        <w:tcBorders>
                          <w:top w:val="single" w:sz="4" w:space="0" w:color="000000"/>
                          <w:left w:val="single" w:sz="4" w:space="0" w:color="000000"/>
                          <w:bottom w:val="nil" w:sz="6" w:space="0" w:color="auto"/>
                          <w:right w:val="single" w:sz="4" w:space="0" w:color="000000"/>
                        </w:tcBorders>
                        <w:shd w:val="clear" w:color="auto" w:fill="D2D2D2"/>
                      </w:tcPr>
                      <w:p>
                        <w:pPr/>
                      </w:p>
                    </w:tc>
                    <w:tc>
                      <w:tcPr>
                        <w:tcW w:w="2186" w:type="dxa"/>
                        <w:vMerge w:val="restart"/>
                        <w:tcBorders>
                          <w:top w:val="single" w:sz="4" w:space="0" w:color="000000"/>
                          <w:left w:val="single" w:sz="10" w:space="0" w:color="D2D2D2"/>
                          <w:right w:val="single" w:sz="4" w:space="0" w:color="000000"/>
                        </w:tcBorders>
                      </w:tcPr>
                      <w:p>
                        <w:pPr>
                          <w:pStyle w:val="TableParagraph"/>
                          <w:spacing w:line="273" w:lineRule="auto"/>
                          <w:ind w:left="16" w:right="48"/>
                          <w:jc w:val="left"/>
                          <w:rPr>
                            <w:rFonts w:ascii="宋体" w:hAnsi="宋体" w:cs="宋体" w:eastAsia="宋体" w:hint="default"/>
                            <w:sz w:val="21"/>
                            <w:szCs w:val="21"/>
                          </w:rPr>
                        </w:pPr>
                        <w:r>
                          <w:rPr>
                            <w:rFonts w:ascii="宋体" w:hAnsi="宋体" w:cs="宋体" w:eastAsia="宋体" w:hint="default"/>
                            <w:sz w:val="21"/>
                            <w:szCs w:val="21"/>
                          </w:rPr>
                          <w:t>按照可变现净值与账面</w:t>
                        </w:r>
                        <w:r>
                          <w:rPr>
                            <w:rFonts w:ascii="宋体" w:hAnsi="宋体" w:cs="宋体" w:eastAsia="宋体" w:hint="default"/>
                            <w:w w:val="100"/>
                            <w:sz w:val="21"/>
                            <w:szCs w:val="21"/>
                          </w:rPr>
                          <w:t> </w:t>
                        </w:r>
                        <w:r>
                          <w:rPr>
                            <w:rFonts w:ascii="宋体" w:hAnsi="宋体" w:cs="宋体" w:eastAsia="宋体" w:hint="default"/>
                            <w:sz w:val="21"/>
                            <w:szCs w:val="21"/>
                          </w:rPr>
                          <w:t>价值的差额计提</w:t>
                        </w:r>
                      </w:p>
                    </w:tc>
                    <w:tc>
                      <w:tcPr>
                        <w:tcW w:w="218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 w:right="0"/>
                          <w:jc w:val="left"/>
                          <w:rPr>
                            <w:rFonts w:ascii="Calibri" w:hAnsi="Calibri" w:cs="Calibri" w:eastAsia="Calibri" w:hint="default"/>
                            <w:sz w:val="21"/>
                            <w:szCs w:val="21"/>
                          </w:rPr>
                        </w:pPr>
                        <w:r>
                          <w:rPr>
                            <w:rFonts w:ascii="Calibri"/>
                            <w:sz w:val="21"/>
                          </w:rPr>
                          <w:t>--</w:t>
                        </w:r>
                      </w:p>
                    </w:tc>
                    <w:tc>
                      <w:tcPr>
                        <w:tcW w:w="2187"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r>
                  <w:tr>
                    <w:trPr>
                      <w:trHeight w:val="312" w:hRule="exact"/>
                    </w:trPr>
                    <w:tc>
                      <w:tcPr>
                        <w:tcW w:w="2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186" w:type="dxa"/>
                        <w:vMerge/>
                        <w:tcBorders>
                          <w:left w:val="single" w:sz="10" w:space="0" w:color="D2D2D2"/>
                          <w:right w:val="single" w:sz="4" w:space="0" w:color="000000"/>
                        </w:tcBorders>
                      </w:tcPr>
                      <w:p>
                        <w:pPr/>
                      </w:p>
                    </w:tc>
                    <w:tc>
                      <w:tcPr>
                        <w:tcW w:w="2189" w:type="dxa"/>
                        <w:vMerge/>
                        <w:tcBorders>
                          <w:left w:val="single" w:sz="4" w:space="0" w:color="000000"/>
                          <w:right w:val="single" w:sz="4" w:space="0" w:color="000000"/>
                        </w:tcBorders>
                      </w:tcPr>
                      <w:p>
                        <w:pPr/>
                      </w:p>
                    </w:tc>
                    <w:tc>
                      <w:tcPr>
                        <w:tcW w:w="2187" w:type="dxa"/>
                        <w:vMerge/>
                        <w:tcBorders>
                          <w:left w:val="single" w:sz="4" w:space="0" w:color="000000"/>
                          <w:right w:val="single" w:sz="4" w:space="0" w:color="000000"/>
                        </w:tcBorders>
                      </w:tcPr>
                      <w:p>
                        <w:pPr/>
                      </w:p>
                    </w:tc>
                  </w:tr>
                  <w:tr>
                    <w:trPr>
                      <w:trHeight w:val="161" w:hRule="exact"/>
                    </w:trPr>
                    <w:tc>
                      <w:tcPr>
                        <w:tcW w:w="2187" w:type="dxa"/>
                        <w:tcBorders>
                          <w:top w:val="nil" w:sz="6" w:space="0" w:color="auto"/>
                          <w:left w:val="single" w:sz="4" w:space="0" w:color="000000"/>
                          <w:bottom w:val="single" w:sz="4" w:space="0" w:color="000000"/>
                          <w:right w:val="single" w:sz="4" w:space="0" w:color="000000"/>
                        </w:tcBorders>
                        <w:shd w:val="clear" w:color="auto" w:fill="D2D2D2"/>
                      </w:tcPr>
                      <w:p>
                        <w:pPr/>
                      </w:p>
                    </w:tc>
                    <w:tc>
                      <w:tcPr>
                        <w:tcW w:w="2186" w:type="dxa"/>
                        <w:vMerge/>
                        <w:tcBorders>
                          <w:left w:val="single" w:sz="10" w:space="0" w:color="D2D2D2"/>
                          <w:bottom w:val="single" w:sz="4" w:space="0" w:color="000000"/>
                          <w:right w:val="single" w:sz="4" w:space="0" w:color="000000"/>
                        </w:tcBorders>
                      </w:tcPr>
                      <w:p>
                        <w:pPr/>
                      </w:p>
                    </w:tc>
                    <w:tc>
                      <w:tcPr>
                        <w:tcW w:w="2189" w:type="dxa"/>
                        <w:vMerge/>
                        <w:tcBorders>
                          <w:left w:val="single" w:sz="4" w:space="0" w:color="000000"/>
                          <w:bottom w:val="single" w:sz="4" w:space="0" w:color="000000"/>
                          <w:right w:val="single" w:sz="4" w:space="0" w:color="000000"/>
                        </w:tcBorders>
                      </w:tcPr>
                      <w:p>
                        <w:pPr/>
                      </w:p>
                    </w:tc>
                    <w:tc>
                      <w:tcPr>
                        <w:tcW w:w="2187" w:type="dxa"/>
                        <w:vMerge/>
                        <w:tcBorders>
                          <w:left w:val="single" w:sz="4" w:space="0" w:color="000000"/>
                          <w:bottom w:val="single" w:sz="4" w:space="0" w:color="000000"/>
                          <w:right w:val="single" w:sz="4" w:space="0" w:color="000000"/>
                        </w:tcBorders>
                      </w:tcPr>
                      <w:p>
                        <w:pPr/>
                      </w:p>
                    </w:tc>
                  </w:tr>
                  <w:tr>
                    <w:trPr>
                      <w:trHeight w:val="322" w:hRule="exact"/>
                    </w:trPr>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2186" w:type="dxa"/>
                        <w:tcBorders>
                          <w:top w:val="single" w:sz="4" w:space="0" w:color="000000"/>
                          <w:left w:val="single" w:sz="13" w:space="0" w:color="D2D2D2"/>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周转材料</w:t>
                        </w:r>
                      </w:p>
                    </w:tc>
                    <w:tc>
                      <w:tcPr>
                        <w:tcW w:w="2186" w:type="dxa"/>
                        <w:tcBorders>
                          <w:top w:val="single" w:sz="4" w:space="0" w:color="000000"/>
                          <w:left w:val="single" w:sz="13" w:space="0" w:color="D2D2D2"/>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消耗性生物资产</w:t>
                        </w:r>
                      </w:p>
                    </w:tc>
                    <w:tc>
                      <w:tcPr>
                        <w:tcW w:w="2186" w:type="dxa"/>
                        <w:tcBorders>
                          <w:top w:val="single" w:sz="4" w:space="0" w:color="000000"/>
                          <w:left w:val="single" w:sz="13" w:space="0" w:color="D2D2D2"/>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b/>
          <w:bCs/>
          <w:w w:val="100"/>
          <w:sz w:val="21"/>
          <w:szCs w:val="21"/>
        </w:rPr>
        <w:t>）</w:t>
      </w:r>
      <w:r>
        <w:rPr>
          <w:rFonts w:ascii="宋体" w:hAnsi="宋体" w:cs="宋体" w:eastAsia="宋体" w:hint="default"/>
          <w:w w:val="100"/>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7"/>
          <w:szCs w:val="27"/>
        </w:rPr>
      </w:pPr>
    </w:p>
    <w:p>
      <w:pPr>
        <w:spacing w:before="36"/>
        <w:ind w:left="558" w:right="82" w:firstLine="0"/>
        <w:jc w:val="left"/>
        <w:rPr>
          <w:rFonts w:ascii="宋体" w:hAnsi="宋体" w:cs="宋体" w:eastAsia="宋体" w:hint="default"/>
          <w:sz w:val="21"/>
          <w:szCs w:val="21"/>
        </w:rPr>
      </w:pPr>
      <w:r>
        <w:rPr>
          <w:rFonts w:ascii="宋体" w:hAnsi="宋体" w:cs="宋体" w:eastAsia="宋体" w:hint="default"/>
          <w:sz w:val="21"/>
          <w:szCs w:val="21"/>
        </w:rPr>
        <w:t>存货的说明</w:t>
      </w:r>
    </w:p>
    <w:p>
      <w:pPr>
        <w:pStyle w:val="BodyText"/>
        <w:spacing w:line="240" w:lineRule="auto" w:before="10"/>
        <w:ind w:right="82"/>
        <w:jc w:val="left"/>
      </w:pPr>
      <w:r>
        <w:rPr/>
        <w:t>库存商品为《中国地理纪行》杂志及相关数据。</w:t>
      </w:r>
    </w:p>
    <w:p>
      <w:pPr>
        <w:spacing w:line="240" w:lineRule="auto" w:before="12"/>
        <w:rPr>
          <w:rFonts w:ascii="宋体" w:hAnsi="宋体" w:cs="宋体" w:eastAsia="宋体" w:hint="default"/>
          <w:sz w:val="24"/>
          <w:szCs w:val="24"/>
        </w:rPr>
      </w:pPr>
    </w:p>
    <w:p>
      <w:pPr>
        <w:spacing w:before="0"/>
        <w:ind w:left="558" w:right="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、其他流动资产</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2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161"/>
        <w:gridCol w:w="2672"/>
        <w:gridCol w:w="2917"/>
      </w:tblGrid>
      <w:tr>
        <w:trPr>
          <w:trHeight w:val="322" w:hRule="exact"/>
        </w:trPr>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361"/>
              <w:jc w:val="righ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4" w:hRule="exact"/>
        </w:trPr>
        <w:tc>
          <w:tcPr>
            <w:tcW w:w="31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预缴企业所得税</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Arial Narrow" w:hAnsi="Arial Narrow" w:cs="Arial Narrow" w:eastAsia="Arial Narrow" w:hint="default"/>
                <w:sz w:val="21"/>
                <w:szCs w:val="21"/>
              </w:rPr>
            </w:pPr>
            <w:r>
              <w:rPr>
                <w:rFonts w:ascii="Arial Narrow"/>
                <w:spacing w:val="-1"/>
                <w:sz w:val="21"/>
              </w:rPr>
              <w:t>535,790.36</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w w:val="100"/>
                <w:sz w:val="21"/>
              </w:rPr>
              <w:t>-</w:t>
            </w:r>
          </w:p>
        </w:tc>
      </w:tr>
      <w:tr>
        <w:trPr>
          <w:trHeight w:val="322" w:hRule="exact"/>
        </w:trPr>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67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2"/>
                <w:sz w:val="21"/>
              </w:rPr>
              <w:t>535,790.36</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62" w:lineRule="exact" w:before="0"/>
        <w:ind w:left="558" w:right="82" w:firstLine="0"/>
        <w:jc w:val="left"/>
        <w:rPr>
          <w:rFonts w:ascii="宋体" w:hAnsi="宋体" w:cs="宋体" w:eastAsia="宋体" w:hint="default"/>
          <w:sz w:val="21"/>
          <w:szCs w:val="21"/>
        </w:rPr>
      </w:pPr>
      <w:r>
        <w:rPr>
          <w:rFonts w:ascii="宋体" w:hAnsi="宋体" w:cs="宋体" w:eastAsia="宋体" w:hint="default"/>
          <w:sz w:val="21"/>
          <w:szCs w:val="21"/>
        </w:rPr>
        <w:t>其他流动资产说明：无</w:t>
      </w:r>
    </w:p>
    <w:p>
      <w:pPr>
        <w:spacing w:line="240" w:lineRule="auto" w:before="10"/>
        <w:rPr>
          <w:rFonts w:ascii="宋体" w:hAnsi="宋体" w:cs="宋体" w:eastAsia="宋体" w:hint="default"/>
          <w:sz w:val="25"/>
          <w:szCs w:val="25"/>
        </w:rPr>
      </w:pPr>
    </w:p>
    <w:p>
      <w:pPr>
        <w:spacing w:before="0"/>
        <w:ind w:left="558" w:right="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、可供出售金融资产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58" w:right="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2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3991"/>
        <w:gridCol w:w="2318"/>
        <w:gridCol w:w="2429"/>
      </w:tblGrid>
      <w:tr>
        <w:trPr>
          <w:trHeight w:val="322"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26" w:right="0"/>
              <w:jc w:val="left"/>
              <w:rPr>
                <w:rFonts w:ascii="宋体" w:hAnsi="宋体" w:cs="宋体" w:eastAsia="宋体" w:hint="default"/>
                <w:sz w:val="21"/>
                <w:szCs w:val="21"/>
              </w:rPr>
            </w:pPr>
            <w:r>
              <w:rPr>
                <w:rFonts w:ascii="宋体" w:hAnsi="宋体" w:cs="宋体" w:eastAsia="宋体" w:hint="default"/>
                <w:b/>
                <w:bCs/>
                <w:sz w:val="21"/>
                <w:szCs w:val="21"/>
              </w:rPr>
              <w:t>期末公允价值</w:t>
            </w:r>
            <w:r>
              <w:rPr>
                <w:rFonts w:ascii="宋体" w:hAnsi="宋体" w:cs="宋体" w:eastAsia="宋体" w:hint="default"/>
                <w:sz w:val="21"/>
                <w:szCs w:val="21"/>
              </w:rPr>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75" w:right="0"/>
              <w:jc w:val="left"/>
              <w:rPr>
                <w:rFonts w:ascii="宋体" w:hAnsi="宋体" w:cs="宋体" w:eastAsia="宋体" w:hint="default"/>
                <w:sz w:val="21"/>
                <w:szCs w:val="21"/>
              </w:rPr>
            </w:pPr>
            <w:r>
              <w:rPr>
                <w:rFonts w:ascii="宋体" w:hAnsi="宋体" w:cs="宋体" w:eastAsia="宋体" w:hint="default"/>
                <w:b/>
                <w:bCs/>
                <w:sz w:val="21"/>
                <w:szCs w:val="21"/>
              </w:rPr>
              <w:t>期初公允价值</w:t>
            </w:r>
            <w:r>
              <w:rPr>
                <w:rFonts w:ascii="宋体" w:hAnsi="宋体" w:cs="宋体" w:eastAsia="宋体" w:hint="default"/>
                <w:sz w:val="21"/>
                <w:szCs w:val="21"/>
              </w:rPr>
            </w:r>
          </w:p>
        </w:tc>
      </w:tr>
      <w:tr>
        <w:trPr>
          <w:trHeight w:val="322"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可供出售债券</w:t>
            </w:r>
          </w:p>
        </w:tc>
        <w:tc>
          <w:tcPr>
            <w:tcW w:w="231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32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可供出售权益工具</w:t>
            </w:r>
          </w:p>
        </w:tc>
        <w:tc>
          <w:tcPr>
            <w:tcW w:w="231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32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1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9"/>
              <w:ind w:right="18"/>
              <w:jc w:val="right"/>
              <w:rPr>
                <w:rFonts w:ascii="Calibri" w:hAnsi="Calibri" w:cs="Calibri" w:eastAsia="Calibri" w:hint="default"/>
                <w:sz w:val="21"/>
                <w:szCs w:val="21"/>
              </w:rPr>
            </w:pPr>
            <w:r>
              <w:rPr>
                <w:rFonts w:ascii="Calibri"/>
                <w:w w:val="100"/>
                <w:sz w:val="21"/>
              </w:rPr>
              <w:t>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w w:val="100"/>
                <w:sz w:val="21"/>
              </w:rPr>
              <w:t>0</w:t>
            </w:r>
          </w:p>
        </w:tc>
      </w:tr>
      <w:tr>
        <w:trPr>
          <w:trHeight w:val="322"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1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bl>
    <w:p>
      <w:pPr>
        <w:spacing w:line="263" w:lineRule="exact" w:before="0"/>
        <w:ind w:left="558" w:right="82" w:firstLine="0"/>
        <w:jc w:val="left"/>
        <w:rPr>
          <w:rFonts w:ascii="宋体" w:hAnsi="宋体" w:cs="宋体" w:eastAsia="宋体" w:hint="default"/>
          <w:sz w:val="21"/>
          <w:szCs w:val="21"/>
        </w:rPr>
      </w:pPr>
      <w:r>
        <w:rPr>
          <w:rFonts w:ascii="宋体" w:hAnsi="宋体" w:cs="宋体" w:eastAsia="宋体" w:hint="default"/>
          <w:sz w:val="21"/>
          <w:szCs w:val="21"/>
        </w:rPr>
        <w:t>可供出售金融资产的说明：无</w:t>
      </w:r>
    </w:p>
    <w:p>
      <w:pPr>
        <w:spacing w:line="240" w:lineRule="auto" w:before="10"/>
        <w:rPr>
          <w:rFonts w:ascii="宋体" w:hAnsi="宋体" w:cs="宋体" w:eastAsia="宋体" w:hint="default"/>
          <w:sz w:val="25"/>
          <w:szCs w:val="25"/>
        </w:rPr>
      </w:pPr>
    </w:p>
    <w:p>
      <w:pPr>
        <w:spacing w:before="0"/>
        <w:ind w:left="558" w:right="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）可供出售金融资产中的长期债权投资</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2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12" w:type="dxa"/>
        <w:tblLayout w:type="fixed"/>
        <w:tblCellMar>
          <w:top w:w="0" w:type="dxa"/>
          <w:left w:w="0" w:type="dxa"/>
          <w:bottom w:w="0" w:type="dxa"/>
          <w:right w:w="0" w:type="dxa"/>
        </w:tblCellMar>
        <w:tblLook w:val="01E0"/>
      </w:tblPr>
      <w:tblGrid>
        <w:gridCol w:w="972"/>
        <w:gridCol w:w="972"/>
        <w:gridCol w:w="971"/>
        <w:gridCol w:w="972"/>
        <w:gridCol w:w="974"/>
        <w:gridCol w:w="972"/>
        <w:gridCol w:w="983"/>
        <w:gridCol w:w="950"/>
        <w:gridCol w:w="984"/>
      </w:tblGrid>
      <w:tr>
        <w:trPr>
          <w:trHeight w:val="161" w:hRule="exact"/>
        </w:trPr>
        <w:tc>
          <w:tcPr>
            <w:tcW w:w="972" w:type="dxa"/>
            <w:vMerge w:val="restart"/>
            <w:tcBorders>
              <w:top w:val="single" w:sz="4" w:space="0" w:color="000000"/>
              <w:left w:val="single" w:sz="4" w:space="0" w:color="000000"/>
              <w:right w:val="single" w:sz="4" w:space="0" w:color="000000"/>
            </w:tcBorders>
            <w:shd w:val="clear" w:color="auto" w:fill="D2D2D2"/>
          </w:tcPr>
          <w:p>
            <w:pPr/>
          </w:p>
        </w:tc>
        <w:tc>
          <w:tcPr>
            <w:tcW w:w="972" w:type="dxa"/>
            <w:vMerge w:val="restart"/>
            <w:tcBorders>
              <w:top w:val="single" w:sz="4" w:space="0" w:color="000000"/>
              <w:left w:val="single" w:sz="4" w:space="0" w:color="000000"/>
              <w:right w:val="single" w:sz="4" w:space="0" w:color="000000"/>
            </w:tcBorders>
            <w:shd w:val="clear" w:color="auto" w:fill="D2D2D2"/>
          </w:tcPr>
          <w:p>
            <w:pPr/>
          </w:p>
        </w:tc>
        <w:tc>
          <w:tcPr>
            <w:tcW w:w="971" w:type="dxa"/>
            <w:vMerge w:val="restart"/>
            <w:tcBorders>
              <w:top w:val="single" w:sz="4" w:space="0" w:color="000000"/>
              <w:left w:val="single" w:sz="4" w:space="0" w:color="000000"/>
              <w:right w:val="single" w:sz="4" w:space="0" w:color="000000"/>
            </w:tcBorders>
            <w:shd w:val="clear" w:color="auto" w:fill="D2D2D2"/>
          </w:tcPr>
          <w:p>
            <w:pPr/>
          </w:p>
        </w:tc>
        <w:tc>
          <w:tcPr>
            <w:tcW w:w="972" w:type="dxa"/>
            <w:tcBorders>
              <w:top w:val="single" w:sz="4" w:space="0" w:color="000000"/>
              <w:left w:val="single" w:sz="4" w:space="0" w:color="000000"/>
              <w:bottom w:val="nil" w:sz="6" w:space="0" w:color="auto"/>
              <w:right w:val="single" w:sz="4" w:space="0" w:color="000000"/>
            </w:tcBorders>
            <w:shd w:val="clear" w:color="auto" w:fill="D2D2D2"/>
          </w:tcPr>
          <w:p>
            <w:pPr/>
          </w:p>
        </w:tc>
        <w:tc>
          <w:tcPr>
            <w:tcW w:w="974" w:type="dxa"/>
            <w:vMerge w:val="restart"/>
            <w:tcBorders>
              <w:top w:val="single" w:sz="4" w:space="0" w:color="000000"/>
              <w:left w:val="single" w:sz="4" w:space="0" w:color="000000"/>
              <w:right w:val="single" w:sz="4" w:space="0" w:color="000000"/>
            </w:tcBorders>
            <w:shd w:val="clear" w:color="auto" w:fill="D2D2D2"/>
          </w:tcPr>
          <w:p>
            <w:pPr/>
          </w:p>
        </w:tc>
        <w:tc>
          <w:tcPr>
            <w:tcW w:w="972" w:type="dxa"/>
            <w:vMerge w:val="restart"/>
            <w:tcBorders>
              <w:top w:val="single" w:sz="4" w:space="0" w:color="000000"/>
              <w:left w:val="single" w:sz="4" w:space="0" w:color="000000"/>
              <w:right w:val="single" w:sz="4" w:space="0" w:color="000000"/>
            </w:tcBorders>
            <w:shd w:val="clear" w:color="auto" w:fill="D2D2D2"/>
          </w:tcPr>
          <w:p>
            <w:pPr/>
          </w:p>
        </w:tc>
        <w:tc>
          <w:tcPr>
            <w:tcW w:w="983" w:type="dxa"/>
            <w:vMerge w:val="restart"/>
            <w:tcBorders>
              <w:top w:val="single" w:sz="4" w:space="0" w:color="000000"/>
              <w:left w:val="single" w:sz="4" w:space="0" w:color="000000"/>
              <w:right w:val="single" w:sz="4" w:space="0" w:color="000000"/>
            </w:tcBorders>
            <w:shd w:val="clear" w:color="auto" w:fill="D2D2D2"/>
          </w:tcPr>
          <w:p>
            <w:pPr/>
          </w:p>
        </w:tc>
        <w:tc>
          <w:tcPr>
            <w:tcW w:w="95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46" w:right="45" w:hanging="1"/>
              <w:jc w:val="center"/>
              <w:rPr>
                <w:rFonts w:ascii="宋体" w:hAnsi="宋体" w:cs="宋体" w:eastAsia="宋体" w:hint="default"/>
                <w:sz w:val="21"/>
                <w:szCs w:val="21"/>
              </w:rPr>
            </w:pPr>
            <w:r>
              <w:rPr>
                <w:rFonts w:ascii="宋体" w:hAnsi="宋体" w:cs="宋体" w:eastAsia="宋体" w:hint="default"/>
                <w:b/>
                <w:bCs/>
                <w:sz w:val="21"/>
                <w:szCs w:val="21"/>
              </w:rPr>
              <w:t>累计应收</w:t>
            </w:r>
            <w:r>
              <w:rPr>
                <w:rFonts w:ascii="宋体" w:hAnsi="宋体" w:cs="宋体" w:eastAsia="宋体" w:hint="default"/>
                <w:b/>
                <w:bCs/>
                <w:w w:val="100"/>
                <w:sz w:val="21"/>
                <w:szCs w:val="21"/>
              </w:rPr>
              <w:t> </w:t>
            </w:r>
            <w:r>
              <w:rPr>
                <w:rFonts w:ascii="宋体" w:hAnsi="宋体" w:cs="宋体" w:eastAsia="宋体" w:hint="default"/>
                <w:b/>
                <w:bCs/>
                <w:sz w:val="21"/>
                <w:szCs w:val="21"/>
              </w:rPr>
              <w:t>或已收利</w:t>
            </w:r>
            <w:r>
              <w:rPr>
                <w:rFonts w:ascii="宋体" w:hAnsi="宋体" w:cs="宋体" w:eastAsia="宋体" w:hint="default"/>
                <w:b/>
                <w:bCs/>
                <w:w w:val="100"/>
                <w:sz w:val="21"/>
                <w:szCs w:val="21"/>
              </w:rPr>
              <w:t> </w:t>
            </w:r>
            <w:r>
              <w:rPr>
                <w:rFonts w:ascii="宋体" w:hAnsi="宋体" w:cs="宋体" w:eastAsia="宋体" w:hint="default"/>
                <w:b/>
                <w:bCs/>
                <w:sz w:val="21"/>
                <w:szCs w:val="21"/>
              </w:rPr>
              <w:t>息</w:t>
            </w:r>
            <w:r>
              <w:rPr>
                <w:rFonts w:ascii="宋体" w:hAnsi="宋体" w:cs="宋体" w:eastAsia="宋体" w:hint="default"/>
                <w:sz w:val="21"/>
                <w:szCs w:val="21"/>
              </w:rPr>
            </w:r>
          </w:p>
        </w:tc>
        <w:tc>
          <w:tcPr>
            <w:tcW w:w="98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972" w:type="dxa"/>
            <w:vMerge/>
            <w:tcBorders>
              <w:left w:val="single" w:sz="4" w:space="0" w:color="000000"/>
              <w:bottom w:val="nil" w:sz="6" w:space="0" w:color="auto"/>
              <w:right w:val="single" w:sz="4" w:space="0" w:color="000000"/>
            </w:tcBorders>
            <w:shd w:val="clear" w:color="auto" w:fill="D2D2D2"/>
          </w:tcPr>
          <w:p>
            <w:pPr/>
          </w:p>
        </w:tc>
        <w:tc>
          <w:tcPr>
            <w:tcW w:w="972" w:type="dxa"/>
            <w:vMerge/>
            <w:tcBorders>
              <w:left w:val="single" w:sz="4" w:space="0" w:color="000000"/>
              <w:bottom w:val="nil" w:sz="6" w:space="0" w:color="auto"/>
              <w:right w:val="single" w:sz="4" w:space="0" w:color="000000"/>
            </w:tcBorders>
            <w:shd w:val="clear" w:color="auto" w:fill="D2D2D2"/>
          </w:tcPr>
          <w:p>
            <w:pPr/>
          </w:p>
        </w:tc>
        <w:tc>
          <w:tcPr>
            <w:tcW w:w="971" w:type="dxa"/>
            <w:vMerge/>
            <w:tcBorders>
              <w:left w:val="single" w:sz="4" w:space="0" w:color="000000"/>
              <w:bottom w:val="nil" w:sz="6" w:space="0" w:color="auto"/>
              <w:right w:val="single" w:sz="4" w:space="0" w:color="000000"/>
            </w:tcBorders>
            <w:shd w:val="clear" w:color="auto" w:fill="D2D2D2"/>
          </w:tcPr>
          <w:p>
            <w:pPr/>
          </w:p>
        </w:tc>
        <w:tc>
          <w:tcPr>
            <w:tcW w:w="97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267" w:right="56" w:hanging="209"/>
              <w:jc w:val="left"/>
              <w:rPr>
                <w:rFonts w:ascii="宋体" w:hAnsi="宋体" w:cs="宋体" w:eastAsia="宋体" w:hint="default"/>
                <w:sz w:val="21"/>
                <w:szCs w:val="21"/>
              </w:rPr>
            </w:pPr>
            <w:r>
              <w:rPr>
                <w:rFonts w:ascii="宋体" w:hAnsi="宋体" w:cs="宋体" w:eastAsia="宋体" w:hint="default"/>
                <w:b/>
                <w:bCs/>
                <w:sz w:val="21"/>
                <w:szCs w:val="21"/>
              </w:rPr>
              <w:t>初始投资</w:t>
            </w:r>
            <w:r>
              <w:rPr>
                <w:rFonts w:ascii="宋体" w:hAnsi="宋体" w:cs="宋体" w:eastAsia="宋体" w:hint="default"/>
                <w:b/>
                <w:bCs/>
                <w:w w:val="100"/>
                <w:sz w:val="21"/>
                <w:szCs w:val="21"/>
              </w:rPr>
              <w:t> </w:t>
            </w:r>
            <w:r>
              <w:rPr>
                <w:rFonts w:ascii="宋体" w:hAnsi="宋体" w:cs="宋体" w:eastAsia="宋体" w:hint="default"/>
                <w:b/>
                <w:bCs/>
                <w:sz w:val="21"/>
                <w:szCs w:val="21"/>
              </w:rPr>
              <w:t>成本</w:t>
            </w:r>
            <w:r>
              <w:rPr>
                <w:rFonts w:ascii="宋体" w:hAnsi="宋体" w:cs="宋体" w:eastAsia="宋体" w:hint="default"/>
                <w:sz w:val="21"/>
                <w:szCs w:val="21"/>
              </w:rPr>
            </w:r>
          </w:p>
        </w:tc>
        <w:tc>
          <w:tcPr>
            <w:tcW w:w="974" w:type="dxa"/>
            <w:vMerge/>
            <w:tcBorders>
              <w:left w:val="single" w:sz="4" w:space="0" w:color="000000"/>
              <w:bottom w:val="nil" w:sz="6" w:space="0" w:color="auto"/>
              <w:right w:val="single" w:sz="4" w:space="0" w:color="000000"/>
            </w:tcBorders>
            <w:shd w:val="clear" w:color="auto" w:fill="D2D2D2"/>
          </w:tcPr>
          <w:p>
            <w:pPr/>
          </w:p>
        </w:tc>
        <w:tc>
          <w:tcPr>
            <w:tcW w:w="972" w:type="dxa"/>
            <w:vMerge/>
            <w:tcBorders>
              <w:left w:val="single" w:sz="4" w:space="0" w:color="000000"/>
              <w:bottom w:val="nil" w:sz="6" w:space="0" w:color="auto"/>
              <w:right w:val="single" w:sz="4" w:space="0" w:color="000000"/>
            </w:tcBorders>
            <w:shd w:val="clear" w:color="auto" w:fill="D2D2D2"/>
          </w:tcPr>
          <w:p>
            <w:pPr/>
          </w:p>
        </w:tc>
        <w:tc>
          <w:tcPr>
            <w:tcW w:w="983" w:type="dxa"/>
            <w:vMerge/>
            <w:tcBorders>
              <w:left w:val="single" w:sz="4" w:space="0" w:color="000000"/>
              <w:bottom w:val="nil" w:sz="6" w:space="0" w:color="auto"/>
              <w:right w:val="single" w:sz="4" w:space="0" w:color="000000"/>
            </w:tcBorders>
            <w:shd w:val="clear" w:color="auto" w:fill="D2D2D2"/>
          </w:tcPr>
          <w:p>
            <w:pPr/>
          </w:p>
        </w:tc>
        <w:tc>
          <w:tcPr>
            <w:tcW w:w="950" w:type="dxa"/>
            <w:vMerge/>
            <w:tcBorders>
              <w:left w:val="single" w:sz="4" w:space="0" w:color="000000"/>
              <w:right w:val="single" w:sz="4" w:space="0" w:color="000000"/>
            </w:tcBorders>
            <w:shd w:val="clear" w:color="auto" w:fill="D2D2D2"/>
          </w:tcPr>
          <w:p>
            <w:pPr/>
          </w:p>
        </w:tc>
        <w:tc>
          <w:tcPr>
            <w:tcW w:w="984" w:type="dxa"/>
            <w:vMerge/>
            <w:tcBorders>
              <w:left w:val="single" w:sz="4" w:space="0" w:color="000000"/>
              <w:bottom w:val="nil" w:sz="6" w:space="0" w:color="auto"/>
              <w:right w:val="single" w:sz="4" w:space="0" w:color="000000"/>
            </w:tcBorders>
            <w:shd w:val="clear" w:color="auto" w:fill="D2D2D2"/>
          </w:tcPr>
          <w:p>
            <w:pPr/>
          </w:p>
        </w:tc>
      </w:tr>
      <w:tr>
        <w:trPr>
          <w:trHeight w:val="312" w:hRule="exact"/>
        </w:trPr>
        <w:tc>
          <w:tcPr>
            <w:tcW w:w="972" w:type="dxa"/>
            <w:tcBorders>
              <w:top w:val="nil" w:sz="6" w:space="0" w:color="auto"/>
              <w:left w:val="single" w:sz="13" w:space="0" w:color="D2D2D2"/>
              <w:bottom w:val="nil" w:sz="6" w:space="0" w:color="auto"/>
              <w:right w:val="single" w:sz="10" w:space="0" w:color="D2D2D2"/>
            </w:tcBorders>
          </w:tcPr>
          <w:p>
            <w:pPr>
              <w:pStyle w:val="TableParagraph"/>
              <w:tabs>
                <w:tab w:pos="926" w:val="left" w:leader="none"/>
              </w:tabs>
              <w:spacing w:line="262" w:lineRule="exact"/>
              <w:ind w:left="11" w:right="0"/>
              <w:jc w:val="left"/>
              <w:rPr>
                <w:rFonts w:ascii="宋体" w:hAnsi="宋体" w:cs="宋体" w:eastAsia="宋体"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spacing w:val="-17"/>
                <w:w w:val="100"/>
                <w:sz w:val="21"/>
                <w:szCs w:val="21"/>
                <w:shd w:fill="D2D2D2" w:color="auto" w:val="clear"/>
              </w:rPr>
              <w:t> </w:t>
            </w:r>
            <w:r>
              <w:rPr>
                <w:rFonts w:ascii="宋体" w:hAnsi="宋体" w:cs="宋体" w:eastAsia="宋体" w:hint="default"/>
                <w:b/>
                <w:bCs/>
                <w:sz w:val="21"/>
                <w:szCs w:val="21"/>
                <w:shd w:fill="D2D2D2" w:color="auto" w:val="clear"/>
              </w:rPr>
              <w:t>债券项目</w:t>
              <w:tab/>
            </w:r>
            <w:r>
              <w:rPr>
                <w:rFonts w:ascii="宋体" w:hAnsi="宋体" w:cs="宋体" w:eastAsia="宋体" w:hint="default"/>
                <w:b/>
                <w:bCs/>
                <w:sz w:val="21"/>
                <w:szCs w:val="21"/>
              </w:rPr>
            </w:r>
            <w:r>
              <w:rPr>
                <w:rFonts w:ascii="宋体" w:hAnsi="宋体" w:cs="宋体" w:eastAsia="宋体" w:hint="default"/>
                <w:sz w:val="21"/>
                <w:szCs w:val="21"/>
              </w:rPr>
            </w:r>
          </w:p>
        </w:tc>
        <w:tc>
          <w:tcPr>
            <w:tcW w:w="9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债券种类</w:t>
            </w:r>
            <w:r>
              <w:rPr>
                <w:rFonts w:ascii="宋体" w:hAnsi="宋体" w:cs="宋体" w:eastAsia="宋体" w:hint="default"/>
                <w:sz w:val="21"/>
                <w:szCs w:val="21"/>
              </w:rPr>
            </w:r>
          </w:p>
        </w:tc>
        <w:tc>
          <w:tcPr>
            <w:tcW w:w="9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面值</w:t>
            </w:r>
            <w:r>
              <w:rPr>
                <w:rFonts w:ascii="宋体" w:hAnsi="宋体" w:cs="宋体" w:eastAsia="宋体" w:hint="default"/>
                <w:sz w:val="21"/>
                <w:szCs w:val="21"/>
              </w:rPr>
            </w:r>
          </w:p>
        </w:tc>
        <w:tc>
          <w:tcPr>
            <w:tcW w:w="972" w:type="dxa"/>
            <w:vMerge/>
            <w:tcBorders>
              <w:left w:val="single" w:sz="4" w:space="0" w:color="000000"/>
              <w:right w:val="single" w:sz="4" w:space="0" w:color="000000"/>
            </w:tcBorders>
            <w:shd w:val="clear" w:color="auto" w:fill="D2D2D2"/>
          </w:tcPr>
          <w:p>
            <w:pPr/>
          </w:p>
        </w:tc>
        <w:tc>
          <w:tcPr>
            <w:tcW w:w="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到期日</w:t>
            </w:r>
            <w:r>
              <w:rPr>
                <w:rFonts w:ascii="宋体" w:hAnsi="宋体" w:cs="宋体" w:eastAsia="宋体" w:hint="default"/>
                <w:sz w:val="21"/>
                <w:szCs w:val="21"/>
              </w:rPr>
            </w:r>
          </w:p>
        </w:tc>
        <w:tc>
          <w:tcPr>
            <w:tcW w:w="9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983" w:type="dxa"/>
            <w:tcBorders>
              <w:top w:val="nil" w:sz="6" w:space="0" w:color="auto"/>
              <w:left w:val="single" w:sz="22" w:space="0" w:color="D2D2D2"/>
              <w:bottom w:val="nil" w:sz="6" w:space="0" w:color="auto"/>
              <w:right w:val="single" w:sz="10" w:space="0" w:color="D2D2D2"/>
            </w:tcBorders>
          </w:tcPr>
          <w:p>
            <w:pPr>
              <w:pStyle w:val="TableParagraph"/>
              <w:tabs>
                <w:tab w:pos="915" w:val="left" w:leader="none"/>
              </w:tabs>
              <w:spacing w:line="262" w:lineRule="exact"/>
              <w:ind w:left="-2" w:right="25"/>
              <w:jc w:val="right"/>
              <w:rPr>
                <w:rFonts w:ascii="宋体" w:hAnsi="宋体" w:cs="宋体" w:eastAsia="宋体"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spacing w:val="-17"/>
                <w:w w:val="100"/>
                <w:sz w:val="21"/>
                <w:szCs w:val="21"/>
                <w:shd w:fill="D2D2D2" w:color="auto" w:val="clear"/>
              </w:rPr>
              <w:t> </w:t>
            </w:r>
            <w:r>
              <w:rPr>
                <w:rFonts w:ascii="宋体" w:hAnsi="宋体" w:cs="宋体" w:eastAsia="宋体" w:hint="default"/>
                <w:b/>
                <w:bCs/>
                <w:sz w:val="21"/>
                <w:szCs w:val="21"/>
                <w:shd w:fill="D2D2D2" w:color="auto" w:val="clear"/>
              </w:rPr>
              <w:t>本期利息</w:t>
              <w:tab/>
            </w:r>
            <w:r>
              <w:rPr>
                <w:rFonts w:ascii="宋体" w:hAnsi="宋体" w:cs="宋体" w:eastAsia="宋体" w:hint="default"/>
                <w:b/>
                <w:bCs/>
                <w:sz w:val="21"/>
                <w:szCs w:val="21"/>
              </w:rPr>
            </w:r>
            <w:r>
              <w:rPr>
                <w:rFonts w:ascii="宋体" w:hAnsi="宋体" w:cs="宋体" w:eastAsia="宋体" w:hint="default"/>
                <w:sz w:val="21"/>
                <w:szCs w:val="21"/>
              </w:rPr>
            </w:r>
          </w:p>
        </w:tc>
        <w:tc>
          <w:tcPr>
            <w:tcW w:w="950" w:type="dxa"/>
            <w:vMerge/>
            <w:tcBorders>
              <w:left w:val="single" w:sz="4" w:space="0" w:color="000000"/>
              <w:right w:val="single" w:sz="4" w:space="0" w:color="000000"/>
            </w:tcBorders>
            <w:shd w:val="clear" w:color="auto" w:fill="D2D2D2"/>
          </w:tcPr>
          <w:p>
            <w:pPr/>
          </w:p>
        </w:tc>
        <w:tc>
          <w:tcPr>
            <w:tcW w:w="984" w:type="dxa"/>
            <w:tcBorders>
              <w:top w:val="nil" w:sz="6" w:space="0" w:color="auto"/>
              <w:left w:val="single" w:sz="22" w:space="0" w:color="D2D2D2"/>
              <w:bottom w:val="nil" w:sz="6" w:space="0" w:color="auto"/>
              <w:right w:val="single" w:sz="13" w:space="0" w:color="D2D2D2"/>
            </w:tcBorders>
          </w:tcPr>
          <w:p>
            <w:pPr>
              <w:pStyle w:val="TableParagraph"/>
              <w:tabs>
                <w:tab w:pos="916" w:val="left" w:leader="none"/>
              </w:tabs>
              <w:spacing w:line="262" w:lineRule="exact"/>
              <w:ind w:right="10"/>
              <w:jc w:val="right"/>
              <w:rPr>
                <w:rFonts w:ascii="宋体" w:hAnsi="宋体" w:cs="宋体" w:eastAsia="宋体"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spacing w:val="-17"/>
                <w:w w:val="100"/>
                <w:sz w:val="21"/>
                <w:szCs w:val="21"/>
                <w:shd w:fill="D2D2D2" w:color="auto" w:val="clear"/>
              </w:rPr>
              <w:t> </w:t>
            </w:r>
            <w:r>
              <w:rPr>
                <w:rFonts w:ascii="宋体" w:hAnsi="宋体" w:cs="宋体" w:eastAsia="宋体" w:hint="default"/>
                <w:b/>
                <w:bCs/>
                <w:sz w:val="21"/>
                <w:szCs w:val="21"/>
                <w:shd w:fill="D2D2D2" w:color="auto" w:val="clear"/>
              </w:rPr>
              <w:t>期末余额</w:t>
              <w:tab/>
            </w:r>
            <w:r>
              <w:rPr>
                <w:rFonts w:ascii="宋体" w:hAnsi="宋体" w:cs="宋体" w:eastAsia="宋体" w:hint="default"/>
                <w:b/>
                <w:bCs/>
                <w:sz w:val="21"/>
                <w:szCs w:val="21"/>
              </w:rPr>
            </w:r>
            <w:r>
              <w:rPr>
                <w:rFonts w:ascii="宋体" w:hAnsi="宋体" w:cs="宋体" w:eastAsia="宋体" w:hint="default"/>
                <w:sz w:val="21"/>
                <w:szCs w:val="21"/>
              </w:rPr>
            </w:r>
          </w:p>
        </w:tc>
      </w:tr>
      <w:tr>
        <w:trPr>
          <w:trHeight w:val="156" w:hRule="exact"/>
        </w:trPr>
        <w:tc>
          <w:tcPr>
            <w:tcW w:w="972" w:type="dxa"/>
            <w:vMerge w:val="restart"/>
            <w:tcBorders>
              <w:top w:val="nil" w:sz="6" w:space="0" w:color="auto"/>
              <w:left w:val="single" w:sz="4" w:space="0" w:color="000000"/>
              <w:right w:val="single" w:sz="4" w:space="0" w:color="000000"/>
            </w:tcBorders>
            <w:shd w:val="clear" w:color="auto" w:fill="D2D2D2"/>
          </w:tcPr>
          <w:p>
            <w:pPr/>
          </w:p>
        </w:tc>
        <w:tc>
          <w:tcPr>
            <w:tcW w:w="972" w:type="dxa"/>
            <w:vMerge w:val="restart"/>
            <w:tcBorders>
              <w:top w:val="nil" w:sz="6" w:space="0" w:color="auto"/>
              <w:left w:val="single" w:sz="4" w:space="0" w:color="000000"/>
              <w:right w:val="single" w:sz="4" w:space="0" w:color="000000"/>
            </w:tcBorders>
            <w:shd w:val="clear" w:color="auto" w:fill="D2D2D2"/>
          </w:tcPr>
          <w:p>
            <w:pPr/>
          </w:p>
        </w:tc>
        <w:tc>
          <w:tcPr>
            <w:tcW w:w="971" w:type="dxa"/>
            <w:vMerge w:val="restart"/>
            <w:tcBorders>
              <w:top w:val="nil" w:sz="6" w:space="0" w:color="auto"/>
              <w:left w:val="single" w:sz="4" w:space="0" w:color="000000"/>
              <w:right w:val="single" w:sz="4" w:space="0" w:color="000000"/>
            </w:tcBorders>
            <w:shd w:val="clear" w:color="auto" w:fill="D2D2D2"/>
          </w:tcPr>
          <w:p>
            <w:pPr/>
          </w:p>
        </w:tc>
        <w:tc>
          <w:tcPr>
            <w:tcW w:w="972" w:type="dxa"/>
            <w:vMerge/>
            <w:tcBorders>
              <w:left w:val="single" w:sz="4" w:space="0" w:color="000000"/>
              <w:bottom w:val="nil" w:sz="6" w:space="0" w:color="auto"/>
              <w:right w:val="single" w:sz="4" w:space="0" w:color="000000"/>
            </w:tcBorders>
            <w:shd w:val="clear" w:color="auto" w:fill="D2D2D2"/>
          </w:tcPr>
          <w:p>
            <w:pPr/>
          </w:p>
        </w:tc>
        <w:tc>
          <w:tcPr>
            <w:tcW w:w="974" w:type="dxa"/>
            <w:vMerge w:val="restart"/>
            <w:tcBorders>
              <w:top w:val="nil" w:sz="6" w:space="0" w:color="auto"/>
              <w:left w:val="single" w:sz="4" w:space="0" w:color="000000"/>
              <w:right w:val="single" w:sz="4" w:space="0" w:color="000000"/>
            </w:tcBorders>
            <w:shd w:val="clear" w:color="auto" w:fill="D2D2D2"/>
          </w:tcPr>
          <w:p>
            <w:pPr/>
          </w:p>
        </w:tc>
        <w:tc>
          <w:tcPr>
            <w:tcW w:w="972" w:type="dxa"/>
            <w:vMerge w:val="restart"/>
            <w:tcBorders>
              <w:top w:val="nil" w:sz="6" w:space="0" w:color="auto"/>
              <w:left w:val="single" w:sz="4" w:space="0" w:color="000000"/>
              <w:right w:val="single" w:sz="4" w:space="0" w:color="000000"/>
            </w:tcBorders>
            <w:shd w:val="clear" w:color="auto" w:fill="D2D2D2"/>
          </w:tcPr>
          <w:p>
            <w:pPr/>
          </w:p>
        </w:tc>
        <w:tc>
          <w:tcPr>
            <w:tcW w:w="983" w:type="dxa"/>
            <w:vMerge w:val="restart"/>
            <w:tcBorders>
              <w:top w:val="nil" w:sz="6" w:space="0" w:color="auto"/>
              <w:left w:val="single" w:sz="4" w:space="0" w:color="000000"/>
              <w:right w:val="single" w:sz="4" w:space="0" w:color="000000"/>
            </w:tcBorders>
            <w:shd w:val="clear" w:color="auto" w:fill="D2D2D2"/>
          </w:tcPr>
          <w:p>
            <w:pPr/>
          </w:p>
        </w:tc>
        <w:tc>
          <w:tcPr>
            <w:tcW w:w="950" w:type="dxa"/>
            <w:vMerge/>
            <w:tcBorders>
              <w:left w:val="single" w:sz="4" w:space="0" w:color="000000"/>
              <w:right w:val="single" w:sz="4" w:space="0" w:color="000000"/>
            </w:tcBorders>
            <w:shd w:val="clear" w:color="auto" w:fill="D2D2D2"/>
          </w:tcPr>
          <w:p>
            <w:pPr/>
          </w:p>
        </w:tc>
        <w:tc>
          <w:tcPr>
            <w:tcW w:w="984"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972" w:type="dxa"/>
            <w:vMerge/>
            <w:tcBorders>
              <w:left w:val="single" w:sz="4" w:space="0" w:color="000000"/>
              <w:bottom w:val="single" w:sz="4" w:space="0" w:color="000000"/>
              <w:right w:val="single" w:sz="4" w:space="0" w:color="000000"/>
            </w:tcBorders>
            <w:shd w:val="clear" w:color="auto" w:fill="D2D2D2"/>
          </w:tcPr>
          <w:p>
            <w:pPr/>
          </w:p>
        </w:tc>
        <w:tc>
          <w:tcPr>
            <w:tcW w:w="972" w:type="dxa"/>
            <w:vMerge/>
            <w:tcBorders>
              <w:left w:val="single" w:sz="4" w:space="0" w:color="000000"/>
              <w:bottom w:val="single" w:sz="4" w:space="0" w:color="000000"/>
              <w:right w:val="single" w:sz="4" w:space="0" w:color="000000"/>
            </w:tcBorders>
            <w:shd w:val="clear" w:color="auto" w:fill="D2D2D2"/>
          </w:tcPr>
          <w:p>
            <w:pPr/>
          </w:p>
        </w:tc>
        <w:tc>
          <w:tcPr>
            <w:tcW w:w="971" w:type="dxa"/>
            <w:vMerge/>
            <w:tcBorders>
              <w:left w:val="single" w:sz="4" w:space="0" w:color="000000"/>
              <w:bottom w:val="single" w:sz="4" w:space="0" w:color="000000"/>
              <w:right w:val="single" w:sz="4" w:space="0" w:color="000000"/>
            </w:tcBorders>
            <w:shd w:val="clear" w:color="auto" w:fill="D2D2D2"/>
          </w:tcPr>
          <w:p>
            <w:pPr/>
          </w:p>
        </w:tc>
        <w:tc>
          <w:tcPr>
            <w:tcW w:w="972" w:type="dxa"/>
            <w:tcBorders>
              <w:top w:val="nil" w:sz="6" w:space="0" w:color="auto"/>
              <w:left w:val="single" w:sz="4" w:space="0" w:color="000000"/>
              <w:bottom w:val="single" w:sz="4" w:space="0" w:color="000000"/>
              <w:right w:val="single" w:sz="4" w:space="0" w:color="000000"/>
            </w:tcBorders>
            <w:shd w:val="clear" w:color="auto" w:fill="D2D2D2"/>
          </w:tcPr>
          <w:p>
            <w:pPr/>
          </w:p>
        </w:tc>
        <w:tc>
          <w:tcPr>
            <w:tcW w:w="974" w:type="dxa"/>
            <w:vMerge/>
            <w:tcBorders>
              <w:left w:val="single" w:sz="4" w:space="0" w:color="000000"/>
              <w:bottom w:val="single" w:sz="4" w:space="0" w:color="000000"/>
              <w:right w:val="single" w:sz="4" w:space="0" w:color="000000"/>
            </w:tcBorders>
            <w:shd w:val="clear" w:color="auto" w:fill="D2D2D2"/>
          </w:tcPr>
          <w:p>
            <w:pPr/>
          </w:p>
        </w:tc>
        <w:tc>
          <w:tcPr>
            <w:tcW w:w="972" w:type="dxa"/>
            <w:vMerge/>
            <w:tcBorders>
              <w:left w:val="single" w:sz="4" w:space="0" w:color="000000"/>
              <w:bottom w:val="single" w:sz="4" w:space="0" w:color="000000"/>
              <w:right w:val="single" w:sz="4" w:space="0" w:color="000000"/>
            </w:tcBorders>
            <w:shd w:val="clear" w:color="auto" w:fill="D2D2D2"/>
          </w:tcPr>
          <w:p>
            <w:pPr/>
          </w:p>
        </w:tc>
        <w:tc>
          <w:tcPr>
            <w:tcW w:w="983" w:type="dxa"/>
            <w:vMerge/>
            <w:tcBorders>
              <w:left w:val="single" w:sz="4" w:space="0" w:color="000000"/>
              <w:bottom w:val="single" w:sz="4" w:space="0" w:color="000000"/>
              <w:right w:val="single" w:sz="4" w:space="0" w:color="000000"/>
            </w:tcBorders>
            <w:shd w:val="clear" w:color="auto" w:fill="D2D2D2"/>
          </w:tcPr>
          <w:p>
            <w:pPr/>
          </w:p>
        </w:tc>
        <w:tc>
          <w:tcPr>
            <w:tcW w:w="950" w:type="dxa"/>
            <w:vMerge/>
            <w:tcBorders>
              <w:left w:val="single" w:sz="4" w:space="0" w:color="000000"/>
              <w:bottom w:val="single" w:sz="4" w:space="0" w:color="000000"/>
              <w:right w:val="single" w:sz="4" w:space="0" w:color="000000"/>
            </w:tcBorders>
            <w:shd w:val="clear" w:color="auto" w:fill="D2D2D2"/>
          </w:tcPr>
          <w:p>
            <w:pPr/>
          </w:p>
        </w:tc>
        <w:tc>
          <w:tcPr>
            <w:tcW w:w="984"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972"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28"/>
              <w:ind w:right="14"/>
              <w:jc w:val="right"/>
              <w:rPr>
                <w:rFonts w:ascii="Calibri" w:hAnsi="Calibri" w:cs="Calibri" w:eastAsia="Calibri" w:hint="default"/>
                <w:sz w:val="21"/>
                <w:szCs w:val="21"/>
              </w:rPr>
            </w:pPr>
            <w:r>
              <w:rPr>
                <w:rFonts w:ascii="Calibri"/>
                <w:w w:val="100"/>
                <w:sz w:val="21"/>
              </w:rPr>
              <w:t>0</w:t>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Calibri" w:hAnsi="Calibri" w:cs="Calibri" w:eastAsia="Calibri" w:hint="default"/>
                <w:sz w:val="21"/>
                <w:szCs w:val="21"/>
              </w:rPr>
            </w:pPr>
            <w:r>
              <w:rPr>
                <w:rFonts w:ascii="Calibri"/>
                <w:sz w:val="21"/>
              </w:rPr>
              <w:t>--</w:t>
            </w:r>
          </w:p>
        </w:tc>
        <w:tc>
          <w:tcPr>
            <w:tcW w:w="9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1"/>
              <w:jc w:val="right"/>
              <w:rPr>
                <w:rFonts w:ascii="Calibri" w:hAnsi="Calibri" w:cs="Calibri" w:eastAsia="Calibri" w:hint="default"/>
                <w:sz w:val="21"/>
                <w:szCs w:val="21"/>
              </w:rPr>
            </w:pPr>
            <w:r>
              <w:rPr>
                <w:rFonts w:ascii="Calibri"/>
                <w:w w:val="100"/>
                <w:sz w:val="21"/>
              </w:rPr>
              <w:t>0</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
              <w:jc w:val="right"/>
              <w:rPr>
                <w:rFonts w:ascii="Calibri" w:hAnsi="Calibri" w:cs="Calibri" w:eastAsia="Calibri" w:hint="default"/>
                <w:sz w:val="21"/>
                <w:szCs w:val="21"/>
              </w:rPr>
            </w:pPr>
            <w:r>
              <w:rPr>
                <w:rFonts w:ascii="Calibri"/>
                <w:w w:val="100"/>
                <w:sz w:val="21"/>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bl>
    <w:p>
      <w:pPr>
        <w:spacing w:line="262" w:lineRule="exact" w:before="0"/>
        <w:ind w:left="558" w:right="82" w:firstLine="0"/>
        <w:jc w:val="left"/>
        <w:rPr>
          <w:rFonts w:ascii="宋体" w:hAnsi="宋体" w:cs="宋体" w:eastAsia="宋体" w:hint="default"/>
          <w:sz w:val="21"/>
          <w:szCs w:val="21"/>
        </w:rPr>
      </w:pPr>
      <w:r>
        <w:rPr>
          <w:rFonts w:ascii="宋体" w:hAnsi="宋体" w:cs="宋体" w:eastAsia="宋体" w:hint="default"/>
          <w:sz w:val="21"/>
          <w:szCs w:val="21"/>
        </w:rPr>
        <w:t>可供出售金融资产的长期债权投资的说明：无</w:t>
      </w:r>
    </w:p>
    <w:p>
      <w:pPr>
        <w:spacing w:after="0" w:line="262" w:lineRule="exact"/>
        <w:jc w:val="left"/>
        <w:rPr>
          <w:rFonts w:ascii="宋体" w:hAnsi="宋体" w:cs="宋体" w:eastAsia="宋体" w:hint="default"/>
          <w:sz w:val="21"/>
          <w:szCs w:val="21"/>
        </w:rPr>
        <w:sectPr>
          <w:footerReference w:type="default" r:id="rId49"/>
          <w:pgSz w:w="11910" w:h="16840"/>
          <w:pgMar w:footer="1007" w:header="884" w:top="1160" w:bottom="1200" w:left="1240" w:right="1200"/>
          <w:pgNumType w:start="130"/>
        </w:sectPr>
      </w:pPr>
    </w:p>
    <w:p>
      <w:pPr>
        <w:spacing w:line="240" w:lineRule="auto" w:before="4"/>
        <w:rPr>
          <w:rFonts w:ascii="宋体" w:hAnsi="宋体" w:cs="宋体" w:eastAsia="宋体" w:hint="default"/>
          <w:sz w:val="16"/>
          <w:szCs w:val="16"/>
        </w:rPr>
      </w:pPr>
    </w:p>
    <w:p>
      <w:pPr>
        <w:spacing w:before="36"/>
        <w:ind w:left="558"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、持有至到期投资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23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3017"/>
        <w:gridCol w:w="2804"/>
        <w:gridCol w:w="2917"/>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67"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sz w:val="21"/>
                <w:szCs w:val="21"/>
              </w:rPr>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20"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sz w:val="21"/>
                <w:szCs w:val="21"/>
              </w:rPr>
            </w:r>
          </w:p>
        </w:tc>
      </w:tr>
      <w:tr>
        <w:trPr>
          <w:trHeight w:val="324" w:hRule="exact"/>
        </w:trPr>
        <w:tc>
          <w:tcPr>
            <w:tcW w:w="3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bl>
    <w:p>
      <w:pPr>
        <w:spacing w:line="262" w:lineRule="exact" w:before="0"/>
        <w:ind w:left="558" w:right="102" w:firstLine="0"/>
        <w:jc w:val="left"/>
        <w:rPr>
          <w:rFonts w:ascii="宋体" w:hAnsi="宋体" w:cs="宋体" w:eastAsia="宋体" w:hint="default"/>
          <w:sz w:val="21"/>
          <w:szCs w:val="21"/>
        </w:rPr>
      </w:pPr>
      <w:r>
        <w:rPr>
          <w:rFonts w:ascii="宋体" w:hAnsi="宋体" w:cs="宋体" w:eastAsia="宋体" w:hint="default"/>
          <w:sz w:val="21"/>
          <w:szCs w:val="21"/>
        </w:rPr>
        <w:t>持有至到期投资的说明：无</w:t>
      </w:r>
    </w:p>
    <w:p>
      <w:pPr>
        <w:spacing w:line="240" w:lineRule="auto" w:before="10"/>
        <w:rPr>
          <w:rFonts w:ascii="宋体" w:hAnsi="宋体" w:cs="宋体" w:eastAsia="宋体" w:hint="default"/>
          <w:sz w:val="25"/>
          <w:szCs w:val="25"/>
        </w:rPr>
      </w:pPr>
    </w:p>
    <w:p>
      <w:pPr>
        <w:spacing w:before="0"/>
        <w:ind w:left="558" w:right="10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）本报告期内出售但尚未到期的持有至到期投资情况</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36"/>
        <w:ind w:left="0" w:right="23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2535"/>
        <w:gridCol w:w="2574"/>
        <w:gridCol w:w="3616"/>
      </w:tblGrid>
      <w:tr>
        <w:trPr>
          <w:trHeight w:val="322" w:hRule="exact"/>
        </w:trPr>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3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b/>
                <w:bCs/>
                <w:sz w:val="21"/>
                <w:szCs w:val="21"/>
              </w:rPr>
              <w:t>占该项投资出售前金额的比例（</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324" w:hRule="exact"/>
        </w:trPr>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74"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3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r>
    </w:tbl>
    <w:p>
      <w:pPr>
        <w:spacing w:line="262" w:lineRule="exact" w:before="0"/>
        <w:ind w:left="558" w:right="102" w:firstLine="0"/>
        <w:jc w:val="left"/>
        <w:rPr>
          <w:rFonts w:ascii="宋体" w:hAnsi="宋体" w:cs="宋体" w:eastAsia="宋体" w:hint="default"/>
          <w:sz w:val="21"/>
          <w:szCs w:val="21"/>
        </w:rPr>
      </w:pPr>
      <w:r>
        <w:rPr>
          <w:rFonts w:ascii="宋体" w:hAnsi="宋体" w:cs="宋体" w:eastAsia="宋体" w:hint="default"/>
          <w:sz w:val="21"/>
          <w:szCs w:val="21"/>
        </w:rPr>
        <w:t>本报告期内出售但尚未到期的持有至到期投资情况说明：无</w:t>
      </w:r>
    </w:p>
    <w:p>
      <w:pPr>
        <w:spacing w:line="240" w:lineRule="auto" w:before="10"/>
        <w:rPr>
          <w:rFonts w:ascii="宋体" w:hAnsi="宋体" w:cs="宋体" w:eastAsia="宋体" w:hint="default"/>
          <w:sz w:val="25"/>
          <w:szCs w:val="25"/>
        </w:rPr>
      </w:pPr>
    </w:p>
    <w:p>
      <w:pPr>
        <w:spacing w:before="0"/>
        <w:ind w:left="558" w:right="10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、长期应收款</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23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2530"/>
        <w:gridCol w:w="3048"/>
        <w:gridCol w:w="3159"/>
      </w:tblGrid>
      <w:tr>
        <w:trPr>
          <w:trHeight w:val="322"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融资租赁</w:t>
            </w:r>
          </w:p>
        </w:tc>
        <w:tc>
          <w:tcPr>
            <w:tcW w:w="3048" w:type="dxa"/>
            <w:tcBorders>
              <w:top w:val="single" w:sz="4" w:space="0" w:color="000000"/>
              <w:left w:val="single" w:sz="13" w:space="0" w:color="D2D2D2"/>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23" w:right="0"/>
              <w:jc w:val="left"/>
              <w:rPr>
                <w:rFonts w:ascii="宋体" w:hAnsi="宋体" w:cs="宋体" w:eastAsia="宋体" w:hint="default"/>
                <w:sz w:val="21"/>
                <w:szCs w:val="21"/>
              </w:rPr>
            </w:pPr>
            <w:r>
              <w:rPr>
                <w:rFonts w:ascii="宋体" w:hAnsi="宋体" w:cs="宋体" w:eastAsia="宋体" w:hint="default"/>
                <w:sz w:val="21"/>
                <w:szCs w:val="21"/>
              </w:rPr>
              <w:t>其中：未实现融资收益</w:t>
            </w:r>
          </w:p>
        </w:tc>
        <w:tc>
          <w:tcPr>
            <w:tcW w:w="3048" w:type="dxa"/>
            <w:tcBorders>
              <w:top w:val="single" w:sz="4" w:space="0" w:color="000000"/>
              <w:left w:val="single" w:sz="13" w:space="0" w:color="D2D2D2"/>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分期收款销售商品</w:t>
            </w:r>
          </w:p>
        </w:tc>
        <w:tc>
          <w:tcPr>
            <w:tcW w:w="3048" w:type="dxa"/>
            <w:tcBorders>
              <w:top w:val="single" w:sz="4" w:space="0" w:color="000000"/>
              <w:left w:val="single" w:sz="13" w:space="0" w:color="D2D2D2"/>
              <w:bottom w:val="single" w:sz="4" w:space="0" w:color="000000"/>
              <w:right w:val="single" w:sz="4" w:space="0" w:color="000000"/>
            </w:tcBorders>
          </w:tcPr>
          <w:p>
            <w:pPr/>
          </w:p>
        </w:tc>
        <w:tc>
          <w:tcPr>
            <w:tcW w:w="315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分期收款提供劳务</w:t>
            </w:r>
          </w:p>
        </w:tc>
        <w:tc>
          <w:tcPr>
            <w:tcW w:w="30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17,927,846.16</w:t>
            </w:r>
            <w:r>
              <w:rPr>
                <w:rFonts w:ascii="Arial Narrow"/>
                <w:sz w:val="21"/>
              </w:rPr>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28,388,119.66</w:t>
            </w:r>
            <w:r>
              <w:rPr>
                <w:rFonts w:ascii="Arial Narrow"/>
                <w:sz w:val="21"/>
              </w:rPr>
            </w:r>
          </w:p>
        </w:tc>
      </w:tr>
      <w:tr>
        <w:trPr>
          <w:trHeight w:val="322"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其中：未实现融资收益</w:t>
            </w:r>
          </w:p>
        </w:tc>
        <w:tc>
          <w:tcPr>
            <w:tcW w:w="30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1,293,555.72</w:t>
            </w:r>
            <w:r>
              <w:rPr>
                <w:rFonts w:ascii="Arial Narrow"/>
                <w:sz w:val="21"/>
              </w:rPr>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2,129,681.68</w:t>
            </w:r>
            <w:r>
              <w:rPr>
                <w:rFonts w:ascii="Arial Narrow"/>
                <w:sz w:val="21"/>
              </w:rPr>
            </w:r>
          </w:p>
        </w:tc>
      </w:tr>
      <w:tr>
        <w:trPr>
          <w:trHeight w:val="322"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994,730.00</w:t>
            </w:r>
            <w:r>
              <w:rPr>
                <w:rFonts w:ascii="Arial Narrow"/>
                <w:sz w:val="21"/>
              </w:rPr>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1,136,420.89</w:t>
            </w:r>
            <w:r>
              <w:rPr>
                <w:rFonts w:ascii="Arial Narrow"/>
                <w:sz w:val="21"/>
              </w:rPr>
            </w:r>
          </w:p>
        </w:tc>
      </w:tr>
      <w:tr>
        <w:trPr>
          <w:trHeight w:val="324" w:hRule="exact"/>
        </w:trPr>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17,629,020.44</w:t>
            </w:r>
            <w:r>
              <w:rPr>
                <w:rFonts w:ascii="Arial Narrow"/>
                <w:sz w:val="21"/>
              </w:rPr>
            </w:r>
          </w:p>
        </w:tc>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27,394,858.87</w:t>
            </w:r>
            <w:r>
              <w:rPr>
                <w:rFonts w:ascii="Arial Narrow"/>
                <w:sz w:val="21"/>
              </w:rPr>
            </w:r>
          </w:p>
        </w:tc>
      </w:tr>
    </w:tbl>
    <w:p>
      <w:pPr>
        <w:spacing w:line="262" w:lineRule="exact" w:before="0"/>
        <w:ind w:left="558" w:right="102" w:firstLine="0"/>
        <w:jc w:val="left"/>
        <w:rPr>
          <w:rFonts w:ascii="宋体" w:hAnsi="宋体" w:cs="宋体" w:eastAsia="宋体" w:hint="default"/>
          <w:sz w:val="21"/>
          <w:szCs w:val="21"/>
        </w:rPr>
      </w:pPr>
      <w:r>
        <w:rPr>
          <w:rFonts w:ascii="宋体" w:hAnsi="宋体" w:cs="宋体" w:eastAsia="宋体" w:hint="default"/>
          <w:sz w:val="21"/>
          <w:szCs w:val="21"/>
        </w:rPr>
        <w:t>长期应收款的账龄分析如下：</w:t>
      </w:r>
    </w:p>
    <w:p>
      <w:pPr>
        <w:spacing w:line="240" w:lineRule="auto" w:before="10"/>
        <w:rPr>
          <w:rFonts w:ascii="宋体" w:hAnsi="宋体" w:cs="宋体" w:eastAsia="宋体" w:hint="default"/>
          <w:sz w:val="3"/>
          <w:szCs w:val="3"/>
        </w:rPr>
      </w:pPr>
    </w:p>
    <w:tbl>
      <w:tblPr>
        <w:tblW w:w="0" w:type="auto"/>
        <w:jc w:val="left"/>
        <w:tblInd w:w="440" w:type="dxa"/>
        <w:tblLayout w:type="fixed"/>
        <w:tblCellMar>
          <w:top w:w="0" w:type="dxa"/>
          <w:left w:w="0" w:type="dxa"/>
          <w:bottom w:w="0" w:type="dxa"/>
          <w:right w:w="0" w:type="dxa"/>
        </w:tblCellMar>
        <w:tblLook w:val="01E0"/>
      </w:tblPr>
      <w:tblGrid>
        <w:gridCol w:w="1433"/>
        <w:gridCol w:w="1472"/>
        <w:gridCol w:w="931"/>
        <w:gridCol w:w="1200"/>
        <w:gridCol w:w="1471"/>
        <w:gridCol w:w="934"/>
        <w:gridCol w:w="1466"/>
      </w:tblGrid>
      <w:tr>
        <w:trPr>
          <w:trHeight w:val="415" w:hRule="exact"/>
        </w:trPr>
        <w:tc>
          <w:tcPr>
            <w:tcW w:w="1433" w:type="dxa"/>
            <w:vMerge w:val="restart"/>
            <w:tcBorders>
              <w:top w:val="single" w:sz="8" w:space="0" w:color="000000"/>
              <w:left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tabs>
                <w:tab w:pos="813" w:val="left" w:leader="none"/>
              </w:tabs>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3603"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72" w:type="dxa"/>
            <w:gridSpan w:val="3"/>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418" w:hRule="exact"/>
        </w:trPr>
        <w:tc>
          <w:tcPr>
            <w:tcW w:w="1433" w:type="dxa"/>
            <w:vMerge/>
            <w:tcBorders>
              <w:left w:val="single" w:sz="8" w:space="0" w:color="000000"/>
              <w:bottom w:val="single" w:sz="8" w:space="0" w:color="000000"/>
              <w:right w:val="single" w:sz="8" w:space="0" w:color="000000"/>
            </w:tcBorders>
          </w:tcPr>
          <w:p>
            <w:pP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3"/>
                <w:sz w:val="21"/>
                <w:szCs w:val="21"/>
              </w:rPr>
              <w:t> </w:t>
            </w:r>
            <w:r>
              <w:rPr>
                <w:rFonts w:ascii="宋体" w:hAnsi="宋体" w:cs="宋体" w:eastAsia="宋体" w:hint="default"/>
                <w:sz w:val="21"/>
                <w:szCs w:val="21"/>
              </w:rPr>
              <w:t>额</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1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left="2" w:right="0"/>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r>
          </w:p>
        </w:tc>
        <w:tc>
          <w:tcPr>
            <w:tcW w:w="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宋体" w:hAnsi="宋体" w:cs="宋体" w:eastAsia="宋体" w:hint="default"/>
                <w:sz w:val="21"/>
                <w:szCs w:val="21"/>
              </w:rPr>
              <w:t>比例</w:t>
            </w:r>
            <w:r>
              <w:rPr>
                <w:rFonts w:ascii="Calibri" w:hAnsi="Calibri" w:cs="Calibri" w:eastAsia="Calibri" w:hint="default"/>
                <w:sz w:val="21"/>
                <w:szCs w:val="21"/>
              </w:rPr>
              <w:t>%</w:t>
            </w:r>
          </w:p>
        </w:tc>
        <w:tc>
          <w:tcPr>
            <w:tcW w:w="14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99" w:hRule="exact"/>
        </w:trPr>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未到收款期</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3"/>
              <w:jc w:val="center"/>
              <w:rPr>
                <w:rFonts w:ascii="Calibri" w:hAnsi="Calibri" w:cs="Calibri" w:eastAsia="Calibri" w:hint="default"/>
                <w:sz w:val="21"/>
                <w:szCs w:val="21"/>
              </w:rPr>
            </w:pPr>
            <w:r>
              <w:rPr>
                <w:rFonts w:ascii="Calibri"/>
                <w:sz w:val="21"/>
              </w:rPr>
              <w:t>16,634,290.44</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4"/>
              <w:jc w:val="center"/>
              <w:rPr>
                <w:rFonts w:ascii="Calibri" w:hAnsi="Calibri" w:cs="Calibri" w:eastAsia="Calibri" w:hint="default"/>
                <w:sz w:val="21"/>
                <w:szCs w:val="21"/>
              </w:rPr>
            </w:pPr>
            <w:r>
              <w:rPr>
                <w:rFonts w:ascii="Calibri"/>
                <w:sz w:val="21"/>
              </w:rPr>
              <w:t>94.36</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10" w:right="0"/>
              <w:jc w:val="left"/>
              <w:rPr>
                <w:rFonts w:ascii="Calibri" w:hAnsi="Calibri" w:cs="Calibri" w:eastAsia="Calibri" w:hint="default"/>
                <w:sz w:val="21"/>
                <w:szCs w:val="21"/>
              </w:rPr>
            </w:pPr>
            <w:r>
              <w:rPr>
                <w:rFonts w:ascii="Calibri"/>
                <w:sz w:val="21"/>
              </w:rPr>
              <w:t>831,714.52</w:t>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Calibri" w:hAnsi="Calibri" w:cs="Calibri" w:eastAsia="Calibri" w:hint="default"/>
                <w:sz w:val="21"/>
                <w:szCs w:val="21"/>
              </w:rPr>
            </w:pPr>
            <w:r>
              <w:rPr>
                <w:rFonts w:ascii="Calibri"/>
                <w:sz w:val="21"/>
              </w:rPr>
              <w:t>26,258,437.98</w:t>
            </w:r>
          </w:p>
        </w:tc>
        <w:tc>
          <w:tcPr>
            <w:tcW w:w="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center"/>
              <w:rPr>
                <w:rFonts w:ascii="Calibri" w:hAnsi="Calibri" w:cs="Calibri" w:eastAsia="Calibri" w:hint="default"/>
                <w:sz w:val="21"/>
                <w:szCs w:val="21"/>
              </w:rPr>
            </w:pPr>
            <w:r>
              <w:rPr>
                <w:rFonts w:ascii="Calibri"/>
                <w:sz w:val="21"/>
              </w:rPr>
              <w:t>95.85</w:t>
            </w:r>
          </w:p>
        </w:tc>
        <w:tc>
          <w:tcPr>
            <w:tcW w:w="14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Calibri" w:hAnsi="Calibri" w:cs="Calibri" w:eastAsia="Calibri" w:hint="default"/>
                <w:sz w:val="21"/>
                <w:szCs w:val="21"/>
              </w:rPr>
            </w:pPr>
            <w:r>
              <w:rPr>
                <w:rFonts w:ascii="Calibri"/>
                <w:sz w:val="21"/>
              </w:rPr>
              <w:t>1,312,921.90</w:t>
            </w:r>
          </w:p>
        </w:tc>
      </w:tr>
      <w:tr>
        <w:trPr>
          <w:trHeight w:val="396" w:hRule="exact"/>
        </w:trPr>
        <w:tc>
          <w:tcPr>
            <w:tcW w:w="14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8"/>
              <w:ind w:left="2" w:right="0"/>
              <w:jc w:val="center"/>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0"/>
              <w:jc w:val="center"/>
              <w:rPr>
                <w:rFonts w:ascii="Calibri" w:hAnsi="Calibri" w:cs="Calibri" w:eastAsia="Calibri" w:hint="default"/>
                <w:sz w:val="21"/>
                <w:szCs w:val="21"/>
              </w:rPr>
            </w:pPr>
            <w:r>
              <w:rPr>
                <w:rFonts w:ascii="Calibri"/>
                <w:sz w:val="21"/>
              </w:rPr>
              <w:t>994,730.00</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4"/>
              <w:jc w:val="center"/>
              <w:rPr>
                <w:rFonts w:ascii="Calibri" w:hAnsi="Calibri" w:cs="Calibri" w:eastAsia="Calibri" w:hint="default"/>
                <w:sz w:val="21"/>
                <w:szCs w:val="21"/>
              </w:rPr>
            </w:pPr>
            <w:r>
              <w:rPr>
                <w:rFonts w:ascii="Calibri"/>
                <w:sz w:val="21"/>
              </w:rPr>
              <w:t>5.64</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0"/>
              <w:jc w:val="center"/>
              <w:rPr>
                <w:rFonts w:ascii="Calibri" w:hAnsi="Calibri" w:cs="Calibri" w:eastAsia="Calibri" w:hint="default"/>
                <w:sz w:val="21"/>
                <w:szCs w:val="21"/>
              </w:rPr>
            </w:pPr>
            <w:r>
              <w:rPr>
                <w:rFonts w:ascii="Calibri"/>
                <w:w w:val="100"/>
                <w:sz w:val="21"/>
              </w:rPr>
              <w:t>-</w:t>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0"/>
              <w:jc w:val="center"/>
              <w:rPr>
                <w:rFonts w:ascii="Calibri" w:hAnsi="Calibri" w:cs="Calibri" w:eastAsia="Calibri" w:hint="default"/>
                <w:sz w:val="21"/>
                <w:szCs w:val="21"/>
              </w:rPr>
            </w:pPr>
            <w:r>
              <w:rPr>
                <w:rFonts w:ascii="Calibri"/>
                <w:sz w:val="21"/>
              </w:rPr>
              <w:t>1,136,420.89</w:t>
            </w:r>
          </w:p>
        </w:tc>
        <w:tc>
          <w:tcPr>
            <w:tcW w:w="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2"/>
              <w:jc w:val="center"/>
              <w:rPr>
                <w:rFonts w:ascii="Calibri" w:hAnsi="Calibri" w:cs="Calibri" w:eastAsia="Calibri" w:hint="default"/>
                <w:sz w:val="21"/>
                <w:szCs w:val="21"/>
              </w:rPr>
            </w:pPr>
            <w:r>
              <w:rPr>
                <w:rFonts w:ascii="Calibri"/>
                <w:sz w:val="21"/>
              </w:rPr>
              <w:t>4.15</w:t>
            </w:r>
          </w:p>
        </w:tc>
        <w:tc>
          <w:tcPr>
            <w:tcW w:w="14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right="2"/>
              <w:jc w:val="center"/>
              <w:rPr>
                <w:rFonts w:ascii="Calibri" w:hAnsi="Calibri" w:cs="Calibri" w:eastAsia="Calibri" w:hint="default"/>
                <w:sz w:val="21"/>
                <w:szCs w:val="21"/>
              </w:rPr>
            </w:pPr>
            <w:r>
              <w:rPr>
                <w:rFonts w:ascii="Calibri"/>
                <w:w w:val="100"/>
                <w:sz w:val="21"/>
              </w:rPr>
              <w:t>-</w:t>
            </w:r>
          </w:p>
        </w:tc>
      </w:tr>
      <w:tr>
        <w:trPr>
          <w:trHeight w:val="398" w:hRule="exact"/>
        </w:trPr>
        <w:tc>
          <w:tcPr>
            <w:tcW w:w="1433" w:type="dxa"/>
            <w:tcBorders>
              <w:top w:val="single" w:sz="8" w:space="0" w:color="000000"/>
              <w:left w:val="single" w:sz="8" w:space="0" w:color="000000"/>
              <w:bottom w:val="single" w:sz="8" w:space="0" w:color="000000"/>
              <w:right w:val="single" w:sz="8" w:space="0" w:color="000000"/>
            </w:tcBorders>
          </w:tcPr>
          <w:p>
            <w:pPr>
              <w:pStyle w:val="TableParagraph"/>
              <w:tabs>
                <w:tab w:pos="424" w:val="left" w:leader="none"/>
              </w:tabs>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center"/>
              <w:rPr>
                <w:rFonts w:ascii="Calibri" w:hAnsi="Calibri" w:cs="Calibri" w:eastAsia="Calibri" w:hint="default"/>
                <w:sz w:val="21"/>
                <w:szCs w:val="21"/>
              </w:rPr>
            </w:pPr>
            <w:r>
              <w:rPr>
                <w:rFonts w:ascii="Calibri"/>
                <w:sz w:val="21"/>
              </w:rPr>
              <w:t>17,629,020.44</w:t>
            </w:r>
          </w:p>
        </w:tc>
        <w:tc>
          <w:tcPr>
            <w:tcW w:w="9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2"/>
              <w:jc w:val="center"/>
              <w:rPr>
                <w:rFonts w:ascii="Calibri" w:hAnsi="Calibri" w:cs="Calibri" w:eastAsia="Calibri" w:hint="default"/>
                <w:sz w:val="21"/>
                <w:szCs w:val="21"/>
              </w:rPr>
            </w:pPr>
            <w:r>
              <w:rPr>
                <w:rFonts w:ascii="Calibri"/>
                <w:sz w:val="21"/>
              </w:rPr>
              <w:t>100.00</w:t>
            </w:r>
          </w:p>
        </w:tc>
        <w:tc>
          <w:tcPr>
            <w:tcW w:w="12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left="110" w:right="0"/>
              <w:jc w:val="left"/>
              <w:rPr>
                <w:rFonts w:ascii="Calibri" w:hAnsi="Calibri" w:cs="Calibri" w:eastAsia="Calibri" w:hint="default"/>
                <w:sz w:val="21"/>
                <w:szCs w:val="21"/>
              </w:rPr>
            </w:pPr>
            <w:r>
              <w:rPr>
                <w:rFonts w:ascii="Calibri"/>
                <w:sz w:val="21"/>
              </w:rPr>
              <w:t>831,714.52</w:t>
            </w:r>
          </w:p>
        </w:tc>
        <w:tc>
          <w:tcPr>
            <w:tcW w:w="14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Calibri" w:hAnsi="Calibri" w:cs="Calibri" w:eastAsia="Calibri" w:hint="default"/>
                <w:sz w:val="21"/>
                <w:szCs w:val="21"/>
              </w:rPr>
            </w:pPr>
            <w:r>
              <w:rPr>
                <w:rFonts w:ascii="Calibri"/>
                <w:sz w:val="21"/>
              </w:rPr>
              <w:t>27,394,858.87</w:t>
            </w:r>
          </w:p>
        </w:tc>
        <w:tc>
          <w:tcPr>
            <w:tcW w:w="9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Calibri" w:hAnsi="Calibri" w:cs="Calibri" w:eastAsia="Calibri" w:hint="default"/>
                <w:sz w:val="21"/>
                <w:szCs w:val="21"/>
              </w:rPr>
            </w:pPr>
            <w:r>
              <w:rPr>
                <w:rFonts w:ascii="Calibri"/>
                <w:sz w:val="21"/>
              </w:rPr>
              <w:t>100.00</w:t>
            </w:r>
          </w:p>
        </w:tc>
        <w:tc>
          <w:tcPr>
            <w:tcW w:w="14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1"/>
              <w:ind w:right="1"/>
              <w:jc w:val="center"/>
              <w:rPr>
                <w:rFonts w:ascii="Calibri" w:hAnsi="Calibri" w:cs="Calibri" w:eastAsia="Calibri" w:hint="default"/>
                <w:sz w:val="21"/>
                <w:szCs w:val="21"/>
              </w:rPr>
            </w:pPr>
            <w:r>
              <w:rPr>
                <w:rFonts w:ascii="Calibri"/>
                <w:sz w:val="21"/>
              </w:rPr>
              <w:t>1,312,921.90</w:t>
            </w:r>
          </w:p>
        </w:tc>
      </w:tr>
    </w:tbl>
    <w:p>
      <w:pPr>
        <w:spacing w:after="0" w:line="240" w:lineRule="auto"/>
        <w:jc w:val="center"/>
        <w:rPr>
          <w:rFonts w:ascii="Calibri" w:hAnsi="Calibri" w:cs="Calibri" w:eastAsia="Calibri" w:hint="default"/>
          <w:sz w:val="21"/>
          <w:szCs w:val="21"/>
        </w:rPr>
        <w:sectPr>
          <w:pgSz w:w="11910" w:h="16840"/>
          <w:pgMar w:header="884" w:footer="1007" w:top="1160" w:bottom="1200" w:left="1240" w:right="11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2"/>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、对合营企业投资和联营企业投资</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3"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572"/>
        <w:gridCol w:w="1135"/>
        <w:gridCol w:w="1843"/>
        <w:gridCol w:w="1558"/>
        <w:gridCol w:w="1510"/>
        <w:gridCol w:w="1438"/>
        <w:gridCol w:w="1546"/>
        <w:gridCol w:w="1437"/>
      </w:tblGrid>
      <w:tr>
        <w:trPr>
          <w:trHeight w:val="635" w:hRule="exact"/>
        </w:trPr>
        <w:tc>
          <w:tcPr>
            <w:tcW w:w="3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1044"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08" w:right="31" w:hanging="173"/>
              <w:jc w:val="left"/>
              <w:rPr>
                <w:rFonts w:ascii="Calibri" w:hAnsi="Calibri" w:cs="Calibri" w:eastAsia="Calibri" w:hint="default"/>
                <w:sz w:val="21"/>
                <w:szCs w:val="21"/>
              </w:rPr>
            </w:pPr>
            <w:r>
              <w:rPr>
                <w:rFonts w:ascii="宋体" w:hAnsi="宋体" w:cs="宋体" w:eastAsia="宋体" w:hint="default"/>
                <w:b/>
                <w:bCs/>
                <w:sz w:val="21"/>
                <w:szCs w:val="21"/>
              </w:rPr>
              <w:t>本企业持股</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Calibri" w:hAnsi="Calibri" w:cs="Calibri" w:eastAsia="Calibri" w:hint="default"/>
                <w:b/>
                <w:bCs/>
                <w:sz w:val="21"/>
                <w:szCs w:val="21"/>
              </w:rPr>
              <w:t>(%)</w:t>
            </w:r>
            <w:r>
              <w:rPr>
                <w:rFonts w:ascii="Calibri" w:hAnsi="Calibri" w:cs="Calibri" w:eastAsia="Calibri" w:hint="default"/>
                <w:sz w:val="21"/>
                <w:szCs w:val="21"/>
              </w:rPr>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41" w:right="71" w:hanging="70"/>
              <w:jc w:val="left"/>
              <w:rPr>
                <w:rFonts w:ascii="Calibri" w:hAnsi="Calibri" w:cs="Calibri" w:eastAsia="Calibri" w:hint="default"/>
                <w:sz w:val="21"/>
                <w:szCs w:val="21"/>
              </w:rPr>
            </w:pPr>
            <w:r>
              <w:rPr>
                <w:rFonts w:ascii="宋体" w:hAnsi="宋体" w:cs="宋体" w:eastAsia="宋体" w:hint="default"/>
                <w:b/>
                <w:bCs/>
                <w:sz w:val="21"/>
                <w:szCs w:val="21"/>
              </w:rPr>
              <w:t>本企业在被投资单</w:t>
            </w:r>
            <w:r>
              <w:rPr>
                <w:rFonts w:ascii="宋体" w:hAnsi="宋体" w:cs="宋体" w:eastAsia="宋体" w:hint="default"/>
                <w:b/>
                <w:bCs/>
                <w:spacing w:val="-103"/>
                <w:sz w:val="21"/>
                <w:szCs w:val="21"/>
              </w:rPr>
              <w:t> </w:t>
            </w:r>
            <w:r>
              <w:rPr>
                <w:rFonts w:ascii="宋体" w:hAnsi="宋体" w:cs="宋体" w:eastAsia="宋体" w:hint="default"/>
                <w:b/>
                <w:bCs/>
                <w:sz w:val="21"/>
                <w:szCs w:val="21"/>
              </w:rPr>
              <w:t>位表决权比例</w:t>
            </w:r>
            <w:r>
              <w:rPr>
                <w:rFonts w:ascii="Calibri" w:hAnsi="Calibri" w:cs="Calibri" w:eastAsia="Calibri" w:hint="default"/>
                <w:b/>
                <w:bCs/>
                <w:sz w:val="21"/>
                <w:szCs w:val="21"/>
              </w:rPr>
              <w:t>(%)</w:t>
            </w:r>
            <w:r>
              <w:rPr>
                <w:rFonts w:ascii="Calibri" w:hAnsi="Calibri" w:cs="Calibri" w:eastAsia="Calibri"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b/>
                <w:bCs/>
                <w:sz w:val="21"/>
                <w:szCs w:val="21"/>
              </w:rPr>
              <w:t>期末资产总额</w:t>
            </w:r>
            <w:r>
              <w:rPr>
                <w:rFonts w:ascii="宋体" w:hAnsi="宋体" w:cs="宋体" w:eastAsia="宋体" w:hint="default"/>
                <w:sz w:val="21"/>
                <w:szCs w:val="21"/>
              </w:rPr>
            </w:r>
          </w:p>
        </w:tc>
        <w:tc>
          <w:tcPr>
            <w:tcW w:w="1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113"/>
              <w:jc w:val="right"/>
              <w:rPr>
                <w:rFonts w:ascii="宋体" w:hAnsi="宋体" w:cs="宋体" w:eastAsia="宋体" w:hint="default"/>
                <w:sz w:val="21"/>
                <w:szCs w:val="21"/>
              </w:rPr>
            </w:pPr>
            <w:r>
              <w:rPr>
                <w:rFonts w:ascii="宋体" w:hAnsi="宋体" w:cs="宋体" w:eastAsia="宋体" w:hint="default"/>
                <w:b/>
                <w:bCs/>
                <w:sz w:val="21"/>
                <w:szCs w:val="21"/>
              </w:rPr>
              <w:t>期末负债总额</w:t>
            </w:r>
            <w:r>
              <w:rPr>
                <w:rFonts w:ascii="宋体" w:hAnsi="宋体" w:cs="宋体" w:eastAsia="宋体" w:hint="default"/>
                <w:sz w:val="21"/>
                <w:szCs w:val="21"/>
              </w:rPr>
            </w:r>
          </w:p>
        </w:tc>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07" w:right="77" w:hanging="527"/>
              <w:jc w:val="left"/>
              <w:rPr>
                <w:rFonts w:ascii="宋体" w:hAnsi="宋体" w:cs="宋体" w:eastAsia="宋体" w:hint="default"/>
                <w:sz w:val="21"/>
                <w:szCs w:val="21"/>
              </w:rPr>
            </w:pPr>
            <w:r>
              <w:rPr>
                <w:rFonts w:ascii="宋体" w:hAnsi="宋体" w:cs="宋体" w:eastAsia="宋体" w:hint="default"/>
                <w:b/>
                <w:bCs/>
                <w:sz w:val="21"/>
                <w:szCs w:val="21"/>
              </w:rPr>
              <w:t>期末净资产总</w:t>
            </w:r>
            <w:r>
              <w:rPr>
                <w:rFonts w:ascii="宋体" w:hAnsi="宋体" w:cs="宋体" w:eastAsia="宋体" w:hint="default"/>
                <w:b/>
                <w:bCs/>
                <w:spacing w:val="-104"/>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56" w:right="132" w:hanging="423"/>
              <w:jc w:val="left"/>
              <w:rPr>
                <w:rFonts w:ascii="宋体" w:hAnsi="宋体" w:cs="宋体" w:eastAsia="宋体" w:hint="default"/>
                <w:sz w:val="21"/>
                <w:szCs w:val="21"/>
              </w:rPr>
            </w:pPr>
            <w:r>
              <w:rPr>
                <w:rFonts w:ascii="宋体" w:hAnsi="宋体" w:cs="宋体" w:eastAsia="宋体" w:hint="default"/>
                <w:b/>
                <w:bCs/>
                <w:sz w:val="21"/>
                <w:szCs w:val="21"/>
              </w:rPr>
              <w:t>本期营业收入</w:t>
            </w:r>
            <w:r>
              <w:rPr>
                <w:rFonts w:ascii="宋体" w:hAnsi="宋体" w:cs="宋体" w:eastAsia="宋体" w:hint="default"/>
                <w:b/>
                <w:bCs/>
                <w:spacing w:val="-104"/>
                <w:sz w:val="21"/>
                <w:szCs w:val="21"/>
              </w:rPr>
              <w:t> </w:t>
            </w:r>
            <w:r>
              <w:rPr>
                <w:rFonts w:ascii="宋体" w:hAnsi="宋体" w:cs="宋体" w:eastAsia="宋体" w:hint="default"/>
                <w:b/>
                <w:bCs/>
                <w:sz w:val="21"/>
                <w:szCs w:val="21"/>
              </w:rPr>
              <w:t>总额</w:t>
            </w:r>
            <w:r>
              <w:rPr>
                <w:rFonts w:ascii="宋体" w:hAnsi="宋体" w:cs="宋体" w:eastAsia="宋体" w:hint="default"/>
                <w:sz w:val="21"/>
                <w:szCs w:val="21"/>
              </w:rPr>
            </w:r>
          </w:p>
        </w:tc>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184" w:right="0"/>
              <w:jc w:val="left"/>
              <w:rPr>
                <w:rFonts w:ascii="宋体" w:hAnsi="宋体" w:cs="宋体" w:eastAsia="宋体" w:hint="default"/>
                <w:sz w:val="21"/>
                <w:szCs w:val="21"/>
              </w:rPr>
            </w:pPr>
            <w:r>
              <w:rPr>
                <w:rFonts w:ascii="宋体" w:hAnsi="宋体" w:cs="宋体" w:eastAsia="宋体" w:hint="default"/>
                <w:b/>
                <w:bCs/>
                <w:sz w:val="21"/>
                <w:szCs w:val="21"/>
              </w:rPr>
              <w:t>本期净利润</w:t>
            </w:r>
            <w:r>
              <w:rPr>
                <w:rFonts w:ascii="宋体" w:hAnsi="宋体" w:cs="宋体" w:eastAsia="宋体" w:hint="default"/>
                <w:sz w:val="21"/>
                <w:szCs w:val="21"/>
              </w:rPr>
            </w:r>
          </w:p>
        </w:tc>
      </w:tr>
      <w:tr>
        <w:trPr>
          <w:trHeight w:val="323" w:hRule="exact"/>
        </w:trPr>
        <w:tc>
          <w:tcPr>
            <w:tcW w:w="1403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4"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2" w:hRule="exact"/>
        </w:trPr>
        <w:tc>
          <w:tcPr>
            <w:tcW w:w="14039"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322"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浙江中科数城软件有限公司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23.36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23.36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9" w:right="0"/>
              <w:jc w:val="center"/>
              <w:rPr>
                <w:rFonts w:ascii="Calibri" w:hAnsi="Calibri" w:cs="Calibri" w:eastAsia="Calibri" w:hint="default"/>
                <w:sz w:val="21"/>
                <w:szCs w:val="21"/>
              </w:rPr>
            </w:pPr>
            <w:r>
              <w:rPr>
                <w:rFonts w:ascii="Calibri"/>
                <w:sz w:val="21"/>
              </w:rPr>
              <w:t>13,956,843.26</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4,441,823.10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9,515,020.16</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2"/>
                <w:sz w:val="21"/>
              </w:rPr>
              <w:t>4,507,073.00</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2"/>
                <w:sz w:val="21"/>
              </w:rPr>
              <w:t>-492,245.89</w:t>
            </w:r>
          </w:p>
        </w:tc>
      </w:tr>
      <w:tr>
        <w:trPr>
          <w:trHeight w:val="322" w:hRule="exact"/>
        </w:trPr>
        <w:tc>
          <w:tcPr>
            <w:tcW w:w="35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北京国遥新天地信息技术有限公司</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1"/>
                <w:sz w:val="21"/>
              </w:rPr>
              <w:t>20.00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1"/>
                <w:sz w:val="21"/>
              </w:rPr>
              <w:t>20.00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 w:right="0"/>
              <w:jc w:val="center"/>
              <w:rPr>
                <w:rFonts w:ascii="Calibri" w:hAnsi="Calibri" w:cs="Calibri" w:eastAsia="Calibri" w:hint="default"/>
                <w:sz w:val="21"/>
                <w:szCs w:val="21"/>
              </w:rPr>
            </w:pPr>
            <w:r>
              <w:rPr>
                <w:rFonts w:ascii="Calibri"/>
                <w:sz w:val="21"/>
              </w:rPr>
              <w:t>125,939,421.39</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0"/>
              <w:jc w:val="right"/>
              <w:rPr>
                <w:rFonts w:ascii="Calibri" w:hAnsi="Calibri" w:cs="Calibri" w:eastAsia="Calibri" w:hint="default"/>
                <w:sz w:val="21"/>
                <w:szCs w:val="21"/>
              </w:rPr>
            </w:pPr>
            <w:r>
              <w:rPr>
                <w:rFonts w:ascii="Calibri"/>
                <w:spacing w:val="-2"/>
                <w:sz w:val="21"/>
              </w:rPr>
              <w:t>46,087,077.17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Calibri" w:hAnsi="Calibri" w:cs="Calibri" w:eastAsia="Calibri" w:hint="default"/>
                <w:sz w:val="21"/>
                <w:szCs w:val="21"/>
              </w:rPr>
            </w:pPr>
            <w:r>
              <w:rPr>
                <w:rFonts w:ascii="Calibri"/>
                <w:spacing w:val="-1"/>
                <w:sz w:val="21"/>
              </w:rPr>
              <w:t>79,852,344.22</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Calibri" w:hAnsi="Calibri" w:cs="Calibri" w:eastAsia="Calibri" w:hint="default"/>
                <w:sz w:val="21"/>
                <w:szCs w:val="21"/>
              </w:rPr>
            </w:pPr>
            <w:r>
              <w:rPr>
                <w:rFonts w:ascii="Calibri"/>
                <w:spacing w:val="-2"/>
                <w:sz w:val="21"/>
              </w:rPr>
              <w:t>117,216,612.03</w:t>
            </w:r>
          </w:p>
        </w:tc>
        <w:tc>
          <w:tcPr>
            <w:tcW w:w="1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2"/>
              <w:jc w:val="right"/>
              <w:rPr>
                <w:rFonts w:ascii="Calibri" w:hAnsi="Calibri" w:cs="Calibri" w:eastAsia="Calibri" w:hint="default"/>
                <w:sz w:val="21"/>
                <w:szCs w:val="21"/>
              </w:rPr>
            </w:pPr>
            <w:r>
              <w:rPr>
                <w:rFonts w:ascii="Calibri"/>
                <w:spacing w:val="-2"/>
                <w:sz w:val="21"/>
              </w:rPr>
              <w:t>16,316,823.43</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合营企业、联营企业的重要会计政策、会计估计与公司的会计政策、会计估计存在重大差异的说明：无</w:t>
      </w:r>
    </w:p>
    <w:p>
      <w:pPr>
        <w:spacing w:line="240" w:lineRule="auto" w:before="10"/>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3"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140"/>
        <w:gridCol w:w="1147"/>
        <w:gridCol w:w="1171"/>
        <w:gridCol w:w="1280"/>
        <w:gridCol w:w="1166"/>
        <w:gridCol w:w="1272"/>
        <w:gridCol w:w="1126"/>
        <w:gridCol w:w="1147"/>
        <w:gridCol w:w="1150"/>
        <w:gridCol w:w="1147"/>
        <w:gridCol w:w="1147"/>
        <w:gridCol w:w="1145"/>
      </w:tblGrid>
      <w:tr>
        <w:trPr>
          <w:trHeight w:val="1571" w:hRule="exact"/>
        </w:trPr>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被投资单位</w:t>
            </w:r>
            <w:r>
              <w:rPr>
                <w:rFonts w:ascii="宋体" w:hAnsi="宋体" w:cs="宋体" w:eastAsia="宋体" w:hint="default"/>
                <w:sz w:val="21"/>
                <w:szCs w:val="21"/>
              </w:rPr>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b/>
                <w:bCs/>
                <w:sz w:val="21"/>
                <w:szCs w:val="21"/>
              </w:rPr>
              <w:t>核算方法</w:t>
            </w:r>
            <w:r>
              <w:rPr>
                <w:rFonts w:ascii="宋体" w:hAnsi="宋体" w:cs="宋体" w:eastAsia="宋体" w:hint="default"/>
                <w:sz w:val="21"/>
                <w:szCs w:val="21"/>
              </w:rPr>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增减变动</w:t>
            </w:r>
            <w:r>
              <w:rPr>
                <w:rFonts w:ascii="宋体" w:hAnsi="宋体" w:cs="宋体" w:eastAsia="宋体" w:hint="default"/>
                <w:sz w:val="21"/>
                <w:szCs w:val="21"/>
              </w:rPr>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90" w:lineRule="auto"/>
              <w:ind w:left="31" w:right="26"/>
              <w:jc w:val="center"/>
              <w:rPr>
                <w:rFonts w:ascii="Calibri" w:hAnsi="Calibri" w:cs="Calibri" w:eastAsia="Calibri" w:hint="default"/>
                <w:sz w:val="21"/>
                <w:szCs w:val="21"/>
              </w:rPr>
            </w:pPr>
            <w:r>
              <w:rPr>
                <w:rFonts w:ascii="宋体" w:hAnsi="宋体" w:cs="宋体" w:eastAsia="宋体" w:hint="default"/>
                <w:b/>
                <w:bCs/>
                <w:sz w:val="21"/>
                <w:szCs w:val="21"/>
              </w:rPr>
              <w:t>在被投资单</w:t>
            </w:r>
            <w:r>
              <w:rPr>
                <w:rFonts w:ascii="宋体" w:hAnsi="宋体" w:cs="宋体" w:eastAsia="宋体" w:hint="default"/>
                <w:b/>
                <w:bCs/>
                <w:w w:val="100"/>
                <w:sz w:val="21"/>
                <w:szCs w:val="21"/>
              </w:rPr>
              <w:t> </w:t>
            </w:r>
            <w:r>
              <w:rPr>
                <w:rFonts w:ascii="宋体" w:hAnsi="宋体" w:cs="宋体" w:eastAsia="宋体" w:hint="default"/>
                <w:b/>
                <w:bCs/>
                <w:sz w:val="21"/>
                <w:szCs w:val="21"/>
              </w:rPr>
              <w:t>位持股比例</w:t>
            </w:r>
            <w:r>
              <w:rPr>
                <w:rFonts w:ascii="宋体" w:hAnsi="宋体" w:cs="宋体" w:eastAsia="宋体" w:hint="default"/>
                <w:b/>
                <w:bCs/>
                <w:w w:val="100"/>
                <w:sz w:val="21"/>
                <w:szCs w:val="21"/>
              </w:rPr>
              <w:t> </w:t>
            </w:r>
            <w:r>
              <w:rPr>
                <w:rFonts w:ascii="Calibri" w:hAnsi="Calibri" w:cs="Calibri" w:eastAsia="Calibri" w:hint="default"/>
                <w:b/>
                <w:bCs/>
                <w:sz w:val="21"/>
                <w:szCs w:val="21"/>
              </w:rPr>
              <w:t>(%)</w:t>
            </w:r>
            <w:r>
              <w:rPr>
                <w:rFonts w:ascii="Calibri" w:hAnsi="Calibri" w:cs="Calibri" w:eastAsia="Calibri" w:hint="default"/>
                <w:sz w:val="21"/>
                <w:szCs w:val="21"/>
              </w:rPr>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43" w:right="36"/>
              <w:jc w:val="center"/>
              <w:rPr>
                <w:rFonts w:ascii="Calibri" w:hAnsi="Calibri" w:cs="Calibri" w:eastAsia="Calibri" w:hint="default"/>
                <w:sz w:val="21"/>
                <w:szCs w:val="21"/>
              </w:rPr>
            </w:pPr>
            <w:r>
              <w:rPr>
                <w:rFonts w:ascii="宋体" w:hAnsi="宋体" w:cs="宋体" w:eastAsia="宋体" w:hint="default"/>
                <w:b/>
                <w:bCs/>
                <w:sz w:val="21"/>
                <w:szCs w:val="21"/>
              </w:rPr>
              <w:t>在被投资单</w:t>
            </w:r>
            <w:r>
              <w:rPr>
                <w:rFonts w:ascii="宋体" w:hAnsi="宋体" w:cs="宋体" w:eastAsia="宋体" w:hint="default"/>
                <w:b/>
                <w:bCs/>
                <w:w w:val="100"/>
                <w:sz w:val="21"/>
                <w:szCs w:val="21"/>
              </w:rPr>
              <w:t> </w:t>
            </w:r>
            <w:r>
              <w:rPr>
                <w:rFonts w:ascii="宋体" w:hAnsi="宋体" w:cs="宋体" w:eastAsia="宋体" w:hint="default"/>
                <w:b/>
                <w:bCs/>
                <w:sz w:val="21"/>
                <w:szCs w:val="21"/>
              </w:rPr>
              <w:t>位表决权比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Calibri" w:hAnsi="Calibri" w:cs="Calibri" w:eastAsia="Calibri" w:hint="default"/>
                <w:b/>
                <w:bCs/>
                <w:sz w:val="21"/>
                <w:szCs w:val="21"/>
              </w:rPr>
              <w:t>(%)</w:t>
            </w:r>
            <w:r>
              <w:rPr>
                <w:rFonts w:ascii="Calibri" w:hAnsi="Calibri" w:cs="Calibri" w:eastAsia="Calibri" w:hint="default"/>
                <w:sz w:val="21"/>
                <w:szCs w:val="21"/>
              </w:rPr>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3" w:right="39"/>
              <w:jc w:val="center"/>
              <w:rPr>
                <w:rFonts w:ascii="宋体" w:hAnsi="宋体" w:cs="宋体" w:eastAsia="宋体" w:hint="default"/>
                <w:sz w:val="21"/>
                <w:szCs w:val="21"/>
              </w:rPr>
            </w:pPr>
            <w:r>
              <w:rPr>
                <w:rFonts w:ascii="宋体" w:hAnsi="宋体" w:cs="宋体" w:eastAsia="宋体" w:hint="default"/>
                <w:b/>
                <w:bCs/>
                <w:sz w:val="21"/>
                <w:szCs w:val="21"/>
              </w:rPr>
              <w:t>在被投资单</w:t>
            </w:r>
            <w:r>
              <w:rPr>
                <w:rFonts w:ascii="宋体" w:hAnsi="宋体" w:cs="宋体" w:eastAsia="宋体" w:hint="default"/>
                <w:b/>
                <w:bCs/>
                <w:w w:val="100"/>
                <w:sz w:val="21"/>
                <w:szCs w:val="21"/>
              </w:rPr>
              <w:t> </w:t>
            </w:r>
            <w:r>
              <w:rPr>
                <w:rFonts w:ascii="宋体" w:hAnsi="宋体" w:cs="宋体" w:eastAsia="宋体" w:hint="default"/>
                <w:b/>
                <w:bCs/>
                <w:sz w:val="21"/>
                <w:szCs w:val="21"/>
              </w:rPr>
              <w:t>位持股比例</w:t>
            </w:r>
            <w:r>
              <w:rPr>
                <w:rFonts w:ascii="宋体" w:hAnsi="宋体" w:cs="宋体" w:eastAsia="宋体" w:hint="default"/>
                <w:b/>
                <w:bCs/>
                <w:w w:val="100"/>
                <w:sz w:val="21"/>
                <w:szCs w:val="21"/>
              </w:rPr>
              <w:t> </w:t>
            </w:r>
            <w:r>
              <w:rPr>
                <w:rFonts w:ascii="宋体" w:hAnsi="宋体" w:cs="宋体" w:eastAsia="宋体" w:hint="default"/>
                <w:b/>
                <w:bCs/>
                <w:sz w:val="21"/>
                <w:szCs w:val="21"/>
              </w:rPr>
              <w:t>与表决权比</w:t>
            </w:r>
            <w:r>
              <w:rPr>
                <w:rFonts w:ascii="宋体" w:hAnsi="宋体" w:cs="宋体" w:eastAsia="宋体" w:hint="default"/>
                <w:b/>
                <w:bCs/>
                <w:w w:val="100"/>
                <w:sz w:val="21"/>
                <w:szCs w:val="21"/>
              </w:rPr>
              <w:t> </w:t>
            </w:r>
            <w:r>
              <w:rPr>
                <w:rFonts w:ascii="宋体" w:hAnsi="宋体" w:cs="宋体" w:eastAsia="宋体" w:hint="default"/>
                <w:b/>
                <w:bCs/>
                <w:sz w:val="21"/>
                <w:szCs w:val="21"/>
              </w:rPr>
              <w:t>例不一致的</w:t>
            </w:r>
            <w:r>
              <w:rPr>
                <w:rFonts w:ascii="宋体" w:hAnsi="宋体" w:cs="宋体" w:eastAsia="宋体" w:hint="default"/>
                <w:b/>
                <w:bCs/>
                <w:w w:val="100"/>
                <w:sz w:val="21"/>
                <w:szCs w:val="21"/>
              </w:rPr>
              <w:t> </w:t>
            </w:r>
            <w:r>
              <w:rPr>
                <w:rFonts w:ascii="宋体" w:hAnsi="宋体" w:cs="宋体" w:eastAsia="宋体" w:hint="default"/>
                <w:b/>
                <w:bCs/>
                <w:sz w:val="21"/>
                <w:szCs w:val="21"/>
              </w:rPr>
              <w:t>说明</w:t>
            </w:r>
            <w:r>
              <w:rPr>
                <w:rFonts w:ascii="宋体" w:hAnsi="宋体" w:cs="宋体" w:eastAsia="宋体" w:hint="default"/>
                <w:sz w:val="21"/>
                <w:szCs w:val="21"/>
              </w:rPr>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252" w:right="36" w:hanging="209"/>
              <w:jc w:val="left"/>
              <w:rPr>
                <w:rFonts w:ascii="宋体" w:hAnsi="宋体" w:cs="宋体" w:eastAsia="宋体" w:hint="default"/>
                <w:sz w:val="21"/>
                <w:szCs w:val="21"/>
              </w:rPr>
            </w:pPr>
            <w:r>
              <w:rPr>
                <w:rFonts w:ascii="宋体" w:hAnsi="宋体" w:cs="宋体" w:eastAsia="宋体" w:hint="default"/>
                <w:b/>
                <w:bCs/>
                <w:sz w:val="21"/>
                <w:szCs w:val="21"/>
              </w:rPr>
              <w:t>本期计提减</w:t>
            </w:r>
            <w:r>
              <w:rPr>
                <w:rFonts w:ascii="宋体" w:hAnsi="宋体" w:cs="宋体" w:eastAsia="宋体" w:hint="default"/>
                <w:b/>
                <w:bCs/>
                <w:w w:val="100"/>
                <w:sz w:val="21"/>
                <w:szCs w:val="21"/>
              </w:rPr>
              <w:t> </w:t>
            </w:r>
            <w:r>
              <w:rPr>
                <w:rFonts w:ascii="宋体" w:hAnsi="宋体" w:cs="宋体" w:eastAsia="宋体" w:hint="default"/>
                <w:b/>
                <w:bCs/>
                <w:sz w:val="21"/>
                <w:szCs w:val="21"/>
              </w:rPr>
              <w:t>值准备</w:t>
            </w:r>
            <w:r>
              <w:rPr>
                <w:rFonts w:ascii="宋体" w:hAnsi="宋体" w:cs="宋体" w:eastAsia="宋体" w:hint="default"/>
                <w:sz w:val="21"/>
                <w:szCs w:val="21"/>
              </w:rPr>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461" w:right="36" w:hanging="421"/>
              <w:jc w:val="left"/>
              <w:rPr>
                <w:rFonts w:ascii="宋体" w:hAnsi="宋体" w:cs="宋体" w:eastAsia="宋体" w:hint="default"/>
                <w:sz w:val="21"/>
                <w:szCs w:val="21"/>
              </w:rPr>
            </w:pPr>
            <w:r>
              <w:rPr>
                <w:rFonts w:ascii="宋体" w:hAnsi="宋体" w:cs="宋体" w:eastAsia="宋体" w:hint="default"/>
                <w:b/>
                <w:bCs/>
                <w:sz w:val="21"/>
                <w:szCs w:val="21"/>
              </w:rPr>
              <w:t>本期现金红</w:t>
            </w:r>
            <w:r>
              <w:rPr>
                <w:rFonts w:ascii="宋体" w:hAnsi="宋体" w:cs="宋体" w:eastAsia="宋体" w:hint="default"/>
                <w:b/>
                <w:bCs/>
                <w:w w:val="100"/>
                <w:sz w:val="21"/>
                <w:szCs w:val="21"/>
              </w:rPr>
              <w:t> </w:t>
            </w:r>
            <w:r>
              <w:rPr>
                <w:rFonts w:ascii="宋体" w:hAnsi="宋体" w:cs="宋体" w:eastAsia="宋体" w:hint="default"/>
                <w:b/>
                <w:bCs/>
                <w:sz w:val="21"/>
                <w:szCs w:val="21"/>
              </w:rPr>
              <w:t>利</w:t>
            </w:r>
            <w:r>
              <w:rPr>
                <w:rFonts w:ascii="宋体" w:hAnsi="宋体" w:cs="宋体" w:eastAsia="宋体" w:hint="default"/>
                <w:sz w:val="21"/>
                <w:szCs w:val="21"/>
              </w:rPr>
            </w:r>
          </w:p>
        </w:tc>
      </w:tr>
      <w:tr>
        <w:trPr>
          <w:trHeight w:val="946"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51"/>
              <w:jc w:val="both"/>
              <w:rPr>
                <w:rFonts w:ascii="宋体" w:hAnsi="宋体" w:cs="宋体" w:eastAsia="宋体" w:hint="default"/>
                <w:sz w:val="21"/>
                <w:szCs w:val="21"/>
              </w:rPr>
            </w:pPr>
            <w:r>
              <w:rPr>
                <w:rFonts w:ascii="宋体" w:hAnsi="宋体" w:cs="宋体" w:eastAsia="宋体" w:hint="default"/>
                <w:sz w:val="21"/>
                <w:szCs w:val="21"/>
              </w:rPr>
              <w:t>浙江中科数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城软件有限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权益法</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Calibri" w:hAnsi="Calibri" w:cs="Calibri" w:eastAsia="Calibri" w:hint="default"/>
                <w:sz w:val="21"/>
                <w:szCs w:val="21"/>
              </w:rPr>
            </w:pPr>
            <w:r>
              <w:rPr>
                <w:rFonts w:ascii="Calibri"/>
                <w:sz w:val="21"/>
              </w:rPr>
              <w:t>2,336,000.00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2,337,697.35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86" w:right="0"/>
              <w:jc w:val="center"/>
              <w:rPr>
                <w:rFonts w:ascii="Calibri" w:hAnsi="Calibri" w:cs="Calibri" w:eastAsia="Calibri" w:hint="default"/>
                <w:sz w:val="21"/>
                <w:szCs w:val="21"/>
              </w:rPr>
            </w:pPr>
            <w:r>
              <w:rPr>
                <w:rFonts w:ascii="Calibri"/>
                <w:sz w:val="21"/>
              </w:rPr>
              <w:t>-114,988.64</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2,222,708.71</w:t>
            </w:r>
            <w:r>
              <w:rPr>
                <w:rFonts w:ascii="Calibri"/>
                <w:sz w:val="21"/>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23.36</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23.36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4" w:right="0"/>
              <w:jc w:val="left"/>
              <w:rPr>
                <w:rFonts w:ascii="Calibri" w:hAnsi="Calibri" w:cs="Calibri" w:eastAsia="Calibri" w:hint="default"/>
                <w:sz w:val="21"/>
                <w:szCs w:val="21"/>
              </w:rPr>
            </w:pPr>
            <w:r>
              <w:rPr>
                <w:rFonts w:ascii="Calibri"/>
                <w:w w:val="100"/>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9"/>
              <w:jc w:val="right"/>
              <w:rPr>
                <w:rFonts w:ascii="Calibri" w:hAnsi="Calibri" w:cs="Calibri" w:eastAsia="Calibri" w:hint="default"/>
                <w:sz w:val="21"/>
                <w:szCs w:val="21"/>
              </w:rPr>
            </w:pPr>
            <w:r>
              <w:rPr>
                <w:rFonts w:ascii="Calibri"/>
                <w:w w:val="100"/>
                <w:sz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r>
      <w:tr>
        <w:trPr>
          <w:trHeight w:val="322"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7"/>
              <w:jc w:val="center"/>
              <w:rPr>
                <w:rFonts w:ascii="宋体" w:hAnsi="宋体" w:cs="宋体" w:eastAsia="宋体" w:hint="default"/>
                <w:sz w:val="21"/>
                <w:szCs w:val="21"/>
              </w:rPr>
            </w:pPr>
            <w:r>
              <w:rPr>
                <w:rFonts w:ascii="宋体" w:hAnsi="宋体" w:cs="宋体" w:eastAsia="宋体" w:hint="default"/>
                <w:sz w:val="21"/>
                <w:szCs w:val="21"/>
              </w:rPr>
              <w:t>北京国遥新</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权益法</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11,414,208.32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4,556,260.52</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15,970,468.84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1"/>
                <w:sz w:val="21"/>
              </w:rPr>
              <w:t>20.00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20.00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w w:val="100"/>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w w:val="100"/>
                <w:sz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r>
    </w:tbl>
    <w:p>
      <w:pPr>
        <w:spacing w:after="0" w:line="240" w:lineRule="auto"/>
        <w:jc w:val="right"/>
        <w:rPr>
          <w:rFonts w:ascii="Arial Narrow" w:hAnsi="Arial Narrow" w:cs="Arial Narrow" w:eastAsia="Arial Narrow" w:hint="default"/>
          <w:sz w:val="21"/>
          <w:szCs w:val="21"/>
        </w:rPr>
        <w:sectPr>
          <w:headerReference w:type="default" r:id="rId50"/>
          <w:footerReference w:type="default" r:id="rId51"/>
          <w:pgSz w:w="16840" w:h="11910" w:orient="landscape"/>
          <w:pgMar w:header="884" w:footer="1008" w:top="1160" w:bottom="1200" w:left="860" w:right="1280"/>
          <w:pgNumType w:start="132"/>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3"/>
          <w:szCs w:val="13"/>
        </w:rPr>
      </w:pPr>
    </w:p>
    <w:tbl>
      <w:tblPr>
        <w:tblW w:w="0" w:type="auto"/>
        <w:jc w:val="left"/>
        <w:tblInd w:w="524" w:type="dxa"/>
        <w:tblLayout w:type="fixed"/>
        <w:tblCellMar>
          <w:top w:w="0" w:type="dxa"/>
          <w:left w:w="0" w:type="dxa"/>
          <w:bottom w:w="0" w:type="dxa"/>
          <w:right w:w="0" w:type="dxa"/>
        </w:tblCellMar>
        <w:tblLook w:val="01E0"/>
      </w:tblPr>
      <w:tblGrid>
        <w:gridCol w:w="1140"/>
        <w:gridCol w:w="1147"/>
        <w:gridCol w:w="1171"/>
        <w:gridCol w:w="1280"/>
        <w:gridCol w:w="1166"/>
        <w:gridCol w:w="1272"/>
        <w:gridCol w:w="1126"/>
        <w:gridCol w:w="1147"/>
        <w:gridCol w:w="1150"/>
        <w:gridCol w:w="1147"/>
        <w:gridCol w:w="1147"/>
        <w:gridCol w:w="1145"/>
      </w:tblGrid>
      <w:tr>
        <w:trPr>
          <w:trHeight w:val="634"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51"/>
              <w:jc w:val="left"/>
              <w:rPr>
                <w:rFonts w:ascii="宋体" w:hAnsi="宋体" w:cs="宋体" w:eastAsia="宋体" w:hint="default"/>
                <w:sz w:val="21"/>
                <w:szCs w:val="21"/>
              </w:rPr>
            </w:pPr>
            <w:r>
              <w:rPr>
                <w:rFonts w:ascii="宋体" w:hAnsi="宋体" w:cs="宋体" w:eastAsia="宋体" w:hint="default"/>
                <w:sz w:val="21"/>
                <w:szCs w:val="21"/>
              </w:rPr>
              <w:t>天地信息技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术有限公司</w:t>
            </w:r>
          </w:p>
        </w:tc>
        <w:tc>
          <w:tcPr>
            <w:tcW w:w="1147"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1145"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92" w:lineRule="auto" w:before="28"/>
              <w:ind w:left="24" w:right="276"/>
              <w:jc w:val="left"/>
              <w:rPr>
                <w:rFonts w:ascii="Calibri" w:hAnsi="Calibri" w:cs="Calibri" w:eastAsia="Calibri" w:hint="default"/>
                <w:sz w:val="21"/>
                <w:szCs w:val="21"/>
              </w:rPr>
            </w:pPr>
            <w:r>
              <w:rPr>
                <w:rFonts w:ascii="Calibri"/>
                <w:spacing w:val="-3"/>
                <w:sz w:val="21"/>
              </w:rPr>
              <w:t>Sawayaka</w:t>
            </w:r>
            <w:r>
              <w:rPr>
                <w:rFonts w:ascii="Calibri"/>
                <w:spacing w:val="-38"/>
                <w:sz w:val="21"/>
              </w:rPr>
              <w:t> </w:t>
            </w:r>
            <w:r>
              <w:rPr>
                <w:rFonts w:ascii="Calibri"/>
                <w:spacing w:val="-38"/>
                <w:sz w:val="21"/>
              </w:rPr>
            </w:r>
            <w:r>
              <w:rPr>
                <w:rFonts w:ascii="Calibri"/>
                <w:sz w:val="21"/>
              </w:rPr>
              <w:t>Shinkin</w:t>
            </w:r>
            <w:r>
              <w:rPr>
                <w:rFonts w:ascii="Calibri"/>
                <w:w w:val="100"/>
                <w:sz w:val="21"/>
              </w:rPr>
              <w:t> </w:t>
            </w:r>
            <w:r>
              <w:rPr>
                <w:rFonts w:ascii="Calibri"/>
                <w:sz w:val="21"/>
              </w:rPr>
              <w:t>Bank</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480"/>
              <w:jc w:val="right"/>
              <w:rPr>
                <w:rFonts w:ascii="宋体" w:hAnsi="宋体" w:cs="宋体" w:eastAsia="宋体" w:hint="default"/>
                <w:sz w:val="21"/>
                <w:szCs w:val="21"/>
              </w:rPr>
            </w:pPr>
            <w:r>
              <w:rPr>
                <w:rFonts w:ascii="宋体" w:hAnsi="宋体" w:cs="宋体" w:eastAsia="宋体" w:hint="default"/>
                <w:sz w:val="21"/>
                <w:szCs w:val="21"/>
              </w:rPr>
              <w:t>成本法</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日元</w:t>
            </w:r>
          </w:p>
          <w:p>
            <w:pPr>
              <w:pStyle w:val="TableParagraph"/>
              <w:spacing w:line="240" w:lineRule="auto" w:before="77"/>
              <w:ind w:left="21" w:right="0"/>
              <w:jc w:val="left"/>
              <w:rPr>
                <w:rFonts w:ascii="Calibri" w:hAnsi="Calibri" w:cs="Calibri" w:eastAsia="Calibri" w:hint="default"/>
                <w:sz w:val="21"/>
                <w:szCs w:val="21"/>
              </w:rPr>
            </w:pPr>
            <w:r>
              <w:rPr>
                <w:rFonts w:ascii="Calibri"/>
                <w:sz w:val="21"/>
              </w:rPr>
              <w:t>100,000.00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Calibri" w:hAnsi="Calibri" w:cs="Calibri" w:eastAsia="Calibri" w:hint="default"/>
                <w:sz w:val="21"/>
                <w:szCs w:val="21"/>
              </w:rPr>
            </w:pPr>
            <w:r>
              <w:rPr>
                <w:rFonts w:ascii="Calibri"/>
                <w:sz w:val="21"/>
              </w:rPr>
              <w:t>8,110.30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Calibri" w:hAnsi="Calibri" w:cs="Calibri" w:eastAsia="Calibri" w:hint="default"/>
                <w:sz w:val="21"/>
                <w:szCs w:val="21"/>
              </w:rPr>
            </w:pPr>
            <w:r>
              <w:rPr>
                <w:rFonts w:ascii="Calibri"/>
                <w:sz w:val="21"/>
              </w:rPr>
              <w:t>8,110.30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Calibri" w:hAnsi="Calibri" w:cs="Calibri" w:eastAsia="Calibri" w:hint="default"/>
                <w:sz w:val="21"/>
                <w:szCs w:val="21"/>
              </w:rPr>
            </w:pPr>
            <w:r>
              <w:rPr>
                <w:rFonts w:ascii="Calibri"/>
                <w:sz w:val="21"/>
              </w:rPr>
              <w:t>0.00063</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3" w:right="0"/>
              <w:jc w:val="left"/>
              <w:rPr>
                <w:rFonts w:ascii="Calibri" w:hAnsi="Calibri" w:cs="Calibri" w:eastAsia="Calibri" w:hint="default"/>
                <w:sz w:val="21"/>
                <w:szCs w:val="21"/>
              </w:rPr>
            </w:pPr>
            <w:r>
              <w:rPr>
                <w:rFonts w:ascii="Calibri"/>
                <w:sz w:val="21"/>
              </w:rPr>
              <w:t>0.00063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Calibri" w:hAnsi="Calibri" w:cs="Calibri" w:eastAsia="Calibri" w:hint="default"/>
                <w:sz w:val="21"/>
                <w:szCs w:val="21"/>
              </w:rPr>
            </w:pPr>
            <w:r>
              <w:rPr>
                <w:rFonts w:ascii="Calibri"/>
                <w:w w:val="100"/>
                <w:sz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5"/>
              <w:ind w:right="21"/>
              <w:jc w:val="right"/>
              <w:rPr>
                <w:rFonts w:ascii="Arial Narrow" w:hAnsi="Arial Narrow" w:cs="Arial Narrow" w:eastAsia="Arial Narrow" w:hint="default"/>
                <w:sz w:val="21"/>
                <w:szCs w:val="21"/>
              </w:rPr>
            </w:pPr>
            <w:r>
              <w:rPr>
                <w:rFonts w:ascii="Arial Narrow"/>
                <w:w w:val="100"/>
                <w:sz w:val="21"/>
              </w:rPr>
              <w:t>-</w:t>
            </w:r>
          </w:p>
        </w:tc>
      </w:tr>
      <w:tr>
        <w:trPr>
          <w:trHeight w:val="946" w:hRule="exact"/>
        </w:trPr>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51"/>
              <w:jc w:val="both"/>
              <w:rPr>
                <w:rFonts w:ascii="宋体" w:hAnsi="宋体" w:cs="宋体" w:eastAsia="宋体" w:hint="default"/>
                <w:sz w:val="21"/>
                <w:szCs w:val="21"/>
              </w:rPr>
            </w:pPr>
            <w:r>
              <w:rPr>
                <w:rFonts w:ascii="宋体" w:hAnsi="宋体" w:cs="宋体" w:eastAsia="宋体" w:hint="default"/>
                <w:sz w:val="21"/>
                <w:szCs w:val="21"/>
              </w:rPr>
              <w:t>东京中小企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业经友会事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业协同组合</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480"/>
              <w:jc w:val="right"/>
              <w:rPr>
                <w:rFonts w:ascii="宋体" w:hAnsi="宋体" w:cs="宋体" w:eastAsia="宋体" w:hint="default"/>
                <w:sz w:val="21"/>
                <w:szCs w:val="21"/>
              </w:rPr>
            </w:pPr>
            <w:r>
              <w:rPr>
                <w:rFonts w:ascii="宋体" w:hAnsi="宋体" w:cs="宋体" w:eastAsia="宋体" w:hint="default"/>
                <w:sz w:val="21"/>
                <w:szCs w:val="21"/>
              </w:rPr>
              <w:t>成本法</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717" w:right="0"/>
              <w:jc w:val="left"/>
              <w:rPr>
                <w:rFonts w:ascii="宋体" w:hAnsi="宋体" w:cs="宋体" w:eastAsia="宋体" w:hint="default"/>
                <w:sz w:val="21"/>
                <w:szCs w:val="21"/>
              </w:rPr>
            </w:pPr>
            <w:r>
              <w:rPr>
                <w:rFonts w:ascii="宋体" w:hAnsi="宋体" w:cs="宋体" w:eastAsia="宋体" w:hint="default"/>
                <w:sz w:val="21"/>
                <w:szCs w:val="21"/>
              </w:rPr>
              <w:t>日元</w:t>
            </w:r>
          </w:p>
          <w:p>
            <w:pPr>
              <w:pStyle w:val="TableParagraph"/>
              <w:spacing w:line="240" w:lineRule="auto" w:before="59"/>
              <w:ind w:left="287" w:right="0"/>
              <w:jc w:val="left"/>
              <w:rPr>
                <w:rFonts w:ascii="Calibri" w:hAnsi="Calibri" w:cs="Calibri" w:eastAsia="Calibri" w:hint="default"/>
                <w:sz w:val="21"/>
                <w:szCs w:val="21"/>
              </w:rPr>
            </w:pPr>
            <w:r>
              <w:rPr>
                <w:rFonts w:ascii="Calibri"/>
                <w:sz w:val="21"/>
              </w:rPr>
              <w:t>10,000.00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811.03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811.03</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614" w:right="0"/>
              <w:jc w:val="left"/>
              <w:rPr>
                <w:rFonts w:ascii="Calibri" w:hAnsi="Calibri" w:cs="Calibri" w:eastAsia="Calibri" w:hint="default"/>
                <w:sz w:val="21"/>
                <w:szCs w:val="21"/>
              </w:rPr>
            </w:pPr>
            <w:r>
              <w:rPr>
                <w:rFonts w:ascii="Calibri"/>
                <w:sz w:val="21"/>
              </w:rPr>
              <w:t>0.014</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638" w:right="0"/>
              <w:jc w:val="left"/>
              <w:rPr>
                <w:rFonts w:ascii="Calibri" w:hAnsi="Calibri" w:cs="Calibri" w:eastAsia="Calibri" w:hint="default"/>
                <w:sz w:val="21"/>
                <w:szCs w:val="21"/>
              </w:rPr>
            </w:pPr>
            <w:r>
              <w:rPr>
                <w:rFonts w:ascii="Calibri"/>
                <w:sz w:val="21"/>
              </w:rPr>
              <w:t>0.014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left="24" w:right="0"/>
              <w:jc w:val="left"/>
              <w:rPr>
                <w:rFonts w:ascii="Calibri" w:hAnsi="Calibri" w:cs="Calibri" w:eastAsia="Calibri" w:hint="default"/>
                <w:sz w:val="21"/>
                <w:szCs w:val="21"/>
              </w:rPr>
            </w:pPr>
            <w:r>
              <w:rPr>
                <w:rFonts w:ascii="Calibri"/>
                <w:w w:val="100"/>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9"/>
                <w:szCs w:val="29"/>
              </w:rPr>
            </w:pPr>
          </w:p>
          <w:p>
            <w:pPr>
              <w:pStyle w:val="TableParagraph"/>
              <w:spacing w:line="240" w:lineRule="auto"/>
              <w:ind w:right="19"/>
              <w:jc w:val="right"/>
              <w:rPr>
                <w:rFonts w:ascii="Calibri" w:hAnsi="Calibri" w:cs="Calibri" w:eastAsia="Calibri" w:hint="default"/>
                <w:sz w:val="21"/>
                <w:szCs w:val="21"/>
              </w:rPr>
            </w:pPr>
            <w:r>
              <w:rPr>
                <w:rFonts w:ascii="Calibri"/>
                <w:w w:val="100"/>
                <w:sz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21"/>
              <w:jc w:val="right"/>
              <w:rPr>
                <w:rFonts w:ascii="Arial Narrow" w:hAnsi="Arial Narrow" w:cs="Arial Narrow" w:eastAsia="Arial Narrow" w:hint="default"/>
                <w:sz w:val="21"/>
                <w:szCs w:val="21"/>
              </w:rPr>
            </w:pPr>
            <w:r>
              <w:rPr>
                <w:rFonts w:ascii="Arial Narrow"/>
                <w:w w:val="100"/>
                <w:sz w:val="21"/>
              </w:rPr>
              <w:t>-</w:t>
            </w:r>
          </w:p>
        </w:tc>
      </w:tr>
      <w:tr>
        <w:trPr>
          <w:trHeight w:val="324" w:hRule="exact"/>
        </w:trPr>
        <w:tc>
          <w:tcPr>
            <w:tcW w:w="1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504"/>
              <w:jc w:val="right"/>
              <w:rPr>
                <w:rFonts w:ascii="Calibri" w:hAnsi="Calibri" w:cs="Calibri" w:eastAsia="Calibri" w:hint="default"/>
                <w:sz w:val="21"/>
                <w:szCs w:val="21"/>
              </w:rPr>
            </w:pPr>
            <w:r>
              <w:rPr>
                <w:rFonts w:ascii="Calibri"/>
                <w:sz w:val="21"/>
              </w:rPr>
              <w:t>--</w:t>
            </w:r>
          </w:p>
        </w:tc>
        <w:tc>
          <w:tcPr>
            <w:tcW w:w="1171" w:type="dxa"/>
            <w:tcBorders>
              <w:top w:val="single" w:sz="4" w:space="0" w:color="000000"/>
              <w:left w:val="single" w:sz="4" w:space="0" w:color="000000"/>
              <w:bottom w:val="single" w:sz="4" w:space="0" w:color="000000"/>
              <w:right w:val="single" w:sz="4" w:space="0" w:color="000000"/>
            </w:tcBorders>
          </w:tcPr>
          <w:p>
            <w:pP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13,760,827.00</w:t>
            </w:r>
            <w:r>
              <w:rPr>
                <w:rFonts w:ascii="Arial Narrow"/>
                <w:sz w:val="21"/>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4,441,271.88</w:t>
            </w:r>
            <w:r>
              <w:rPr>
                <w:rFonts w:ascii="Arial Narrow"/>
                <w:sz w:val="21"/>
              </w:rPr>
            </w:r>
          </w:p>
        </w:tc>
        <w:tc>
          <w:tcPr>
            <w:tcW w:w="127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33"/>
              <w:ind w:right="10"/>
              <w:jc w:val="right"/>
              <w:rPr>
                <w:rFonts w:ascii="Arial Narrow" w:hAnsi="Arial Narrow" w:cs="Arial Narrow" w:eastAsia="Arial Narrow" w:hint="default"/>
                <w:sz w:val="21"/>
                <w:szCs w:val="21"/>
              </w:rPr>
            </w:pPr>
            <w:r>
              <w:rPr>
                <w:rFonts w:ascii="Arial Narrow"/>
                <w:b/>
                <w:spacing w:val="-1"/>
                <w:sz w:val="21"/>
              </w:rPr>
              <w:t>18,202,098.88</w:t>
            </w:r>
            <w:r>
              <w:rPr>
                <w:rFonts w:ascii="Arial Narrow"/>
                <w:sz w:val="21"/>
              </w:rPr>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14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w w:val="100"/>
                <w:sz w:val="21"/>
              </w:rPr>
              <w:t>-</w:t>
            </w:r>
          </w:p>
        </w:tc>
        <w:tc>
          <w:tcPr>
            <w:tcW w:w="1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w:t>
            </w:r>
          </w:p>
        </w:tc>
      </w:tr>
    </w:tbl>
    <w:p>
      <w:pPr>
        <w:spacing w:after="0" w:line="240" w:lineRule="auto"/>
        <w:jc w:val="right"/>
        <w:rPr>
          <w:rFonts w:ascii="Calibri" w:hAnsi="Calibri" w:cs="Calibri" w:eastAsia="Calibri" w:hint="default"/>
          <w:sz w:val="21"/>
          <w:szCs w:val="21"/>
        </w:rPr>
        <w:sectPr>
          <w:pgSz w:w="16840" w:h="11910" w:orient="landscape"/>
          <w:pgMar w:header="884" w:footer="1008" w:top="1160" w:bottom="1200" w:left="860" w:right="12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4"/>
          <w:szCs w:val="24"/>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）向投资企业转移资金的能力受到限制的有关情况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73" w:lineRule="auto" w:before="0"/>
        <w:ind w:left="558" w:right="6404" w:firstLine="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w w:val="100"/>
          <w:sz w:val="21"/>
          <w:szCs w:val="21"/>
        </w:rPr>
        <w:t> </w:t>
      </w:r>
      <w:r>
        <w:rPr>
          <w:rFonts w:ascii="宋体" w:hAnsi="宋体" w:cs="宋体" w:eastAsia="宋体" w:hint="default"/>
          <w:spacing w:val="-2"/>
          <w:sz w:val="21"/>
          <w:szCs w:val="21"/>
        </w:rPr>
        <w:t>长期股权投资的说明：无</w:t>
      </w:r>
    </w:p>
    <w:p>
      <w:pPr>
        <w:spacing w:line="240" w:lineRule="auto" w:before="7"/>
        <w:rPr>
          <w:rFonts w:ascii="宋体" w:hAnsi="宋体" w:cs="宋体" w:eastAsia="宋体" w:hint="default"/>
          <w:sz w:val="23"/>
          <w:szCs w:val="23"/>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16</w:t>
      </w:r>
      <w:r>
        <w:rPr>
          <w:rFonts w:ascii="宋体" w:hAnsi="宋体" w:cs="宋体" w:eastAsia="宋体" w:hint="default"/>
          <w:b/>
          <w:bCs/>
          <w:sz w:val="21"/>
          <w:szCs w:val="21"/>
        </w:rPr>
        <w:t>、投资性房地产</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）按成本计量的投资性房地产</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1560"/>
        <w:gridCol w:w="1832"/>
        <w:gridCol w:w="1702"/>
        <w:gridCol w:w="1699"/>
        <w:gridCol w:w="1945"/>
      </w:tblGrid>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83"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334"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sz w:val="21"/>
                <w:szCs w:val="21"/>
              </w:rPr>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62"/>
              <w:jc w:val="left"/>
              <w:rPr>
                <w:rFonts w:ascii="宋体" w:hAnsi="宋体" w:cs="宋体" w:eastAsia="宋体" w:hint="default"/>
                <w:sz w:val="21"/>
                <w:szCs w:val="21"/>
              </w:rPr>
            </w:pPr>
            <w:r>
              <w:rPr>
                <w:rFonts w:ascii="宋体" w:hAnsi="宋体" w:cs="宋体" w:eastAsia="宋体" w:hint="default"/>
                <w:sz w:val="21"/>
                <w:szCs w:val="21"/>
              </w:rPr>
              <w:t>一、账面原值合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w:t>
            </w:r>
          </w:p>
        </w:tc>
        <w:tc>
          <w:tcPr>
            <w:tcW w:w="18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Arial Narrow" w:hAnsi="Arial Narrow" w:cs="Arial Narrow" w:eastAsia="Arial Narrow" w:hint="default"/>
                <w:sz w:val="21"/>
                <w:szCs w:val="21"/>
              </w:rPr>
            </w:pPr>
            <w:r>
              <w:rPr>
                <w:rFonts w:ascii="Arial Narrow"/>
                <w:b/>
                <w:spacing w:val="-1"/>
                <w:sz w:val="21"/>
              </w:rPr>
              <w:t>11,232,858.00</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Arial Narrow" w:hAnsi="Arial Narrow" w:cs="Arial Narrow" w:eastAsia="Arial Narrow" w:hint="default"/>
                <w:sz w:val="21"/>
                <w:szCs w:val="21"/>
              </w:rPr>
            </w:pPr>
            <w:r>
              <w:rPr>
                <w:rFonts w:ascii="Arial Narrow"/>
                <w:b/>
                <w:spacing w:val="-1"/>
                <w:sz w:val="21"/>
              </w:rPr>
              <w:t>11,232,858.00</w:t>
            </w:r>
            <w:r>
              <w:rPr>
                <w:rFonts w:ascii="Arial Narrow"/>
                <w:sz w:val="21"/>
              </w:rPr>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房屋、建筑物</w:t>
            </w:r>
          </w:p>
        </w:tc>
        <w:tc>
          <w:tcPr>
            <w:tcW w:w="18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11,232,858.00</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11,232,858.00</w:t>
            </w:r>
            <w:r>
              <w:rPr>
                <w:rFonts w:ascii="Arial Narrow"/>
                <w:sz w:val="21"/>
              </w:rPr>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土地使用权</w:t>
            </w:r>
          </w:p>
        </w:tc>
        <w:tc>
          <w:tcPr>
            <w:tcW w:w="18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62"/>
              <w:jc w:val="left"/>
              <w:rPr>
                <w:rFonts w:ascii="宋体" w:hAnsi="宋体" w:cs="宋体" w:eastAsia="宋体" w:hint="default"/>
                <w:sz w:val="21"/>
                <w:szCs w:val="21"/>
              </w:rPr>
            </w:pPr>
            <w:r>
              <w:rPr>
                <w:rFonts w:ascii="宋体" w:hAnsi="宋体" w:cs="宋体" w:eastAsia="宋体" w:hint="default"/>
                <w:sz w:val="21"/>
                <w:szCs w:val="21"/>
              </w:rPr>
              <w:t>二、累计折旧和</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累计摊销合计</w:t>
            </w:r>
          </w:p>
        </w:tc>
        <w:tc>
          <w:tcPr>
            <w:tcW w:w="18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Arial Narrow" w:hAnsi="Arial Narrow" w:cs="Arial Narrow" w:eastAsia="Arial Narrow" w:hint="default"/>
                <w:sz w:val="21"/>
                <w:szCs w:val="21"/>
              </w:rPr>
            </w:pPr>
            <w:r>
              <w:rPr>
                <w:rFonts w:ascii="Arial Narrow"/>
                <w:b/>
                <w:spacing w:val="-1"/>
                <w:sz w:val="21"/>
              </w:rPr>
              <w:t>4,340,695.31</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b/>
                <w:spacing w:val="-1"/>
                <w:sz w:val="21"/>
              </w:rPr>
              <w:t>533,560.68</w:t>
            </w:r>
            <w:r>
              <w:rPr>
                <w:rFonts w:ascii="Arial Narrow"/>
                <w:sz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b/>
                <w:spacing w:val="-1"/>
                <w:sz w:val="21"/>
              </w:rPr>
              <w:t>4,874,255.99</w:t>
            </w:r>
            <w:r>
              <w:rPr>
                <w:rFonts w:ascii="Arial Narrow"/>
                <w:sz w:val="21"/>
              </w:rPr>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1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房屋、建筑物</w:t>
            </w:r>
          </w:p>
        </w:tc>
        <w:tc>
          <w:tcPr>
            <w:tcW w:w="18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4,340,695.31</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533,560.68</w:t>
            </w:r>
            <w:r>
              <w:rPr>
                <w:rFonts w:ascii="Arial Narrow"/>
                <w:sz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w w:val="100"/>
                <w:sz w:val="21"/>
              </w:rPr>
              <w: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4,874,255.99</w:t>
            </w:r>
            <w:r>
              <w:rPr>
                <w:rFonts w:ascii="Arial Narrow"/>
                <w:sz w:val="21"/>
              </w:rPr>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土地使用权</w:t>
            </w:r>
          </w:p>
        </w:tc>
        <w:tc>
          <w:tcPr>
            <w:tcW w:w="18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62"/>
              <w:jc w:val="left"/>
              <w:rPr>
                <w:rFonts w:ascii="宋体" w:hAnsi="宋体" w:cs="宋体" w:eastAsia="宋体" w:hint="default"/>
                <w:sz w:val="21"/>
                <w:szCs w:val="21"/>
              </w:rPr>
            </w:pPr>
            <w:r>
              <w:rPr>
                <w:rFonts w:ascii="宋体" w:hAnsi="宋体" w:cs="宋体" w:eastAsia="宋体" w:hint="default"/>
                <w:sz w:val="21"/>
                <w:szCs w:val="21"/>
              </w:rPr>
              <w:t>三、投资性房地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产账面净值合计</w:t>
            </w:r>
          </w:p>
        </w:tc>
        <w:tc>
          <w:tcPr>
            <w:tcW w:w="18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Arial Narrow" w:hAnsi="Arial Narrow" w:cs="Arial Narrow" w:eastAsia="Arial Narrow" w:hint="default"/>
                <w:sz w:val="21"/>
                <w:szCs w:val="21"/>
              </w:rPr>
            </w:pPr>
            <w:r>
              <w:rPr>
                <w:rFonts w:ascii="Arial Narrow"/>
                <w:b/>
                <w:spacing w:val="-1"/>
                <w:sz w:val="21"/>
              </w:rPr>
              <w:t>6,892,162.69</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Arial Narrow" w:hAnsi="Arial Narrow" w:cs="Arial Narrow" w:eastAsia="Arial Narrow" w:hint="default"/>
                <w:sz w:val="21"/>
                <w:szCs w:val="21"/>
              </w:rPr>
            </w:pPr>
            <w:r>
              <w:rPr>
                <w:rFonts w:ascii="Arial Narrow"/>
                <w:b/>
                <w:spacing w:val="-1"/>
                <w:sz w:val="21"/>
              </w:rPr>
              <w:t>6,358,602.01</w:t>
            </w:r>
            <w:r>
              <w:rPr>
                <w:rFonts w:ascii="Arial Narrow"/>
                <w:sz w:val="21"/>
              </w:rPr>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房屋、建筑物</w:t>
            </w:r>
          </w:p>
        </w:tc>
        <w:tc>
          <w:tcPr>
            <w:tcW w:w="18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6,892,162.69</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6,358,602.01</w:t>
            </w:r>
            <w:r>
              <w:rPr>
                <w:rFonts w:ascii="Arial Narrow"/>
                <w:sz w:val="21"/>
              </w:rPr>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土地使用权</w:t>
            </w:r>
          </w:p>
        </w:tc>
        <w:tc>
          <w:tcPr>
            <w:tcW w:w="18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r>
      <w:tr>
        <w:trPr>
          <w:trHeight w:val="946"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62"/>
              <w:jc w:val="both"/>
              <w:rPr>
                <w:rFonts w:ascii="宋体" w:hAnsi="宋体" w:cs="宋体" w:eastAsia="宋体" w:hint="default"/>
                <w:sz w:val="21"/>
                <w:szCs w:val="21"/>
              </w:rPr>
            </w:pPr>
            <w:r>
              <w:rPr>
                <w:rFonts w:ascii="宋体" w:hAnsi="宋体" w:cs="宋体" w:eastAsia="宋体" w:hint="default"/>
                <w:sz w:val="21"/>
                <w:szCs w:val="21"/>
              </w:rPr>
              <w:t>四、投资性房地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产减值准备累计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金额合计</w:t>
            </w:r>
          </w:p>
        </w:tc>
        <w:tc>
          <w:tcPr>
            <w:tcW w:w="18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r>
      <w:tr>
        <w:trPr>
          <w:trHeight w:val="32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1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房屋、建筑物</w:t>
            </w:r>
          </w:p>
        </w:tc>
        <w:tc>
          <w:tcPr>
            <w:tcW w:w="18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w w:val="100"/>
                <w:sz w:val="21"/>
              </w:rPr>
              <w: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w w:val="100"/>
                <w:sz w:val="21"/>
              </w:rPr>
              <w:t>-</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土地使用权</w:t>
            </w:r>
          </w:p>
        </w:tc>
        <w:tc>
          <w:tcPr>
            <w:tcW w:w="18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62"/>
              <w:jc w:val="left"/>
              <w:rPr>
                <w:rFonts w:ascii="宋体" w:hAnsi="宋体" w:cs="宋体" w:eastAsia="宋体" w:hint="default"/>
                <w:sz w:val="21"/>
                <w:szCs w:val="21"/>
              </w:rPr>
            </w:pPr>
            <w:r>
              <w:rPr>
                <w:rFonts w:ascii="宋体" w:hAnsi="宋体" w:cs="宋体" w:eastAsia="宋体" w:hint="default"/>
                <w:sz w:val="21"/>
                <w:szCs w:val="21"/>
              </w:rPr>
              <w:t>五、投资性房地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产账面价值合计</w:t>
            </w:r>
          </w:p>
        </w:tc>
        <w:tc>
          <w:tcPr>
            <w:tcW w:w="18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Arial Narrow" w:hAnsi="Arial Narrow" w:cs="Arial Narrow" w:eastAsia="Arial Narrow" w:hint="default"/>
                <w:sz w:val="21"/>
                <w:szCs w:val="21"/>
              </w:rPr>
            </w:pPr>
            <w:r>
              <w:rPr>
                <w:rFonts w:ascii="Arial Narrow"/>
                <w:b/>
                <w:spacing w:val="-1"/>
                <w:sz w:val="21"/>
              </w:rPr>
              <w:t>6,892,162.69</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Arial Narrow" w:hAnsi="Arial Narrow" w:cs="Arial Narrow" w:eastAsia="Arial Narrow" w:hint="default"/>
                <w:sz w:val="21"/>
                <w:szCs w:val="21"/>
              </w:rPr>
            </w:pPr>
            <w:r>
              <w:rPr>
                <w:rFonts w:ascii="Arial Narrow"/>
                <w:b/>
                <w:spacing w:val="-1"/>
                <w:sz w:val="21"/>
              </w:rPr>
              <w:t>6,358,602.01</w:t>
            </w:r>
            <w:r>
              <w:rPr>
                <w:rFonts w:ascii="Arial Narrow"/>
                <w:sz w:val="21"/>
              </w:rPr>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房屋、建筑物</w:t>
            </w:r>
          </w:p>
        </w:tc>
        <w:tc>
          <w:tcPr>
            <w:tcW w:w="18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6,892,162.69</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6,358,602.01</w:t>
            </w:r>
            <w:r>
              <w:rPr>
                <w:rFonts w:ascii="Arial Narrow"/>
                <w:sz w:val="21"/>
              </w:rPr>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土地使用权</w:t>
            </w:r>
          </w:p>
        </w:tc>
        <w:tc>
          <w:tcPr>
            <w:tcW w:w="18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r>
    </w:tbl>
    <w:p>
      <w:pPr>
        <w:spacing w:line="262" w:lineRule="exact" w:before="0"/>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41" w:type="dxa"/>
        <w:tblLayout w:type="fixed"/>
        <w:tblCellMar>
          <w:top w:w="0" w:type="dxa"/>
          <w:left w:w="0" w:type="dxa"/>
          <w:bottom w:w="0" w:type="dxa"/>
          <w:right w:w="0" w:type="dxa"/>
        </w:tblCellMar>
        <w:tblLook w:val="01E0"/>
      </w:tblPr>
      <w:tblGrid>
        <w:gridCol w:w="4871"/>
        <w:gridCol w:w="3862"/>
      </w:tblGrid>
      <w:tr>
        <w:trPr>
          <w:trHeight w:val="324" w:hRule="exact"/>
        </w:trPr>
        <w:tc>
          <w:tcPr>
            <w:tcW w:w="48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1"/>
                <w:szCs w:val="21"/>
              </w:rPr>
            </w:pPr>
            <w:r>
              <w:rPr>
                <w:rFonts w:ascii="宋体" w:hAnsi="宋体" w:cs="宋体" w:eastAsia="宋体" w:hint="default"/>
                <w:sz w:val="21"/>
                <w:szCs w:val="21"/>
              </w:rPr>
              <w:t>本期</w:t>
            </w:r>
          </w:p>
        </w:tc>
      </w:tr>
      <w:tr>
        <w:trPr>
          <w:trHeight w:val="322" w:hRule="exact"/>
        </w:trPr>
        <w:tc>
          <w:tcPr>
            <w:tcW w:w="4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 w:right="0"/>
              <w:jc w:val="left"/>
              <w:rPr>
                <w:rFonts w:ascii="宋体" w:hAnsi="宋体" w:cs="宋体" w:eastAsia="宋体" w:hint="default"/>
                <w:sz w:val="21"/>
                <w:szCs w:val="21"/>
              </w:rPr>
            </w:pPr>
            <w:r>
              <w:rPr>
                <w:rFonts w:ascii="宋体" w:hAnsi="宋体" w:cs="宋体" w:eastAsia="宋体" w:hint="default"/>
                <w:sz w:val="21"/>
                <w:szCs w:val="21"/>
              </w:rPr>
              <w:t>本期折旧和摊销额</w:t>
            </w:r>
          </w:p>
        </w:tc>
        <w:tc>
          <w:tcPr>
            <w:tcW w:w="38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7"/>
              <w:ind w:right="21"/>
              <w:jc w:val="right"/>
              <w:rPr>
                <w:rFonts w:ascii="Arial Narrow" w:hAnsi="Arial Narrow" w:cs="Arial Narrow" w:eastAsia="Arial Narrow" w:hint="default"/>
                <w:sz w:val="24"/>
                <w:szCs w:val="24"/>
              </w:rPr>
            </w:pPr>
            <w:r>
              <w:rPr>
                <w:rFonts w:ascii="Arial Narrow"/>
                <w:spacing w:val="-1"/>
                <w:sz w:val="24"/>
              </w:rPr>
              <w:t>533,560.68</w:t>
            </w:r>
          </w:p>
        </w:tc>
      </w:tr>
      <w:tr>
        <w:trPr>
          <w:trHeight w:val="322" w:hRule="exact"/>
        </w:trPr>
        <w:tc>
          <w:tcPr>
            <w:tcW w:w="4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 w:right="0"/>
              <w:jc w:val="left"/>
              <w:rPr>
                <w:rFonts w:ascii="宋体" w:hAnsi="宋体" w:cs="宋体" w:eastAsia="宋体" w:hint="default"/>
                <w:sz w:val="21"/>
                <w:szCs w:val="21"/>
              </w:rPr>
            </w:pPr>
            <w:r>
              <w:rPr>
                <w:rFonts w:ascii="宋体" w:hAnsi="宋体" w:cs="宋体" w:eastAsia="宋体" w:hint="default"/>
                <w:sz w:val="21"/>
                <w:szCs w:val="21"/>
              </w:rPr>
              <w:t>投资性房地产本期减值准备计提额</w:t>
            </w:r>
          </w:p>
        </w:tc>
        <w:tc>
          <w:tcPr>
            <w:tcW w:w="38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bl>
    <w:p>
      <w:pPr>
        <w:spacing w:line="240" w:lineRule="auto" w:before="3"/>
        <w:rPr>
          <w:rFonts w:ascii="宋体" w:hAnsi="宋体" w:cs="宋体" w:eastAsia="宋体" w:hint="default"/>
          <w:sz w:val="19"/>
          <w:szCs w:val="19"/>
        </w:rPr>
      </w:pPr>
    </w:p>
    <w:p>
      <w:pPr>
        <w:spacing w:line="506" w:lineRule="auto" w:before="36"/>
        <w:ind w:left="558" w:right="5197"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）按公允价值计量的投资性房地产</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无</w:t>
      </w:r>
    </w:p>
    <w:p>
      <w:pPr>
        <w:spacing w:after="0" w:line="506" w:lineRule="auto"/>
        <w:jc w:val="left"/>
        <w:rPr>
          <w:rFonts w:ascii="宋体" w:hAnsi="宋体" w:cs="宋体" w:eastAsia="宋体" w:hint="default"/>
          <w:sz w:val="21"/>
          <w:szCs w:val="21"/>
        </w:rPr>
        <w:sectPr>
          <w:headerReference w:type="default" r:id="rId52"/>
          <w:footerReference w:type="default" r:id="rId53"/>
          <w:pgSz w:w="11910" w:h="16840"/>
          <w:pgMar w:header="884" w:footer="1007" w:top="1160" w:bottom="1200" w:left="1240" w:right="1260"/>
          <w:pgNumType w:start="134"/>
        </w:sectPr>
      </w:pPr>
    </w:p>
    <w:p>
      <w:pPr>
        <w:spacing w:line="240" w:lineRule="auto" w:before="4"/>
        <w:rPr>
          <w:rFonts w:ascii="宋体" w:hAnsi="宋体" w:cs="宋体" w:eastAsia="宋体" w:hint="default"/>
          <w:sz w:val="16"/>
          <w:szCs w:val="16"/>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17</w:t>
      </w:r>
      <w:r>
        <w:rPr>
          <w:rFonts w:ascii="宋体" w:hAnsi="宋体" w:cs="宋体" w:eastAsia="宋体" w:hint="default"/>
          <w:b/>
          <w:bCs/>
          <w:sz w:val="21"/>
          <w:szCs w:val="21"/>
        </w:rPr>
        <w:t>、固定资产</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949"/>
        <w:gridCol w:w="1337"/>
        <w:gridCol w:w="1214"/>
        <w:gridCol w:w="1457"/>
        <w:gridCol w:w="1457"/>
        <w:gridCol w:w="1334"/>
      </w:tblGrid>
      <w:tr>
        <w:trPr>
          <w:trHeight w:val="32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2"/>
              <w:jc w:val="right"/>
              <w:rPr>
                <w:rFonts w:ascii="宋体" w:hAnsi="宋体" w:cs="宋体" w:eastAsia="宋体" w:hint="default"/>
                <w:sz w:val="21"/>
                <w:szCs w:val="21"/>
              </w:rPr>
            </w:pPr>
            <w:r>
              <w:rPr>
                <w:rFonts w:ascii="宋体" w:hAnsi="宋体" w:cs="宋体" w:eastAsia="宋体" w:hint="default"/>
                <w:spacing w:val="-1"/>
                <w:sz w:val="21"/>
                <w:szCs w:val="21"/>
              </w:rPr>
              <w:t>期初账面余额</w:t>
            </w:r>
          </w:p>
        </w:tc>
        <w:tc>
          <w:tcPr>
            <w:tcW w:w="26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9"/>
              <w:jc w:val="right"/>
              <w:rPr>
                <w:rFonts w:ascii="宋体" w:hAnsi="宋体" w:cs="宋体" w:eastAsia="宋体" w:hint="default"/>
                <w:sz w:val="21"/>
                <w:szCs w:val="21"/>
              </w:rPr>
            </w:pPr>
            <w:r>
              <w:rPr>
                <w:rFonts w:ascii="宋体" w:hAnsi="宋体" w:cs="宋体" w:eastAsia="宋体" w:hint="default"/>
                <w:spacing w:val="-1"/>
                <w:sz w:val="21"/>
                <w:szCs w:val="21"/>
              </w:rPr>
              <w:t>期末账面余额</w:t>
            </w: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70,649,735.33</w:t>
            </w:r>
            <w:r>
              <w:rPr>
                <w:rFonts w:ascii="Arial Narrow"/>
                <w:sz w:val="21"/>
              </w:rPr>
            </w:r>
          </w:p>
        </w:tc>
        <w:tc>
          <w:tcPr>
            <w:tcW w:w="26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536" w:right="0"/>
              <w:jc w:val="left"/>
              <w:rPr>
                <w:rFonts w:ascii="Arial Narrow" w:hAnsi="Arial Narrow" w:cs="Arial Narrow" w:eastAsia="Arial Narrow" w:hint="default"/>
                <w:sz w:val="21"/>
                <w:szCs w:val="21"/>
              </w:rPr>
            </w:pPr>
            <w:r>
              <w:rPr>
                <w:rFonts w:ascii="Arial Narrow"/>
                <w:b/>
                <w:sz w:val="21"/>
              </w:rPr>
              <w:t>20,896,451.19</w:t>
            </w:r>
            <w:r>
              <w:rPr>
                <w:rFonts w:ascii="Arial Narrow"/>
                <w:sz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b/>
                <w:spacing w:val="-1"/>
                <w:sz w:val="21"/>
              </w:rPr>
              <w:t>806,915.93</w:t>
            </w:r>
            <w:r>
              <w:rPr>
                <w:rFonts w:ascii="Arial Narrow"/>
                <w:spacing w:val="-1"/>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b/>
                <w:spacing w:val="-1"/>
                <w:sz w:val="21"/>
              </w:rPr>
              <w:t>90,739,270.59</w:t>
            </w:r>
            <w:r>
              <w:rPr>
                <w:rFonts w:ascii="Arial Narrow"/>
                <w:sz w:val="21"/>
              </w:rPr>
            </w:r>
          </w:p>
        </w:tc>
      </w:tr>
      <w:tr>
        <w:trPr>
          <w:trHeight w:val="324"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56,727,128.75</w:t>
            </w:r>
            <w:r>
              <w:rPr>
                <w:rFonts w:ascii="Arial Narrow"/>
                <w:sz w:val="21"/>
              </w:rPr>
            </w:r>
          </w:p>
        </w:tc>
        <w:tc>
          <w:tcPr>
            <w:tcW w:w="26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533" w:right="0"/>
              <w:jc w:val="left"/>
              <w:rPr>
                <w:rFonts w:ascii="Arial Narrow" w:hAnsi="Arial Narrow" w:cs="Arial Narrow" w:eastAsia="Arial Narrow" w:hint="default"/>
                <w:sz w:val="21"/>
                <w:szCs w:val="21"/>
              </w:rPr>
            </w:pPr>
            <w:r>
              <w:rPr>
                <w:rFonts w:ascii="Arial Narrow"/>
                <w:sz w:val="21"/>
              </w:rPr>
              <w:t>17,823,665.60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w w:val="100"/>
                <w:sz w:val="21"/>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74,550,794.35</w:t>
            </w:r>
            <w:r>
              <w:rPr>
                <w:rFonts w:ascii="Arial Narrow"/>
                <w:sz w:val="21"/>
              </w:rPr>
            </w: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12,190,606.60</w:t>
            </w:r>
            <w:r>
              <w:rPr>
                <w:rFonts w:ascii="Arial Narrow"/>
                <w:sz w:val="21"/>
              </w:rPr>
            </w:r>
          </w:p>
        </w:tc>
        <w:tc>
          <w:tcPr>
            <w:tcW w:w="26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32" w:right="0"/>
              <w:jc w:val="left"/>
              <w:rPr>
                <w:rFonts w:ascii="Arial Narrow" w:hAnsi="Arial Narrow" w:cs="Arial Narrow" w:eastAsia="Arial Narrow" w:hint="default"/>
                <w:sz w:val="21"/>
                <w:szCs w:val="21"/>
              </w:rPr>
            </w:pPr>
            <w:r>
              <w:rPr>
                <w:rFonts w:ascii="Arial Narrow"/>
                <w:sz w:val="21"/>
              </w:rPr>
              <w:t>2,679,913.07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Arial Narrow" w:hAnsi="Arial Narrow" w:cs="Arial Narrow" w:eastAsia="Arial Narrow" w:hint="default"/>
                <w:sz w:val="21"/>
                <w:szCs w:val="21"/>
              </w:rPr>
            </w:pPr>
            <w:r>
              <w:rPr>
                <w:rFonts w:ascii="Arial Narrow"/>
                <w:spacing w:val="-1"/>
                <w:sz w:val="21"/>
              </w:rPr>
              <w:t>461,736.93</w:t>
            </w:r>
            <w:r>
              <w:rPr>
                <w:rFonts w:ascii="Arial Narrow"/>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14,408,782.74</w:t>
            </w:r>
            <w:r>
              <w:rPr>
                <w:rFonts w:ascii="Arial Narrow"/>
                <w:sz w:val="21"/>
              </w:rPr>
            </w: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1,731,999.98</w:t>
            </w:r>
            <w:r>
              <w:rPr>
                <w:rFonts w:ascii="Arial Narrow"/>
                <w:sz w:val="21"/>
              </w:rPr>
            </w:r>
          </w:p>
        </w:tc>
        <w:tc>
          <w:tcPr>
            <w:tcW w:w="26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73" w:right="0"/>
              <w:jc w:val="left"/>
              <w:rPr>
                <w:rFonts w:ascii="Arial Narrow" w:hAnsi="Arial Narrow" w:cs="Arial Narrow" w:eastAsia="Arial Narrow" w:hint="default"/>
                <w:sz w:val="21"/>
                <w:szCs w:val="21"/>
              </w:rPr>
            </w:pPr>
            <w:r>
              <w:rPr>
                <w:rFonts w:ascii="Arial Narrow"/>
                <w:sz w:val="21"/>
              </w:rPr>
              <w:t>392,872.52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Arial Narrow" w:hAnsi="Arial Narrow" w:cs="Arial Narrow" w:eastAsia="Arial Narrow" w:hint="default"/>
                <w:sz w:val="21"/>
                <w:szCs w:val="21"/>
              </w:rPr>
            </w:pPr>
            <w:r>
              <w:rPr>
                <w:rFonts w:ascii="Arial Narrow"/>
                <w:spacing w:val="-1"/>
                <w:sz w:val="21"/>
              </w:rPr>
              <w:t>345,179.00</w:t>
            </w:r>
            <w:r>
              <w:rPr>
                <w:rFonts w:ascii="Arial Narrow"/>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1,779,693.50</w:t>
            </w:r>
            <w:r>
              <w:rPr>
                <w:rFonts w:ascii="Arial Narrow"/>
                <w:sz w:val="21"/>
              </w:rPr>
            </w: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2672" w:type="dxa"/>
            <w:gridSpan w:val="2"/>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2"/>
              <w:jc w:val="right"/>
              <w:rPr>
                <w:rFonts w:ascii="宋体" w:hAnsi="宋体" w:cs="宋体" w:eastAsia="宋体" w:hint="default"/>
                <w:sz w:val="21"/>
                <w:szCs w:val="21"/>
              </w:rPr>
            </w:pPr>
            <w:r>
              <w:rPr>
                <w:rFonts w:ascii="宋体" w:hAnsi="宋体" w:cs="宋体" w:eastAsia="宋体" w:hint="default"/>
                <w:spacing w:val="-1"/>
                <w:sz w:val="21"/>
                <w:szCs w:val="21"/>
              </w:rPr>
              <w:t>期初账面余额</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80"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02"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9"/>
              <w:jc w:val="right"/>
              <w:rPr>
                <w:rFonts w:ascii="宋体" w:hAnsi="宋体" w:cs="宋体" w:eastAsia="宋体" w:hint="default"/>
                <w:sz w:val="21"/>
                <w:szCs w:val="21"/>
              </w:rPr>
            </w:pPr>
            <w:r>
              <w:rPr>
                <w:rFonts w:ascii="宋体" w:hAnsi="宋体" w:cs="宋体" w:eastAsia="宋体" w:hint="default"/>
                <w:spacing w:val="-1"/>
                <w:sz w:val="21"/>
                <w:szCs w:val="21"/>
              </w:rPr>
              <w:t>本期期末余额</w:t>
            </w: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b/>
                <w:spacing w:val="-1"/>
                <w:sz w:val="21"/>
              </w:rPr>
              <w:t>8,713,140.72</w:t>
            </w:r>
            <w:r>
              <w:rPr>
                <w:rFonts w:ascii="Arial Narrow"/>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b/>
                <w:spacing w:val="-1"/>
                <w:sz w:val="21"/>
              </w:rPr>
              <w:t>5,074,088.58</w:t>
            </w:r>
            <w:r>
              <w:rPr>
                <w:rFonts w:ascii="Arial Narrow"/>
                <w:sz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Arial Narrow" w:hAnsi="Arial Narrow" w:cs="Arial Narrow" w:eastAsia="Arial Narrow" w:hint="default"/>
                <w:sz w:val="21"/>
                <w:szCs w:val="21"/>
              </w:rPr>
            </w:pPr>
            <w:r>
              <w:rPr>
                <w:rFonts w:ascii="Arial Narrow"/>
                <w:b/>
                <w:spacing w:val="-1"/>
                <w:sz w:val="21"/>
              </w:rPr>
              <w:t>455,429.46</w:t>
            </w:r>
            <w:r>
              <w:rPr>
                <w:rFonts w:ascii="Arial Narrow"/>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b/>
                <w:spacing w:val="-1"/>
                <w:sz w:val="21"/>
              </w:rPr>
              <w:t>13,331,799.84</w:t>
            </w:r>
            <w:r>
              <w:rPr>
                <w:rFonts w:ascii="Arial Narrow"/>
                <w:sz w:val="21"/>
              </w:rPr>
            </w:r>
          </w:p>
        </w:tc>
      </w:tr>
      <w:tr>
        <w:trPr>
          <w:trHeight w:val="324"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4,056,138.64</w:t>
            </w:r>
            <w:r>
              <w:rPr>
                <w:rFonts w:ascii="Arial Narrow"/>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4"/>
              <w:jc w:val="right"/>
              <w:rPr>
                <w:rFonts w:ascii="Arial Narrow" w:hAnsi="Arial Narrow" w:cs="Arial Narrow" w:eastAsia="Arial Narrow" w:hint="default"/>
                <w:sz w:val="21"/>
                <w:szCs w:val="21"/>
              </w:rPr>
            </w:pPr>
            <w:r>
              <w:rPr>
                <w:rFonts w:ascii="Arial Narrow"/>
                <w:w w:val="100"/>
                <w:sz w:val="21"/>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1,839,842.82</w:t>
            </w:r>
            <w:r>
              <w:rPr>
                <w:rFonts w:ascii="Arial Narrow"/>
                <w:sz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w w:val="100"/>
                <w:sz w:val="21"/>
              </w:rPr>
              <w:t>-</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5,895,981.46</w:t>
            </w:r>
            <w:r>
              <w:rPr>
                <w:rFonts w:ascii="Arial Narrow"/>
                <w:sz w:val="21"/>
              </w:rPr>
            </w: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3,454,984.51</w:t>
            </w:r>
            <w:r>
              <w:rPr>
                <w:rFonts w:ascii="Arial Narrow"/>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Arial Narrow" w:hAnsi="Arial Narrow" w:cs="Arial Narrow" w:eastAsia="Arial Narrow" w:hint="default"/>
                <w:sz w:val="21"/>
                <w:szCs w:val="21"/>
              </w:rPr>
            </w:pPr>
            <w:r>
              <w:rPr>
                <w:rFonts w:ascii="Arial Narrow"/>
                <w:w w:val="100"/>
                <w:sz w:val="21"/>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3,057,191.98</w:t>
            </w:r>
            <w:r>
              <w:rPr>
                <w:rFonts w:ascii="Arial Narrow"/>
                <w:sz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Arial Narrow" w:hAnsi="Arial Narrow" w:cs="Arial Narrow" w:eastAsia="Arial Narrow" w:hint="default"/>
                <w:sz w:val="21"/>
                <w:szCs w:val="21"/>
              </w:rPr>
            </w:pPr>
            <w:r>
              <w:rPr>
                <w:rFonts w:ascii="Arial Narrow"/>
                <w:spacing w:val="-1"/>
                <w:sz w:val="21"/>
              </w:rPr>
              <w:t>127,509.41</w:t>
            </w:r>
            <w:r>
              <w:rPr>
                <w:rFonts w:ascii="Arial Narrow"/>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6,384,667.08</w:t>
            </w:r>
            <w:r>
              <w:rPr>
                <w:rFonts w:ascii="Arial Narrow"/>
                <w:sz w:val="21"/>
              </w:rPr>
            </w: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1,202,017.57</w:t>
            </w:r>
            <w:r>
              <w:rPr>
                <w:rFonts w:ascii="Arial Narrow"/>
                <w:sz w:val="21"/>
              </w:rPr>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4"/>
              <w:jc w:val="right"/>
              <w:rPr>
                <w:rFonts w:ascii="Arial Narrow" w:hAnsi="Arial Narrow" w:cs="Arial Narrow" w:eastAsia="Arial Narrow" w:hint="default"/>
                <w:sz w:val="21"/>
                <w:szCs w:val="21"/>
              </w:rPr>
            </w:pPr>
            <w:r>
              <w:rPr>
                <w:rFonts w:ascii="Arial Narrow"/>
                <w:w w:val="100"/>
                <w:sz w:val="21"/>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177,053.78</w:t>
            </w:r>
            <w:r>
              <w:rPr>
                <w:rFonts w:ascii="Arial Narrow"/>
                <w:sz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Arial Narrow" w:hAnsi="Arial Narrow" w:cs="Arial Narrow" w:eastAsia="Arial Narrow" w:hint="default"/>
                <w:sz w:val="21"/>
                <w:szCs w:val="21"/>
              </w:rPr>
            </w:pPr>
            <w:r>
              <w:rPr>
                <w:rFonts w:ascii="Arial Narrow"/>
                <w:spacing w:val="-1"/>
                <w:sz w:val="21"/>
              </w:rPr>
              <w:t>327,920.05</w:t>
            </w:r>
            <w:r>
              <w:rPr>
                <w:rFonts w:ascii="Arial Narrow"/>
                <w:sz w:val="21"/>
              </w:rPr>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1,051,151.30</w:t>
            </w:r>
            <w:r>
              <w:rPr>
                <w:rFonts w:ascii="Arial Narrow"/>
                <w:sz w:val="21"/>
              </w:rPr>
            </w: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2"/>
              <w:jc w:val="right"/>
              <w:rPr>
                <w:rFonts w:ascii="宋体" w:hAnsi="宋体" w:cs="宋体" w:eastAsia="宋体" w:hint="default"/>
                <w:sz w:val="21"/>
                <w:szCs w:val="21"/>
              </w:rPr>
            </w:pPr>
            <w:r>
              <w:rPr>
                <w:rFonts w:ascii="宋体" w:hAnsi="宋体" w:cs="宋体" w:eastAsia="宋体" w:hint="default"/>
                <w:spacing w:val="-1"/>
                <w:sz w:val="21"/>
                <w:szCs w:val="21"/>
              </w:rPr>
              <w:t>期初账面余额</w:t>
            </w:r>
          </w:p>
        </w:tc>
        <w:tc>
          <w:tcPr>
            <w:tcW w:w="41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Calibri" w:hAnsi="Calibri" w:cs="Calibri" w:eastAsia="Calibri" w:hint="default"/>
                <w:sz w:val="21"/>
                <w:szCs w:val="21"/>
              </w:rPr>
            </w:pPr>
            <w:r>
              <w:rPr>
                <w:rFonts w:ascii="Calibri"/>
                <w:sz w:val="21"/>
              </w:rPr>
              <w:t>--</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9"/>
              <w:jc w:val="right"/>
              <w:rPr>
                <w:rFonts w:ascii="宋体" w:hAnsi="宋体" w:cs="宋体" w:eastAsia="宋体" w:hint="default"/>
                <w:sz w:val="21"/>
                <w:szCs w:val="21"/>
              </w:rPr>
            </w:pPr>
            <w:r>
              <w:rPr>
                <w:rFonts w:ascii="宋体" w:hAnsi="宋体" w:cs="宋体" w:eastAsia="宋体" w:hint="default"/>
                <w:spacing w:val="-1"/>
                <w:sz w:val="21"/>
                <w:szCs w:val="21"/>
              </w:rPr>
              <w:t>本期期末余额</w:t>
            </w:r>
          </w:p>
        </w:tc>
      </w:tr>
      <w:tr>
        <w:trPr>
          <w:trHeight w:val="161" w:hRule="exact"/>
        </w:trPr>
        <w:tc>
          <w:tcPr>
            <w:tcW w:w="194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z w:val="21"/>
                <w:szCs w:val="21"/>
              </w:rPr>
              <w:t>三、固定资产账面净</w:t>
            </w:r>
            <w:r>
              <w:rPr>
                <w:rFonts w:ascii="宋体" w:hAnsi="宋体" w:cs="宋体" w:eastAsia="宋体" w:hint="default"/>
                <w:w w:val="100"/>
                <w:sz w:val="21"/>
                <w:szCs w:val="21"/>
              </w:rPr>
              <w:t> </w:t>
            </w:r>
            <w:r>
              <w:rPr>
                <w:rFonts w:ascii="宋体" w:hAnsi="宋体" w:cs="宋体" w:eastAsia="宋体" w:hint="default"/>
                <w:sz w:val="21"/>
                <w:szCs w:val="21"/>
              </w:rPr>
              <w:t>值合计</w:t>
            </w:r>
          </w:p>
        </w:tc>
        <w:tc>
          <w:tcPr>
            <w:tcW w:w="1337" w:type="dxa"/>
            <w:vMerge w:val="restart"/>
            <w:tcBorders>
              <w:top w:val="single" w:sz="4" w:space="0" w:color="000000"/>
              <w:left w:val="single" w:sz="13" w:space="0" w:color="D2D2D2"/>
              <w:right w:val="single" w:sz="9" w:space="0" w:color="D2D2D2"/>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0" w:right="0"/>
              <w:jc w:val="left"/>
              <w:rPr>
                <w:rFonts w:ascii="Arial Narrow" w:hAnsi="Arial Narrow" w:cs="Arial Narrow" w:eastAsia="Arial Narrow" w:hint="default"/>
                <w:sz w:val="21"/>
                <w:szCs w:val="21"/>
              </w:rPr>
            </w:pPr>
            <w:r>
              <w:rPr>
                <w:rFonts w:ascii="Arial Narrow"/>
                <w:b/>
                <w:sz w:val="21"/>
              </w:rPr>
              <w:t>61,936,594.61</w:t>
            </w:r>
            <w:r>
              <w:rPr>
                <w:rFonts w:ascii="Arial Narrow"/>
                <w:sz w:val="21"/>
              </w:rPr>
            </w:r>
          </w:p>
        </w:tc>
        <w:tc>
          <w:tcPr>
            <w:tcW w:w="412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334"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0" w:right="0"/>
              <w:jc w:val="left"/>
              <w:rPr>
                <w:rFonts w:ascii="Arial Narrow" w:hAnsi="Arial Narrow" w:cs="Arial Narrow" w:eastAsia="Arial Narrow" w:hint="default"/>
                <w:sz w:val="21"/>
                <w:szCs w:val="21"/>
              </w:rPr>
            </w:pPr>
            <w:r>
              <w:rPr>
                <w:rFonts w:ascii="Arial Narrow"/>
                <w:b/>
                <w:sz w:val="21"/>
              </w:rPr>
              <w:t>77,407,470.75</w:t>
            </w:r>
            <w:r>
              <w:rPr>
                <w:rFonts w:ascii="Arial Narrow"/>
                <w:sz w:val="21"/>
              </w:rPr>
            </w:r>
          </w:p>
        </w:tc>
      </w:tr>
      <w:tr>
        <w:trPr>
          <w:trHeight w:val="312" w:hRule="exact"/>
        </w:trPr>
        <w:tc>
          <w:tcPr>
            <w:tcW w:w="1949" w:type="dxa"/>
            <w:vMerge/>
            <w:tcBorders>
              <w:left w:val="single" w:sz="4" w:space="0" w:color="000000"/>
              <w:right w:val="single" w:sz="4" w:space="0" w:color="000000"/>
            </w:tcBorders>
            <w:shd w:val="clear" w:color="auto" w:fill="D2D2D2"/>
          </w:tcPr>
          <w:p>
            <w:pPr/>
          </w:p>
        </w:tc>
        <w:tc>
          <w:tcPr>
            <w:tcW w:w="1337" w:type="dxa"/>
            <w:vMerge/>
            <w:tcBorders>
              <w:left w:val="single" w:sz="13" w:space="0" w:color="D2D2D2"/>
              <w:right w:val="single" w:sz="9" w:space="0" w:color="D2D2D2"/>
            </w:tcBorders>
          </w:tcPr>
          <w:p>
            <w:pPr/>
          </w:p>
        </w:tc>
        <w:tc>
          <w:tcPr>
            <w:tcW w:w="4129"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4"/>
              <w:jc w:val="center"/>
              <w:rPr>
                <w:rFonts w:ascii="Calibri" w:hAnsi="Calibri" w:cs="Calibri" w:eastAsia="Calibri" w:hint="default"/>
                <w:sz w:val="21"/>
                <w:szCs w:val="21"/>
              </w:rPr>
            </w:pPr>
            <w:r>
              <w:rPr>
                <w:rFonts w:ascii="Calibri"/>
                <w:sz w:val="21"/>
              </w:rPr>
              <w:t>--</w:t>
            </w:r>
          </w:p>
        </w:tc>
        <w:tc>
          <w:tcPr>
            <w:tcW w:w="1334" w:type="dxa"/>
            <w:vMerge/>
            <w:tcBorders>
              <w:left w:val="single" w:sz="9" w:space="0" w:color="D2D2D2"/>
              <w:right w:val="single" w:sz="4" w:space="0" w:color="000000"/>
            </w:tcBorders>
          </w:tcPr>
          <w:p>
            <w:pPr/>
          </w:p>
        </w:tc>
      </w:tr>
      <w:tr>
        <w:trPr>
          <w:trHeight w:val="161" w:hRule="exact"/>
        </w:trPr>
        <w:tc>
          <w:tcPr>
            <w:tcW w:w="1949" w:type="dxa"/>
            <w:vMerge/>
            <w:tcBorders>
              <w:left w:val="single" w:sz="4" w:space="0" w:color="000000"/>
              <w:bottom w:val="single" w:sz="4" w:space="0" w:color="000000"/>
              <w:right w:val="single" w:sz="4" w:space="0" w:color="000000"/>
            </w:tcBorders>
            <w:shd w:val="clear" w:color="auto" w:fill="D2D2D2"/>
          </w:tcPr>
          <w:p>
            <w:pPr/>
          </w:p>
        </w:tc>
        <w:tc>
          <w:tcPr>
            <w:tcW w:w="1337" w:type="dxa"/>
            <w:vMerge/>
            <w:tcBorders>
              <w:left w:val="single" w:sz="13" w:space="0" w:color="D2D2D2"/>
              <w:bottom w:val="single" w:sz="4" w:space="0" w:color="000000"/>
              <w:right w:val="single" w:sz="9" w:space="0" w:color="D2D2D2"/>
            </w:tcBorders>
          </w:tcPr>
          <w:p>
            <w:pPr/>
          </w:p>
        </w:tc>
        <w:tc>
          <w:tcPr>
            <w:tcW w:w="412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334" w:type="dxa"/>
            <w:vMerge/>
            <w:tcBorders>
              <w:left w:val="single" w:sz="9" w:space="0" w:color="D2D2D2"/>
              <w:bottom w:val="single" w:sz="4" w:space="0" w:color="000000"/>
              <w:right w:val="single" w:sz="4" w:space="0" w:color="000000"/>
            </w:tcBorders>
          </w:tcPr>
          <w:p>
            <w:pPr/>
          </w:p>
        </w:tc>
      </w:tr>
      <w:tr>
        <w:trPr>
          <w:trHeight w:val="324"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337"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36"/>
              <w:ind w:right="9"/>
              <w:jc w:val="right"/>
              <w:rPr>
                <w:rFonts w:ascii="Arial Narrow" w:hAnsi="Arial Narrow" w:cs="Arial Narrow" w:eastAsia="Arial Narrow" w:hint="default"/>
                <w:sz w:val="21"/>
                <w:szCs w:val="21"/>
              </w:rPr>
            </w:pPr>
            <w:r>
              <w:rPr>
                <w:rFonts w:ascii="Arial Narrow"/>
                <w:spacing w:val="-1"/>
                <w:sz w:val="21"/>
              </w:rPr>
              <w:t>52,670,990.11</w:t>
            </w:r>
            <w:r>
              <w:rPr>
                <w:rFonts w:ascii="Arial Narrow"/>
                <w:sz w:val="21"/>
              </w:rPr>
            </w:r>
          </w:p>
        </w:tc>
        <w:tc>
          <w:tcPr>
            <w:tcW w:w="41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4"/>
              <w:jc w:val="center"/>
              <w:rPr>
                <w:rFonts w:ascii="Calibri" w:hAnsi="Calibri" w:cs="Calibri" w:eastAsia="Calibri" w:hint="default"/>
                <w:sz w:val="21"/>
                <w:szCs w:val="21"/>
              </w:rPr>
            </w:pPr>
            <w:r>
              <w:rPr>
                <w:rFonts w:ascii="Calibri"/>
                <w:sz w:val="21"/>
              </w:rPr>
              <w:t>--</w:t>
            </w:r>
          </w:p>
        </w:tc>
        <w:tc>
          <w:tcPr>
            <w:tcW w:w="1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68,654,812.89</w:t>
            </w:r>
            <w:r>
              <w:rPr>
                <w:rFonts w:ascii="Arial Narrow"/>
                <w:sz w:val="21"/>
              </w:rPr>
            </w: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655"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337"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34"/>
              <w:ind w:right="9"/>
              <w:jc w:val="right"/>
              <w:rPr>
                <w:rFonts w:ascii="Arial Narrow" w:hAnsi="Arial Narrow" w:cs="Arial Narrow" w:eastAsia="Arial Narrow" w:hint="default"/>
                <w:sz w:val="21"/>
                <w:szCs w:val="21"/>
              </w:rPr>
            </w:pPr>
            <w:r>
              <w:rPr>
                <w:rFonts w:ascii="Arial Narrow"/>
                <w:spacing w:val="-1"/>
                <w:sz w:val="21"/>
              </w:rPr>
              <w:t>8,735,622.09</w:t>
            </w:r>
            <w:r>
              <w:rPr>
                <w:rFonts w:ascii="Arial Narrow"/>
                <w:sz w:val="21"/>
              </w:rPr>
            </w:r>
          </w:p>
        </w:tc>
        <w:tc>
          <w:tcPr>
            <w:tcW w:w="41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Calibri" w:hAnsi="Calibri" w:cs="Calibri" w:eastAsia="Calibri" w:hint="default"/>
                <w:sz w:val="21"/>
                <w:szCs w:val="21"/>
              </w:rPr>
            </w:pPr>
            <w:r>
              <w:rPr>
                <w:rFonts w:ascii="Calibri"/>
                <w:sz w:val="21"/>
              </w:rPr>
              <w:t>--</w:t>
            </w:r>
          </w:p>
        </w:tc>
        <w:tc>
          <w:tcPr>
            <w:tcW w:w="1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2"/>
              <w:jc w:val="right"/>
              <w:rPr>
                <w:rFonts w:ascii="Arial Narrow" w:hAnsi="Arial Narrow" w:cs="Arial Narrow" w:eastAsia="Arial Narrow" w:hint="default"/>
                <w:sz w:val="21"/>
                <w:szCs w:val="21"/>
              </w:rPr>
            </w:pPr>
            <w:r>
              <w:rPr>
                <w:rFonts w:ascii="Arial Narrow"/>
                <w:spacing w:val="-1"/>
                <w:sz w:val="21"/>
              </w:rPr>
              <w:t>8,024,115.66</w:t>
            </w:r>
            <w:r>
              <w:rPr>
                <w:rFonts w:ascii="Arial Narrow"/>
                <w:sz w:val="21"/>
              </w:rPr>
            </w: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337"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33"/>
              <w:ind w:right="9"/>
              <w:jc w:val="right"/>
              <w:rPr>
                <w:rFonts w:ascii="Arial Narrow" w:hAnsi="Arial Narrow" w:cs="Arial Narrow" w:eastAsia="Arial Narrow" w:hint="default"/>
                <w:sz w:val="21"/>
                <w:szCs w:val="21"/>
              </w:rPr>
            </w:pPr>
            <w:r>
              <w:rPr>
                <w:rFonts w:ascii="Arial Narrow"/>
                <w:spacing w:val="-1"/>
                <w:sz w:val="21"/>
              </w:rPr>
              <w:t>529,982.41</w:t>
            </w:r>
            <w:r>
              <w:rPr>
                <w:rFonts w:ascii="Arial Narrow"/>
                <w:sz w:val="21"/>
              </w:rPr>
            </w:r>
          </w:p>
        </w:tc>
        <w:tc>
          <w:tcPr>
            <w:tcW w:w="41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Calibri" w:hAnsi="Calibri" w:cs="Calibri" w:eastAsia="Calibri" w:hint="default"/>
                <w:sz w:val="21"/>
                <w:szCs w:val="21"/>
              </w:rPr>
            </w:pPr>
            <w:r>
              <w:rPr>
                <w:rFonts w:ascii="Calibri"/>
                <w:sz w:val="21"/>
              </w:rPr>
              <w:t>--</w:t>
            </w:r>
          </w:p>
        </w:tc>
        <w:tc>
          <w:tcPr>
            <w:tcW w:w="1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728,542.20</w:t>
            </w:r>
            <w:r>
              <w:rPr>
                <w:rFonts w:ascii="Arial Narrow"/>
                <w:sz w:val="21"/>
              </w:rPr>
            </w: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四、减值准备合计</w:t>
            </w:r>
          </w:p>
        </w:tc>
        <w:tc>
          <w:tcPr>
            <w:tcW w:w="1337"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33"/>
              <w:ind w:right="11"/>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41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2"/>
              <w:jc w:val="center"/>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c>
          <w:tcPr>
            <w:tcW w:w="1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b/>
                <w:w w:val="100"/>
                <w:sz w:val="21"/>
              </w:rPr>
              <w:t>-</w:t>
            </w:r>
            <w:r>
              <w:rPr>
                <w:rFonts w:ascii="Arial Narrow"/>
                <w:w w:val="100"/>
                <w:sz w:val="21"/>
              </w:rPr>
            </w: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337"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33"/>
              <w:ind w:right="11"/>
              <w:jc w:val="right"/>
              <w:rPr>
                <w:rFonts w:ascii="Arial Narrow" w:hAnsi="Arial Narrow" w:cs="Arial Narrow" w:eastAsia="Arial Narrow" w:hint="default"/>
                <w:sz w:val="21"/>
                <w:szCs w:val="21"/>
              </w:rPr>
            </w:pPr>
            <w:r>
              <w:rPr>
                <w:rFonts w:ascii="Arial Narrow"/>
                <w:w w:val="100"/>
                <w:sz w:val="21"/>
              </w:rPr>
              <w:t>-</w:t>
            </w:r>
          </w:p>
        </w:tc>
        <w:tc>
          <w:tcPr>
            <w:tcW w:w="41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2"/>
              <w:jc w:val="center"/>
              <w:rPr>
                <w:rFonts w:ascii="Arial Narrow" w:hAnsi="Arial Narrow" w:cs="Arial Narrow" w:eastAsia="Arial Narrow" w:hint="default"/>
                <w:sz w:val="21"/>
                <w:szCs w:val="21"/>
              </w:rPr>
            </w:pPr>
            <w:r>
              <w:rPr>
                <w:rFonts w:ascii="Arial Narrow"/>
                <w:w w:val="100"/>
                <w:sz w:val="21"/>
              </w:rPr>
              <w:t>-</w:t>
            </w:r>
          </w:p>
        </w:tc>
        <w:tc>
          <w:tcPr>
            <w:tcW w:w="1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337"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33"/>
              <w:ind w:right="11"/>
              <w:jc w:val="right"/>
              <w:rPr>
                <w:rFonts w:ascii="Arial Narrow" w:hAnsi="Arial Narrow" w:cs="Arial Narrow" w:eastAsia="Arial Narrow" w:hint="default"/>
                <w:sz w:val="21"/>
                <w:szCs w:val="21"/>
              </w:rPr>
            </w:pPr>
            <w:r>
              <w:rPr>
                <w:rFonts w:ascii="Arial Narrow"/>
                <w:w w:val="100"/>
                <w:sz w:val="21"/>
              </w:rPr>
              <w:t>-</w:t>
            </w:r>
          </w:p>
        </w:tc>
        <w:tc>
          <w:tcPr>
            <w:tcW w:w="41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2"/>
              <w:jc w:val="center"/>
              <w:rPr>
                <w:rFonts w:ascii="Arial Narrow" w:hAnsi="Arial Narrow" w:cs="Arial Narrow" w:eastAsia="Arial Narrow" w:hint="default"/>
                <w:sz w:val="21"/>
                <w:szCs w:val="21"/>
              </w:rPr>
            </w:pPr>
            <w:r>
              <w:rPr>
                <w:rFonts w:ascii="Arial Narrow"/>
                <w:w w:val="100"/>
                <w:sz w:val="21"/>
              </w:rPr>
              <w:t>-</w:t>
            </w:r>
          </w:p>
        </w:tc>
        <w:tc>
          <w:tcPr>
            <w:tcW w:w="1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r>
      <w:tr>
        <w:trPr>
          <w:trHeight w:val="324"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337"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36"/>
              <w:ind w:right="11"/>
              <w:jc w:val="right"/>
              <w:rPr>
                <w:rFonts w:ascii="Arial Narrow" w:hAnsi="Arial Narrow" w:cs="Arial Narrow" w:eastAsia="Arial Narrow" w:hint="default"/>
                <w:sz w:val="21"/>
                <w:szCs w:val="21"/>
              </w:rPr>
            </w:pPr>
            <w:r>
              <w:rPr>
                <w:rFonts w:ascii="Arial Narrow"/>
                <w:w w:val="100"/>
                <w:sz w:val="21"/>
              </w:rPr>
              <w:t>-</w:t>
            </w:r>
          </w:p>
        </w:tc>
        <w:tc>
          <w:tcPr>
            <w:tcW w:w="41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right="2"/>
              <w:jc w:val="center"/>
              <w:rPr>
                <w:rFonts w:ascii="Arial Narrow" w:hAnsi="Arial Narrow" w:cs="Arial Narrow" w:eastAsia="Arial Narrow" w:hint="default"/>
                <w:sz w:val="21"/>
                <w:szCs w:val="21"/>
              </w:rPr>
            </w:pPr>
            <w:r>
              <w:rPr>
                <w:rFonts w:ascii="Arial Narrow"/>
                <w:w w:val="100"/>
                <w:sz w:val="21"/>
              </w:rPr>
              <w:t>-</w:t>
            </w:r>
          </w:p>
        </w:tc>
        <w:tc>
          <w:tcPr>
            <w:tcW w:w="1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w w:val="100"/>
                <w:sz w:val="21"/>
              </w:rPr>
              <w:t>-</w:t>
            </w:r>
          </w:p>
        </w:tc>
      </w:tr>
      <w:tr>
        <w:trPr>
          <w:trHeight w:val="161" w:hRule="exact"/>
        </w:trPr>
        <w:tc>
          <w:tcPr>
            <w:tcW w:w="1949"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z w:val="21"/>
                <w:szCs w:val="21"/>
              </w:rPr>
              <w:t>五、固定资产账面价</w:t>
            </w:r>
            <w:r>
              <w:rPr>
                <w:rFonts w:ascii="宋体" w:hAnsi="宋体" w:cs="宋体" w:eastAsia="宋体" w:hint="default"/>
                <w:w w:val="100"/>
                <w:sz w:val="21"/>
                <w:szCs w:val="21"/>
              </w:rPr>
              <w:t> </w:t>
            </w:r>
            <w:r>
              <w:rPr>
                <w:rFonts w:ascii="宋体" w:hAnsi="宋体" w:cs="宋体" w:eastAsia="宋体" w:hint="default"/>
                <w:sz w:val="21"/>
                <w:szCs w:val="21"/>
              </w:rPr>
              <w:t>值合计</w:t>
            </w:r>
          </w:p>
        </w:tc>
        <w:tc>
          <w:tcPr>
            <w:tcW w:w="1337" w:type="dxa"/>
            <w:vMerge w:val="restart"/>
            <w:tcBorders>
              <w:top w:val="single" w:sz="4" w:space="0" w:color="000000"/>
              <w:left w:val="single" w:sz="13" w:space="0" w:color="D2D2D2"/>
              <w:right w:val="single" w:sz="9" w:space="0" w:color="D2D2D2"/>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9" w:right="0"/>
              <w:jc w:val="left"/>
              <w:rPr>
                <w:rFonts w:ascii="Calibri" w:hAnsi="Calibri" w:cs="Calibri" w:eastAsia="Calibri" w:hint="default"/>
                <w:sz w:val="21"/>
                <w:szCs w:val="21"/>
              </w:rPr>
            </w:pPr>
            <w:r>
              <w:rPr>
                <w:rFonts w:ascii="Calibri"/>
                <w:sz w:val="21"/>
              </w:rPr>
              <w:t>61,936,594.61</w:t>
            </w:r>
          </w:p>
        </w:tc>
        <w:tc>
          <w:tcPr>
            <w:tcW w:w="412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1334" w:type="dxa"/>
            <w:vMerge w:val="restart"/>
            <w:tcBorders>
              <w:top w:val="single" w:sz="4" w:space="0" w:color="000000"/>
              <w:left w:val="single" w:sz="9" w:space="0" w:color="D2D2D2"/>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82" w:right="0"/>
              <w:jc w:val="left"/>
              <w:rPr>
                <w:rFonts w:ascii="Calibri" w:hAnsi="Calibri" w:cs="Calibri" w:eastAsia="Calibri" w:hint="default"/>
                <w:sz w:val="21"/>
                <w:szCs w:val="21"/>
              </w:rPr>
            </w:pPr>
            <w:r>
              <w:rPr>
                <w:rFonts w:ascii="Calibri"/>
                <w:sz w:val="21"/>
              </w:rPr>
              <w:t>77,407,470.75</w:t>
            </w:r>
          </w:p>
        </w:tc>
      </w:tr>
      <w:tr>
        <w:trPr>
          <w:trHeight w:val="312" w:hRule="exact"/>
        </w:trPr>
        <w:tc>
          <w:tcPr>
            <w:tcW w:w="1949" w:type="dxa"/>
            <w:vMerge/>
            <w:tcBorders>
              <w:left w:val="single" w:sz="4" w:space="0" w:color="000000"/>
              <w:right w:val="single" w:sz="4" w:space="0" w:color="000000"/>
            </w:tcBorders>
            <w:shd w:val="clear" w:color="auto" w:fill="D2D2D2"/>
          </w:tcPr>
          <w:p>
            <w:pPr/>
          </w:p>
        </w:tc>
        <w:tc>
          <w:tcPr>
            <w:tcW w:w="1337" w:type="dxa"/>
            <w:vMerge/>
            <w:tcBorders>
              <w:left w:val="single" w:sz="13" w:space="0" w:color="D2D2D2"/>
              <w:right w:val="single" w:sz="9" w:space="0" w:color="D2D2D2"/>
            </w:tcBorders>
          </w:tcPr>
          <w:p>
            <w:pPr/>
          </w:p>
        </w:tc>
        <w:tc>
          <w:tcPr>
            <w:tcW w:w="4129"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4"/>
              <w:jc w:val="center"/>
              <w:rPr>
                <w:rFonts w:ascii="Calibri" w:hAnsi="Calibri" w:cs="Calibri" w:eastAsia="Calibri" w:hint="default"/>
                <w:sz w:val="21"/>
                <w:szCs w:val="21"/>
              </w:rPr>
            </w:pPr>
            <w:r>
              <w:rPr>
                <w:rFonts w:ascii="Calibri"/>
                <w:sz w:val="21"/>
              </w:rPr>
              <w:t>--</w:t>
            </w:r>
          </w:p>
        </w:tc>
        <w:tc>
          <w:tcPr>
            <w:tcW w:w="1334" w:type="dxa"/>
            <w:vMerge/>
            <w:tcBorders>
              <w:left w:val="single" w:sz="9" w:space="0" w:color="D2D2D2"/>
              <w:right w:val="single" w:sz="4" w:space="0" w:color="000000"/>
            </w:tcBorders>
          </w:tcPr>
          <w:p>
            <w:pPr/>
          </w:p>
        </w:tc>
      </w:tr>
      <w:tr>
        <w:trPr>
          <w:trHeight w:val="161" w:hRule="exact"/>
        </w:trPr>
        <w:tc>
          <w:tcPr>
            <w:tcW w:w="1949" w:type="dxa"/>
            <w:vMerge/>
            <w:tcBorders>
              <w:left w:val="single" w:sz="4" w:space="0" w:color="000000"/>
              <w:bottom w:val="single" w:sz="4" w:space="0" w:color="000000"/>
              <w:right w:val="single" w:sz="4" w:space="0" w:color="000000"/>
            </w:tcBorders>
            <w:shd w:val="clear" w:color="auto" w:fill="D2D2D2"/>
          </w:tcPr>
          <w:p>
            <w:pPr/>
          </w:p>
        </w:tc>
        <w:tc>
          <w:tcPr>
            <w:tcW w:w="1337" w:type="dxa"/>
            <w:vMerge/>
            <w:tcBorders>
              <w:left w:val="single" w:sz="13" w:space="0" w:color="D2D2D2"/>
              <w:bottom w:val="single" w:sz="4" w:space="0" w:color="000000"/>
              <w:right w:val="single" w:sz="9" w:space="0" w:color="D2D2D2"/>
            </w:tcBorders>
          </w:tcPr>
          <w:p>
            <w:pPr/>
          </w:p>
        </w:tc>
        <w:tc>
          <w:tcPr>
            <w:tcW w:w="412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334" w:type="dxa"/>
            <w:vMerge/>
            <w:tcBorders>
              <w:left w:val="single" w:sz="9" w:space="0" w:color="D2D2D2"/>
              <w:bottom w:val="single" w:sz="4" w:space="0" w:color="000000"/>
              <w:right w:val="single" w:sz="4" w:space="0" w:color="000000"/>
            </w:tcBorders>
          </w:tcPr>
          <w:p>
            <w:pP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337"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33"/>
              <w:ind w:right="9"/>
              <w:jc w:val="right"/>
              <w:rPr>
                <w:rFonts w:ascii="Arial Narrow" w:hAnsi="Arial Narrow" w:cs="Arial Narrow" w:eastAsia="Arial Narrow" w:hint="default"/>
                <w:sz w:val="21"/>
                <w:szCs w:val="21"/>
              </w:rPr>
            </w:pPr>
            <w:r>
              <w:rPr>
                <w:rFonts w:ascii="Arial Narrow"/>
                <w:spacing w:val="-1"/>
                <w:sz w:val="21"/>
              </w:rPr>
              <w:t>52,670,990.11</w:t>
            </w:r>
            <w:r>
              <w:rPr>
                <w:rFonts w:ascii="Arial Narrow"/>
                <w:sz w:val="21"/>
              </w:rPr>
            </w:r>
          </w:p>
        </w:tc>
        <w:tc>
          <w:tcPr>
            <w:tcW w:w="41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Calibri" w:hAnsi="Calibri" w:cs="Calibri" w:eastAsia="Calibri" w:hint="default"/>
                <w:sz w:val="21"/>
                <w:szCs w:val="21"/>
              </w:rPr>
            </w:pPr>
            <w:r>
              <w:rPr>
                <w:rFonts w:ascii="Calibri"/>
                <w:sz w:val="21"/>
              </w:rPr>
              <w:t>--</w:t>
            </w:r>
          </w:p>
        </w:tc>
        <w:tc>
          <w:tcPr>
            <w:tcW w:w="1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68,654,812.89</w:t>
            </w:r>
            <w:r>
              <w:rPr>
                <w:rFonts w:ascii="Arial Narrow"/>
                <w:sz w:val="21"/>
              </w:rPr>
            </w: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337"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33"/>
              <w:ind w:right="9"/>
              <w:jc w:val="right"/>
              <w:rPr>
                <w:rFonts w:ascii="Arial Narrow" w:hAnsi="Arial Narrow" w:cs="Arial Narrow" w:eastAsia="Arial Narrow" w:hint="default"/>
                <w:sz w:val="21"/>
                <w:szCs w:val="21"/>
              </w:rPr>
            </w:pPr>
            <w:r>
              <w:rPr>
                <w:rFonts w:ascii="Arial Narrow"/>
                <w:spacing w:val="-1"/>
                <w:sz w:val="21"/>
              </w:rPr>
              <w:t>8,735,622.09</w:t>
            </w:r>
            <w:r>
              <w:rPr>
                <w:rFonts w:ascii="Arial Narrow"/>
                <w:sz w:val="21"/>
              </w:rPr>
            </w:r>
          </w:p>
        </w:tc>
        <w:tc>
          <w:tcPr>
            <w:tcW w:w="41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Calibri" w:hAnsi="Calibri" w:cs="Calibri" w:eastAsia="Calibri" w:hint="default"/>
                <w:sz w:val="21"/>
                <w:szCs w:val="21"/>
              </w:rPr>
            </w:pPr>
            <w:r>
              <w:rPr>
                <w:rFonts w:ascii="Calibri"/>
                <w:sz w:val="21"/>
              </w:rPr>
              <w:t>--</w:t>
            </w:r>
          </w:p>
        </w:tc>
        <w:tc>
          <w:tcPr>
            <w:tcW w:w="1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8,024,115.66</w:t>
            </w:r>
            <w:r>
              <w:rPr>
                <w:rFonts w:ascii="Arial Narrow"/>
                <w:sz w:val="21"/>
              </w:rPr>
            </w:r>
          </w:p>
        </w:tc>
      </w:tr>
      <w:tr>
        <w:trPr>
          <w:trHeight w:val="322"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655"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337" w:type="dxa"/>
            <w:tcBorders>
              <w:top w:val="single" w:sz="4" w:space="0" w:color="000000"/>
              <w:left w:val="single" w:sz="13" w:space="0" w:color="D2D2D2"/>
              <w:bottom w:val="single" w:sz="4" w:space="0" w:color="000000"/>
              <w:right w:val="single" w:sz="12" w:space="0" w:color="D2D2D2"/>
            </w:tcBorders>
          </w:tcPr>
          <w:p>
            <w:pPr>
              <w:pStyle w:val="TableParagraph"/>
              <w:spacing w:line="240" w:lineRule="auto" w:before="34"/>
              <w:ind w:right="9"/>
              <w:jc w:val="right"/>
              <w:rPr>
                <w:rFonts w:ascii="Arial Narrow" w:hAnsi="Arial Narrow" w:cs="Arial Narrow" w:eastAsia="Arial Narrow" w:hint="default"/>
                <w:sz w:val="21"/>
                <w:szCs w:val="21"/>
              </w:rPr>
            </w:pPr>
            <w:r>
              <w:rPr>
                <w:rFonts w:ascii="Arial Narrow"/>
                <w:spacing w:val="-1"/>
                <w:sz w:val="21"/>
              </w:rPr>
              <w:t>529,982.41</w:t>
            </w:r>
            <w:r>
              <w:rPr>
                <w:rFonts w:ascii="Arial Narrow"/>
                <w:sz w:val="21"/>
              </w:rPr>
            </w:r>
          </w:p>
        </w:tc>
        <w:tc>
          <w:tcPr>
            <w:tcW w:w="41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Calibri" w:hAnsi="Calibri" w:cs="Calibri" w:eastAsia="Calibri" w:hint="default"/>
                <w:sz w:val="21"/>
                <w:szCs w:val="21"/>
              </w:rPr>
            </w:pPr>
            <w:r>
              <w:rPr>
                <w:rFonts w:ascii="Calibri"/>
                <w:sz w:val="21"/>
              </w:rPr>
              <w:t>--</w:t>
            </w:r>
          </w:p>
        </w:tc>
        <w:tc>
          <w:tcPr>
            <w:tcW w:w="1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2"/>
              <w:jc w:val="right"/>
              <w:rPr>
                <w:rFonts w:ascii="Arial Narrow" w:hAnsi="Arial Narrow" w:cs="Arial Narrow" w:eastAsia="Arial Narrow" w:hint="default"/>
                <w:sz w:val="21"/>
                <w:szCs w:val="21"/>
              </w:rPr>
            </w:pPr>
            <w:r>
              <w:rPr>
                <w:rFonts w:ascii="Arial Narrow"/>
                <w:spacing w:val="-1"/>
                <w:sz w:val="21"/>
              </w:rPr>
              <w:t>728,542.20</w:t>
            </w:r>
            <w:r>
              <w:rPr>
                <w:rFonts w:ascii="Arial Narrow"/>
                <w:sz w:val="21"/>
              </w:rPr>
            </w:r>
          </w:p>
        </w:tc>
      </w:tr>
    </w:tbl>
    <w:p>
      <w:pPr>
        <w:spacing w:line="296"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本期折旧额</w:t>
      </w:r>
      <w:r>
        <w:rPr>
          <w:rFonts w:ascii="宋体" w:hAnsi="宋体" w:cs="宋体" w:eastAsia="宋体" w:hint="default"/>
          <w:spacing w:val="-55"/>
          <w:sz w:val="21"/>
          <w:szCs w:val="21"/>
        </w:rPr>
        <w:t> </w:t>
      </w:r>
      <w:r>
        <w:rPr>
          <w:rFonts w:ascii="Arial Narrow" w:hAnsi="Arial Narrow" w:cs="Arial Narrow" w:eastAsia="Arial Narrow" w:hint="default"/>
          <w:sz w:val="24"/>
          <w:szCs w:val="24"/>
        </w:rPr>
        <w:t>5,074,088.58</w:t>
      </w:r>
      <w:r>
        <w:rPr>
          <w:rFonts w:ascii="Arial Narrow" w:hAnsi="Arial Narrow" w:cs="Arial Narrow" w:eastAsia="Arial Narrow" w:hint="default"/>
          <w:spacing w:val="3"/>
          <w:sz w:val="24"/>
          <w:szCs w:val="24"/>
        </w:rPr>
        <w:t> </w:t>
      </w:r>
      <w:r>
        <w:rPr>
          <w:rFonts w:ascii="宋体" w:hAnsi="宋体" w:cs="宋体" w:eastAsia="宋体" w:hint="default"/>
          <w:sz w:val="21"/>
          <w:szCs w:val="21"/>
        </w:rPr>
        <w:t>元；本期由在建工程转入固定资产原价为</w:t>
      </w:r>
      <w:r>
        <w:rPr>
          <w:rFonts w:ascii="宋体" w:hAnsi="宋体" w:cs="宋体" w:eastAsia="宋体" w:hint="default"/>
          <w:spacing w:val="-55"/>
          <w:sz w:val="21"/>
          <w:szCs w:val="21"/>
        </w:rPr>
        <w:t> </w:t>
      </w:r>
      <w:r>
        <w:rPr>
          <w:rFonts w:ascii="Calibri" w:hAnsi="Calibri" w:cs="Calibri" w:eastAsia="Calibri" w:hint="default"/>
          <w:sz w:val="21"/>
          <w:szCs w:val="21"/>
        </w:rPr>
        <w:t>0</w:t>
      </w:r>
      <w:r>
        <w:rPr>
          <w:rFonts w:ascii="Calibri" w:hAnsi="Calibri" w:cs="Calibri" w:eastAsia="Calibri" w:hint="default"/>
          <w:spacing w:val="1"/>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23"/>
          <w:szCs w:val="23"/>
        </w:rPr>
      </w:pPr>
    </w:p>
    <w:p>
      <w:pPr>
        <w:spacing w:line="506" w:lineRule="auto" w:before="0"/>
        <w:ind w:left="558" w:right="5996"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）暂时闲置的固定资产情况</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无</w:t>
      </w:r>
    </w:p>
    <w:p>
      <w:pPr>
        <w:spacing w:line="506" w:lineRule="auto" w:before="104"/>
        <w:ind w:left="558" w:right="5455"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）通过融资租赁租入的固定资产</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sz w:val="21"/>
          <w:szCs w:val="21"/>
        </w:rPr>
        <w:t>无</w:t>
      </w:r>
    </w:p>
    <w:p>
      <w:pPr>
        <w:spacing w:after="0" w:line="506" w:lineRule="auto"/>
        <w:jc w:val="left"/>
        <w:rPr>
          <w:rFonts w:ascii="宋体" w:hAnsi="宋体" w:cs="宋体" w:eastAsia="宋体" w:hint="default"/>
          <w:sz w:val="21"/>
          <w:szCs w:val="21"/>
        </w:rPr>
        <w:sectPr>
          <w:pgSz w:w="11910" w:h="16840"/>
          <w:pgMar w:header="884" w:footer="1007" w:top="1160" w:bottom="1200" w:left="1240" w:right="1260"/>
        </w:sectPr>
      </w:pPr>
    </w:p>
    <w:p>
      <w:pPr>
        <w:spacing w:line="240" w:lineRule="auto" w:before="4"/>
        <w:rPr>
          <w:rFonts w:ascii="宋体" w:hAnsi="宋体" w:cs="宋体" w:eastAsia="宋体" w:hint="default"/>
          <w:sz w:val="16"/>
          <w:szCs w:val="16"/>
        </w:rPr>
      </w:pPr>
    </w:p>
    <w:p>
      <w:pPr>
        <w:spacing w:line="506" w:lineRule="auto" w:before="36"/>
        <w:ind w:left="558" w:right="6247"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）通过经营租赁租出的固定资产</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sz w:val="21"/>
          <w:szCs w:val="21"/>
        </w:rPr>
        <w:t>无</w:t>
      </w:r>
    </w:p>
    <w:p>
      <w:pPr>
        <w:spacing w:line="506" w:lineRule="auto" w:before="104"/>
        <w:ind w:left="558" w:right="6247"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）期末持有待售的固定资产情况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sz w:val="21"/>
          <w:szCs w:val="21"/>
        </w:rPr>
        <w:t>无</w:t>
      </w:r>
    </w:p>
    <w:p>
      <w:pPr>
        <w:spacing w:before="104"/>
        <w:ind w:left="558" w:right="8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）未办妥产权证书的固定资产情况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524" w:type="dxa"/>
        <w:tblLayout w:type="fixed"/>
        <w:tblCellMar>
          <w:top w:w="0" w:type="dxa"/>
          <w:left w:w="0" w:type="dxa"/>
          <w:bottom w:w="0" w:type="dxa"/>
          <w:right w:w="0" w:type="dxa"/>
        </w:tblCellMar>
        <w:tblLook w:val="01E0"/>
      </w:tblPr>
      <w:tblGrid>
        <w:gridCol w:w="4707"/>
        <w:gridCol w:w="2554"/>
        <w:gridCol w:w="1488"/>
      </w:tblGrid>
      <w:tr>
        <w:trPr>
          <w:trHeight w:val="634" w:hRule="exact"/>
        </w:trPr>
        <w:tc>
          <w:tcPr>
            <w:tcW w:w="4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326"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16" w:right="105" w:hanging="209"/>
              <w:jc w:val="left"/>
              <w:rPr>
                <w:rFonts w:ascii="宋体" w:hAnsi="宋体" w:cs="宋体" w:eastAsia="宋体" w:hint="default"/>
                <w:sz w:val="21"/>
                <w:szCs w:val="21"/>
              </w:rPr>
            </w:pPr>
            <w:r>
              <w:rPr>
                <w:rFonts w:ascii="宋体" w:hAnsi="宋体" w:cs="宋体" w:eastAsia="宋体" w:hint="default"/>
                <w:sz w:val="21"/>
                <w:szCs w:val="21"/>
              </w:rPr>
              <w:t>预计办结产权</w:t>
            </w:r>
            <w:r>
              <w:rPr>
                <w:rFonts w:ascii="宋体" w:hAnsi="宋体" w:cs="宋体" w:eastAsia="宋体" w:hint="default"/>
                <w:w w:val="100"/>
                <w:sz w:val="21"/>
                <w:szCs w:val="21"/>
              </w:rPr>
              <w:t> </w:t>
            </w:r>
            <w:r>
              <w:rPr>
                <w:rFonts w:ascii="宋体" w:hAnsi="宋体" w:cs="宋体" w:eastAsia="宋体" w:hint="default"/>
                <w:sz w:val="21"/>
                <w:szCs w:val="21"/>
              </w:rPr>
              <w:t>证书时间</w:t>
            </w:r>
          </w:p>
        </w:tc>
      </w:tr>
      <w:tr>
        <w:trPr>
          <w:trHeight w:val="322"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宋体" w:hAnsi="宋体" w:cs="宋体" w:eastAsia="宋体" w:hint="default"/>
                <w:sz w:val="21"/>
                <w:szCs w:val="21"/>
              </w:rPr>
              <w:t>朝阳区酒仙桥电子城</w:t>
            </w:r>
            <w:r>
              <w:rPr>
                <w:rFonts w:ascii="宋体" w:hAnsi="宋体" w:cs="宋体" w:eastAsia="宋体" w:hint="default"/>
                <w:spacing w:val="-53"/>
                <w:sz w:val="21"/>
                <w:szCs w:val="21"/>
              </w:rPr>
              <w:t> </w:t>
            </w:r>
            <w:r>
              <w:rPr>
                <w:rFonts w:ascii="Calibri" w:hAnsi="Calibri" w:cs="Calibri" w:eastAsia="Calibri" w:hint="default"/>
                <w:sz w:val="21"/>
                <w:szCs w:val="21"/>
              </w:rPr>
              <w:t>IT</w:t>
            </w:r>
            <w:r>
              <w:rPr>
                <w:rFonts w:ascii="Calibri" w:hAnsi="Calibri" w:cs="Calibri" w:eastAsia="Calibri" w:hint="default"/>
                <w:spacing w:val="6"/>
                <w:sz w:val="21"/>
                <w:szCs w:val="21"/>
              </w:rPr>
              <w: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Calibri" w:hAnsi="Calibri" w:cs="Calibri" w:eastAsia="Calibri" w:hint="default"/>
                <w:sz w:val="21"/>
                <w:szCs w:val="21"/>
              </w:rPr>
              <w:t>B1</w:t>
            </w:r>
            <w:r>
              <w:rPr>
                <w:rFonts w:ascii="Calibri" w:hAnsi="Calibri" w:cs="Calibri" w:eastAsia="Calibri" w:hint="default"/>
                <w:spacing w:val="3"/>
                <w:sz w:val="21"/>
                <w:szCs w:val="21"/>
              </w:rPr>
              <w:t> </w:t>
            </w:r>
            <w:r>
              <w:rPr>
                <w:rFonts w:ascii="宋体" w:hAnsi="宋体" w:cs="宋体" w:eastAsia="宋体" w:hint="default"/>
                <w:sz w:val="21"/>
                <w:szCs w:val="21"/>
              </w:rPr>
              <w:t>厂房三层</w:t>
            </w:r>
            <w:r>
              <w:rPr>
                <w:rFonts w:ascii="宋体" w:hAnsi="宋体" w:cs="宋体" w:eastAsia="宋体" w:hint="default"/>
                <w:spacing w:val="-55"/>
                <w:sz w:val="21"/>
                <w:szCs w:val="21"/>
              </w:rPr>
              <w:t> </w:t>
            </w:r>
            <w:r>
              <w:rPr>
                <w:rFonts w:ascii="Calibri" w:hAnsi="Calibri" w:cs="Calibri" w:eastAsia="Calibri" w:hint="default"/>
                <w:sz w:val="21"/>
                <w:szCs w:val="21"/>
              </w:rPr>
              <w:t>304</w:t>
            </w:r>
            <w:r>
              <w:rPr>
                <w:rFonts w:ascii="Calibri" w:hAnsi="Calibri" w:cs="Calibri" w:eastAsia="Calibri" w:hint="default"/>
                <w:spacing w:val="4"/>
                <w:sz w:val="21"/>
                <w:szCs w:val="21"/>
              </w:rPr>
              <w:t> </w:t>
            </w:r>
            <w:r>
              <w:rPr>
                <w:rFonts w:ascii="宋体" w:hAnsi="宋体" w:cs="宋体" w:eastAsia="宋体" w:hint="default"/>
                <w:sz w:val="21"/>
                <w:szCs w:val="21"/>
              </w:rPr>
              <w:t>号</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正在办理之中</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3"/>
                <w:sz w:val="21"/>
                <w:szCs w:val="21"/>
              </w:rPr>
              <w:t> </w:t>
            </w:r>
            <w:r>
              <w:rPr>
                <w:rFonts w:ascii="宋体" w:hAnsi="宋体" w:cs="宋体" w:eastAsia="宋体" w:hint="default"/>
                <w:sz w:val="21"/>
                <w:szCs w:val="21"/>
              </w:rPr>
              <w:t>年</w:t>
            </w:r>
          </w:p>
        </w:tc>
      </w:tr>
      <w:tr>
        <w:trPr>
          <w:trHeight w:val="322"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宋体" w:hAnsi="宋体" w:cs="宋体" w:eastAsia="宋体" w:hint="default"/>
                <w:sz w:val="21"/>
                <w:szCs w:val="21"/>
              </w:rPr>
              <w:t>朝阳区酒仙桥电子城</w:t>
            </w:r>
            <w:r>
              <w:rPr>
                <w:rFonts w:ascii="宋体" w:hAnsi="宋体" w:cs="宋体" w:eastAsia="宋体" w:hint="default"/>
                <w:spacing w:val="-53"/>
                <w:sz w:val="21"/>
                <w:szCs w:val="21"/>
              </w:rPr>
              <w:t> </w:t>
            </w:r>
            <w:r>
              <w:rPr>
                <w:rFonts w:ascii="Calibri" w:hAnsi="Calibri" w:cs="Calibri" w:eastAsia="Calibri" w:hint="default"/>
                <w:sz w:val="21"/>
                <w:szCs w:val="21"/>
              </w:rPr>
              <w:t>IT</w:t>
            </w:r>
            <w:r>
              <w:rPr>
                <w:rFonts w:ascii="Calibri" w:hAnsi="Calibri" w:cs="Calibri" w:eastAsia="Calibri" w:hint="default"/>
                <w:spacing w:val="6"/>
                <w:sz w:val="21"/>
                <w:szCs w:val="21"/>
              </w:rPr>
              <w: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Calibri" w:hAnsi="Calibri" w:cs="Calibri" w:eastAsia="Calibri" w:hint="default"/>
                <w:sz w:val="21"/>
                <w:szCs w:val="21"/>
              </w:rPr>
              <w:t>B1</w:t>
            </w:r>
            <w:r>
              <w:rPr>
                <w:rFonts w:ascii="Calibri" w:hAnsi="Calibri" w:cs="Calibri" w:eastAsia="Calibri" w:hint="default"/>
                <w:spacing w:val="3"/>
                <w:sz w:val="21"/>
                <w:szCs w:val="21"/>
              </w:rPr>
              <w:t> </w:t>
            </w:r>
            <w:r>
              <w:rPr>
                <w:rFonts w:ascii="宋体" w:hAnsi="宋体" w:cs="宋体" w:eastAsia="宋体" w:hint="default"/>
                <w:sz w:val="21"/>
                <w:szCs w:val="21"/>
              </w:rPr>
              <w:t>厂房三层</w:t>
            </w:r>
            <w:r>
              <w:rPr>
                <w:rFonts w:ascii="宋体" w:hAnsi="宋体" w:cs="宋体" w:eastAsia="宋体" w:hint="default"/>
                <w:spacing w:val="-55"/>
                <w:sz w:val="21"/>
                <w:szCs w:val="21"/>
              </w:rPr>
              <w:t> </w:t>
            </w:r>
            <w:r>
              <w:rPr>
                <w:rFonts w:ascii="Calibri" w:hAnsi="Calibri" w:cs="Calibri" w:eastAsia="Calibri" w:hint="default"/>
                <w:sz w:val="21"/>
                <w:szCs w:val="21"/>
              </w:rPr>
              <w:t>305</w:t>
            </w:r>
            <w:r>
              <w:rPr>
                <w:rFonts w:ascii="Calibri" w:hAnsi="Calibri" w:cs="Calibri" w:eastAsia="Calibri" w:hint="default"/>
                <w:spacing w:val="4"/>
                <w:sz w:val="21"/>
                <w:szCs w:val="21"/>
              </w:rPr>
              <w:t> </w:t>
            </w:r>
            <w:r>
              <w:rPr>
                <w:rFonts w:ascii="宋体" w:hAnsi="宋体" w:cs="宋体" w:eastAsia="宋体" w:hint="default"/>
                <w:sz w:val="21"/>
                <w:szCs w:val="21"/>
              </w:rPr>
              <w:t>号</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正在办理之中</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3"/>
                <w:sz w:val="21"/>
                <w:szCs w:val="21"/>
              </w:rPr>
              <w:t> </w:t>
            </w:r>
            <w:r>
              <w:rPr>
                <w:rFonts w:ascii="宋体" w:hAnsi="宋体" w:cs="宋体" w:eastAsia="宋体" w:hint="default"/>
                <w:sz w:val="21"/>
                <w:szCs w:val="21"/>
              </w:rPr>
              <w:t>年</w:t>
            </w:r>
          </w:p>
        </w:tc>
      </w:tr>
      <w:tr>
        <w:trPr>
          <w:trHeight w:val="322"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宋体" w:hAnsi="宋体" w:cs="宋体" w:eastAsia="宋体" w:hint="default"/>
                <w:sz w:val="21"/>
                <w:szCs w:val="21"/>
              </w:rPr>
              <w:t>朝阳区酒仙桥电子城</w:t>
            </w:r>
            <w:r>
              <w:rPr>
                <w:rFonts w:ascii="宋体" w:hAnsi="宋体" w:cs="宋体" w:eastAsia="宋体" w:hint="default"/>
                <w:spacing w:val="-53"/>
                <w:sz w:val="21"/>
                <w:szCs w:val="21"/>
              </w:rPr>
              <w:t> </w:t>
            </w:r>
            <w:r>
              <w:rPr>
                <w:rFonts w:ascii="Calibri" w:hAnsi="Calibri" w:cs="Calibri" w:eastAsia="Calibri" w:hint="default"/>
                <w:sz w:val="21"/>
                <w:szCs w:val="21"/>
              </w:rPr>
              <w:t>IT</w:t>
            </w:r>
            <w:r>
              <w:rPr>
                <w:rFonts w:ascii="Calibri" w:hAnsi="Calibri" w:cs="Calibri" w:eastAsia="Calibri" w:hint="default"/>
                <w:spacing w:val="6"/>
                <w:sz w:val="21"/>
                <w:szCs w:val="21"/>
              </w:rPr>
              <w: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Calibri" w:hAnsi="Calibri" w:cs="Calibri" w:eastAsia="Calibri" w:hint="default"/>
                <w:sz w:val="21"/>
                <w:szCs w:val="21"/>
              </w:rPr>
              <w:t>B1</w:t>
            </w:r>
            <w:r>
              <w:rPr>
                <w:rFonts w:ascii="Calibri" w:hAnsi="Calibri" w:cs="Calibri" w:eastAsia="Calibri" w:hint="default"/>
                <w:spacing w:val="3"/>
                <w:sz w:val="21"/>
                <w:szCs w:val="21"/>
              </w:rPr>
              <w:t> </w:t>
            </w:r>
            <w:r>
              <w:rPr>
                <w:rFonts w:ascii="宋体" w:hAnsi="宋体" w:cs="宋体" w:eastAsia="宋体" w:hint="default"/>
                <w:sz w:val="21"/>
                <w:szCs w:val="21"/>
              </w:rPr>
              <w:t>厂房三层</w:t>
            </w:r>
            <w:r>
              <w:rPr>
                <w:rFonts w:ascii="宋体" w:hAnsi="宋体" w:cs="宋体" w:eastAsia="宋体" w:hint="default"/>
                <w:spacing w:val="-55"/>
                <w:sz w:val="21"/>
                <w:szCs w:val="21"/>
              </w:rPr>
              <w:t> </w:t>
            </w:r>
            <w:r>
              <w:rPr>
                <w:rFonts w:ascii="Calibri" w:hAnsi="Calibri" w:cs="Calibri" w:eastAsia="Calibri" w:hint="default"/>
                <w:sz w:val="21"/>
                <w:szCs w:val="21"/>
              </w:rPr>
              <w:t>306</w:t>
            </w:r>
            <w:r>
              <w:rPr>
                <w:rFonts w:ascii="Calibri" w:hAnsi="Calibri" w:cs="Calibri" w:eastAsia="Calibri" w:hint="default"/>
                <w:spacing w:val="4"/>
                <w:sz w:val="21"/>
                <w:szCs w:val="21"/>
              </w:rPr>
              <w:t> </w:t>
            </w:r>
            <w:r>
              <w:rPr>
                <w:rFonts w:ascii="宋体" w:hAnsi="宋体" w:cs="宋体" w:eastAsia="宋体" w:hint="default"/>
                <w:sz w:val="21"/>
                <w:szCs w:val="21"/>
              </w:rPr>
              <w:t>号</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正在办理之中</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3"/>
                <w:sz w:val="21"/>
                <w:szCs w:val="21"/>
              </w:rPr>
              <w:t> </w:t>
            </w:r>
            <w:r>
              <w:rPr>
                <w:rFonts w:ascii="宋体" w:hAnsi="宋体" w:cs="宋体" w:eastAsia="宋体" w:hint="default"/>
                <w:sz w:val="21"/>
                <w:szCs w:val="21"/>
              </w:rPr>
              <w:t>年</w:t>
            </w:r>
          </w:p>
        </w:tc>
      </w:tr>
      <w:tr>
        <w:trPr>
          <w:trHeight w:val="322"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宋体" w:hAnsi="宋体" w:cs="宋体" w:eastAsia="宋体" w:hint="default"/>
                <w:sz w:val="21"/>
                <w:szCs w:val="21"/>
              </w:rPr>
              <w:t>朝阳区酒仙桥电子城</w:t>
            </w:r>
            <w:r>
              <w:rPr>
                <w:rFonts w:ascii="宋体" w:hAnsi="宋体" w:cs="宋体" w:eastAsia="宋体" w:hint="default"/>
                <w:spacing w:val="-53"/>
                <w:sz w:val="21"/>
                <w:szCs w:val="21"/>
              </w:rPr>
              <w:t> </w:t>
            </w:r>
            <w:r>
              <w:rPr>
                <w:rFonts w:ascii="Calibri" w:hAnsi="Calibri" w:cs="Calibri" w:eastAsia="Calibri" w:hint="default"/>
                <w:sz w:val="21"/>
                <w:szCs w:val="21"/>
              </w:rPr>
              <w:t>IT</w:t>
            </w:r>
            <w:r>
              <w:rPr>
                <w:rFonts w:ascii="Calibri" w:hAnsi="Calibri" w:cs="Calibri" w:eastAsia="Calibri" w:hint="default"/>
                <w:spacing w:val="6"/>
                <w:sz w:val="21"/>
                <w:szCs w:val="21"/>
              </w:rPr>
              <w: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Calibri" w:hAnsi="Calibri" w:cs="Calibri" w:eastAsia="Calibri" w:hint="default"/>
                <w:sz w:val="21"/>
                <w:szCs w:val="21"/>
              </w:rPr>
              <w:t>B1</w:t>
            </w:r>
            <w:r>
              <w:rPr>
                <w:rFonts w:ascii="Calibri" w:hAnsi="Calibri" w:cs="Calibri" w:eastAsia="Calibri" w:hint="default"/>
                <w:spacing w:val="3"/>
                <w:sz w:val="21"/>
                <w:szCs w:val="21"/>
              </w:rPr>
              <w:t> </w:t>
            </w:r>
            <w:r>
              <w:rPr>
                <w:rFonts w:ascii="宋体" w:hAnsi="宋体" w:cs="宋体" w:eastAsia="宋体" w:hint="default"/>
                <w:sz w:val="21"/>
                <w:szCs w:val="21"/>
              </w:rPr>
              <w:t>厂房四层</w:t>
            </w:r>
            <w:r>
              <w:rPr>
                <w:rFonts w:ascii="宋体" w:hAnsi="宋体" w:cs="宋体" w:eastAsia="宋体" w:hint="default"/>
                <w:spacing w:val="-55"/>
                <w:sz w:val="21"/>
                <w:szCs w:val="21"/>
              </w:rPr>
              <w:t> </w:t>
            </w:r>
            <w:r>
              <w:rPr>
                <w:rFonts w:ascii="Calibri" w:hAnsi="Calibri" w:cs="Calibri" w:eastAsia="Calibri" w:hint="default"/>
                <w:sz w:val="21"/>
                <w:szCs w:val="21"/>
              </w:rPr>
              <w:t>405</w:t>
            </w:r>
            <w:r>
              <w:rPr>
                <w:rFonts w:ascii="Calibri" w:hAnsi="Calibri" w:cs="Calibri" w:eastAsia="Calibri" w:hint="default"/>
                <w:spacing w:val="4"/>
                <w:sz w:val="21"/>
                <w:szCs w:val="21"/>
              </w:rPr>
              <w:t> </w:t>
            </w:r>
            <w:r>
              <w:rPr>
                <w:rFonts w:ascii="宋体" w:hAnsi="宋体" w:cs="宋体" w:eastAsia="宋体" w:hint="default"/>
                <w:sz w:val="21"/>
                <w:szCs w:val="21"/>
              </w:rPr>
              <w:t>号</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正在办理之中</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3"/>
                <w:sz w:val="21"/>
                <w:szCs w:val="21"/>
              </w:rPr>
              <w:t> </w:t>
            </w:r>
            <w:r>
              <w:rPr>
                <w:rFonts w:ascii="宋体" w:hAnsi="宋体" w:cs="宋体" w:eastAsia="宋体" w:hint="default"/>
                <w:sz w:val="21"/>
                <w:szCs w:val="21"/>
              </w:rPr>
              <w:t>年</w:t>
            </w:r>
          </w:p>
        </w:tc>
      </w:tr>
      <w:tr>
        <w:trPr>
          <w:trHeight w:val="324"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3" w:right="0"/>
              <w:jc w:val="left"/>
              <w:rPr>
                <w:rFonts w:ascii="宋体" w:hAnsi="宋体" w:cs="宋体" w:eastAsia="宋体" w:hint="default"/>
                <w:sz w:val="21"/>
                <w:szCs w:val="21"/>
              </w:rPr>
            </w:pPr>
            <w:r>
              <w:rPr>
                <w:rFonts w:ascii="宋体" w:hAnsi="宋体" w:cs="宋体" w:eastAsia="宋体" w:hint="default"/>
                <w:sz w:val="21"/>
                <w:szCs w:val="21"/>
              </w:rPr>
              <w:t>朝阳区酒仙桥电子城</w:t>
            </w:r>
            <w:r>
              <w:rPr>
                <w:rFonts w:ascii="宋体" w:hAnsi="宋体" w:cs="宋体" w:eastAsia="宋体" w:hint="default"/>
                <w:spacing w:val="-53"/>
                <w:sz w:val="21"/>
                <w:szCs w:val="21"/>
              </w:rPr>
              <w:t> </w:t>
            </w:r>
            <w:r>
              <w:rPr>
                <w:rFonts w:ascii="Calibri" w:hAnsi="Calibri" w:cs="Calibri" w:eastAsia="Calibri" w:hint="default"/>
                <w:sz w:val="21"/>
                <w:szCs w:val="21"/>
              </w:rPr>
              <w:t>IT</w:t>
            </w:r>
            <w:r>
              <w:rPr>
                <w:rFonts w:ascii="Calibri" w:hAnsi="Calibri" w:cs="Calibri" w:eastAsia="Calibri" w:hint="default"/>
                <w:spacing w:val="6"/>
                <w:sz w:val="21"/>
                <w:szCs w:val="21"/>
              </w:rPr>
              <w:t> </w:t>
            </w:r>
            <w:r>
              <w:rPr>
                <w:rFonts w:ascii="宋体" w:hAnsi="宋体" w:cs="宋体" w:eastAsia="宋体" w:hint="default"/>
                <w:sz w:val="21"/>
                <w:szCs w:val="21"/>
              </w:rPr>
              <w:t>产业园</w:t>
            </w:r>
            <w:r>
              <w:rPr>
                <w:rFonts w:ascii="宋体" w:hAnsi="宋体" w:cs="宋体" w:eastAsia="宋体" w:hint="default"/>
                <w:spacing w:val="-55"/>
                <w:sz w:val="21"/>
                <w:szCs w:val="21"/>
              </w:rPr>
              <w:t> </w:t>
            </w:r>
            <w:r>
              <w:rPr>
                <w:rFonts w:ascii="Calibri" w:hAnsi="Calibri" w:cs="Calibri" w:eastAsia="Calibri" w:hint="default"/>
                <w:sz w:val="21"/>
                <w:szCs w:val="21"/>
              </w:rPr>
              <w:t>B1</w:t>
            </w:r>
            <w:r>
              <w:rPr>
                <w:rFonts w:ascii="Calibri" w:hAnsi="Calibri" w:cs="Calibri" w:eastAsia="Calibri" w:hint="default"/>
                <w:spacing w:val="3"/>
                <w:sz w:val="21"/>
                <w:szCs w:val="21"/>
              </w:rPr>
              <w:t> </w:t>
            </w:r>
            <w:r>
              <w:rPr>
                <w:rFonts w:ascii="宋体" w:hAnsi="宋体" w:cs="宋体" w:eastAsia="宋体" w:hint="default"/>
                <w:sz w:val="21"/>
                <w:szCs w:val="21"/>
              </w:rPr>
              <w:t>厂房四层</w:t>
            </w:r>
            <w:r>
              <w:rPr>
                <w:rFonts w:ascii="宋体" w:hAnsi="宋体" w:cs="宋体" w:eastAsia="宋体" w:hint="default"/>
                <w:spacing w:val="-55"/>
                <w:sz w:val="21"/>
                <w:szCs w:val="21"/>
              </w:rPr>
              <w:t> </w:t>
            </w:r>
            <w:r>
              <w:rPr>
                <w:rFonts w:ascii="Calibri" w:hAnsi="Calibri" w:cs="Calibri" w:eastAsia="Calibri" w:hint="default"/>
                <w:sz w:val="21"/>
                <w:szCs w:val="21"/>
              </w:rPr>
              <w:t>406</w:t>
            </w:r>
            <w:r>
              <w:rPr>
                <w:rFonts w:ascii="Calibri" w:hAnsi="Calibri" w:cs="Calibri" w:eastAsia="Calibri" w:hint="default"/>
                <w:spacing w:val="4"/>
                <w:sz w:val="21"/>
                <w:szCs w:val="21"/>
              </w:rPr>
              <w:t> </w:t>
            </w:r>
            <w:r>
              <w:rPr>
                <w:rFonts w:ascii="宋体" w:hAnsi="宋体" w:cs="宋体" w:eastAsia="宋体" w:hint="default"/>
                <w:sz w:val="21"/>
                <w:szCs w:val="21"/>
              </w:rPr>
              <w:t>号</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正在办理之中</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right="0"/>
              <w:jc w:val="center"/>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3"/>
                <w:sz w:val="21"/>
                <w:szCs w:val="21"/>
              </w:rPr>
              <w:t> </w:t>
            </w:r>
            <w:r>
              <w:rPr>
                <w:rFonts w:ascii="宋体" w:hAnsi="宋体" w:cs="宋体" w:eastAsia="宋体" w:hint="default"/>
                <w:sz w:val="21"/>
                <w:szCs w:val="21"/>
              </w:rPr>
              <w:t>年</w:t>
            </w:r>
          </w:p>
        </w:tc>
      </w:tr>
      <w:tr>
        <w:trPr>
          <w:trHeight w:val="322"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宋体" w:hAnsi="宋体" w:cs="宋体" w:eastAsia="宋体" w:hint="default"/>
                <w:sz w:val="21"/>
                <w:szCs w:val="21"/>
              </w:rPr>
              <w:t>成都市高新区天府软件园</w:t>
            </w:r>
            <w:r>
              <w:rPr>
                <w:rFonts w:ascii="宋体" w:hAnsi="宋体" w:cs="宋体" w:eastAsia="宋体" w:hint="default"/>
                <w:spacing w:val="-55"/>
                <w:sz w:val="21"/>
                <w:szCs w:val="21"/>
              </w:rPr>
              <w:t> </w:t>
            </w:r>
            <w:r>
              <w:rPr>
                <w:rFonts w:ascii="Calibri" w:hAnsi="Calibri" w:cs="Calibri" w:eastAsia="Calibri" w:hint="default"/>
                <w:sz w:val="21"/>
                <w:szCs w:val="21"/>
              </w:rPr>
              <w:t>E6</w:t>
            </w:r>
            <w:r>
              <w:rPr>
                <w:rFonts w:ascii="Calibri" w:hAnsi="Calibri" w:cs="Calibri" w:eastAsia="Calibri" w:hint="default"/>
                <w:spacing w:val="3"/>
                <w:sz w:val="21"/>
                <w:szCs w:val="21"/>
              </w:rPr>
              <w:t> </w:t>
            </w:r>
            <w:r>
              <w:rPr>
                <w:rFonts w:ascii="宋体" w:hAnsi="宋体" w:cs="宋体" w:eastAsia="宋体" w:hint="default"/>
                <w:sz w:val="21"/>
                <w:szCs w:val="21"/>
              </w:rPr>
              <w:t>栋</w:t>
            </w:r>
            <w:r>
              <w:rPr>
                <w:rFonts w:ascii="宋体" w:hAnsi="宋体" w:cs="宋体" w:eastAsia="宋体" w:hint="default"/>
                <w:spacing w:val="-53"/>
                <w:sz w:val="21"/>
                <w:szCs w:val="21"/>
              </w:rPr>
              <w:t> </w:t>
            </w:r>
            <w:r>
              <w:rPr>
                <w:rFonts w:ascii="Calibri" w:hAnsi="Calibri" w:cs="Calibri" w:eastAsia="Calibri" w:hint="default"/>
                <w:sz w:val="21"/>
                <w:szCs w:val="21"/>
              </w:rPr>
              <w:t>6</w:t>
            </w:r>
            <w:r>
              <w:rPr>
                <w:rFonts w:ascii="Calibri" w:hAnsi="Calibri" w:cs="Calibri" w:eastAsia="Calibri" w:hint="default"/>
                <w:spacing w:val="3"/>
                <w:sz w:val="21"/>
                <w:szCs w:val="21"/>
              </w:rPr>
              <w:t> </w:t>
            </w:r>
            <w:r>
              <w:rPr>
                <w:rFonts w:ascii="宋体" w:hAnsi="宋体" w:cs="宋体" w:eastAsia="宋体" w:hint="default"/>
                <w:sz w:val="21"/>
                <w:szCs w:val="21"/>
              </w:rPr>
              <w:t>层</w:t>
            </w:r>
            <w:r>
              <w:rPr>
                <w:rFonts w:ascii="宋体" w:hAnsi="宋体" w:cs="宋体" w:eastAsia="宋体" w:hint="default"/>
                <w:spacing w:val="-55"/>
                <w:sz w:val="21"/>
                <w:szCs w:val="21"/>
              </w:rPr>
              <w:t> </w:t>
            </w:r>
            <w:r>
              <w:rPr>
                <w:rFonts w:ascii="Calibri" w:hAnsi="Calibri" w:cs="Calibri" w:eastAsia="Calibri" w:hint="default"/>
                <w:sz w:val="21"/>
                <w:szCs w:val="21"/>
              </w:rPr>
              <w:t>8-10</w:t>
            </w:r>
            <w:r>
              <w:rPr>
                <w:rFonts w:ascii="Calibri" w:hAnsi="Calibri" w:cs="Calibri" w:eastAsia="Calibri" w:hint="default"/>
                <w:spacing w:val="3"/>
                <w:sz w:val="21"/>
                <w:szCs w:val="21"/>
              </w:rPr>
              <w:t> </w:t>
            </w:r>
            <w:r>
              <w:rPr>
                <w:rFonts w:ascii="宋体" w:hAnsi="宋体" w:cs="宋体" w:eastAsia="宋体" w:hint="default"/>
                <w:sz w:val="21"/>
                <w:szCs w:val="21"/>
              </w:rPr>
              <w:t>号</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正在办理之中</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0"/>
              <w:jc w:val="center"/>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3"/>
                <w:sz w:val="21"/>
                <w:szCs w:val="21"/>
              </w:rPr>
              <w:t> </w:t>
            </w:r>
            <w:r>
              <w:rPr>
                <w:rFonts w:ascii="宋体" w:hAnsi="宋体" w:cs="宋体" w:eastAsia="宋体" w:hint="default"/>
                <w:sz w:val="21"/>
                <w:szCs w:val="21"/>
              </w:rPr>
              <w:t>年</w:t>
            </w:r>
          </w:p>
        </w:tc>
      </w:tr>
    </w:tbl>
    <w:p>
      <w:pPr>
        <w:spacing w:line="247" w:lineRule="auto" w:before="0"/>
        <w:ind w:left="558" w:right="86" w:firstLine="0"/>
        <w:jc w:val="left"/>
        <w:rPr>
          <w:rFonts w:ascii="宋体" w:hAnsi="宋体" w:cs="宋体" w:eastAsia="宋体" w:hint="default"/>
          <w:sz w:val="21"/>
          <w:szCs w:val="21"/>
        </w:rPr>
      </w:pPr>
      <w:r>
        <w:rPr>
          <w:rFonts w:ascii="宋体" w:hAnsi="宋体" w:cs="宋体" w:eastAsia="宋体" w:hint="default"/>
          <w:spacing w:val="-3"/>
          <w:sz w:val="21"/>
          <w:szCs w:val="21"/>
        </w:rPr>
        <w:t>固定资产说明：截至</w:t>
      </w:r>
      <w:r>
        <w:rPr>
          <w:rFonts w:ascii="宋体" w:hAnsi="宋体" w:cs="宋体" w:eastAsia="宋体" w:hint="default"/>
          <w:spacing w:val="-46"/>
          <w:sz w:val="21"/>
          <w:szCs w:val="21"/>
        </w:rPr>
        <w:t> </w:t>
      </w:r>
      <w:r>
        <w:rPr>
          <w:rFonts w:ascii="Calibri" w:hAnsi="Calibri" w:cs="Calibri" w:eastAsia="Calibri" w:hint="default"/>
          <w:sz w:val="21"/>
          <w:szCs w:val="21"/>
        </w:rPr>
        <w:t>2012</w:t>
      </w:r>
      <w:r>
        <w:rPr>
          <w:rFonts w:ascii="Calibri" w:hAnsi="Calibri" w:cs="Calibri" w:eastAsia="Calibri"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Calibri" w:hAnsi="Calibri" w:cs="Calibri" w:eastAsia="Calibri" w:hint="default"/>
          <w:sz w:val="21"/>
          <w:szCs w:val="21"/>
        </w:rPr>
        <w:t>12</w:t>
      </w:r>
      <w:r>
        <w:rPr>
          <w:rFonts w:ascii="Calibri" w:hAnsi="Calibri" w:cs="Calibri" w:eastAsia="Calibri"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Calibri" w:hAnsi="Calibri" w:cs="Calibri" w:eastAsia="Calibri" w:hint="default"/>
          <w:sz w:val="21"/>
          <w:szCs w:val="21"/>
        </w:rPr>
        <w:t>31</w:t>
      </w:r>
      <w:r>
        <w:rPr>
          <w:rFonts w:ascii="Calibri" w:hAnsi="Calibri" w:cs="Calibri" w:eastAsia="Calibri" w:hint="default"/>
          <w:spacing w:val="12"/>
          <w:sz w:val="21"/>
          <w:szCs w:val="21"/>
        </w:rPr>
        <w:t> </w:t>
      </w:r>
      <w:r>
        <w:rPr>
          <w:rFonts w:ascii="宋体" w:hAnsi="宋体" w:cs="宋体" w:eastAsia="宋体" w:hint="default"/>
          <w:spacing w:val="-3"/>
          <w:sz w:val="21"/>
          <w:szCs w:val="21"/>
        </w:rPr>
        <w:t>日，本公司固定资产未发生减值情况，故未计提固定资产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减值准备。</w:t>
      </w:r>
    </w:p>
    <w:p>
      <w:pPr>
        <w:spacing w:line="240" w:lineRule="auto" w:before="4"/>
        <w:rPr>
          <w:rFonts w:ascii="宋体" w:hAnsi="宋体" w:cs="宋体" w:eastAsia="宋体" w:hint="default"/>
          <w:sz w:val="25"/>
          <w:szCs w:val="25"/>
        </w:rPr>
      </w:pPr>
    </w:p>
    <w:p>
      <w:pPr>
        <w:spacing w:before="0"/>
        <w:ind w:left="558" w:right="66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18</w:t>
      </w:r>
      <w:r>
        <w:rPr>
          <w:rFonts w:ascii="宋体" w:hAnsi="宋体" w:cs="宋体" w:eastAsia="宋体" w:hint="default"/>
          <w:b/>
          <w:bCs/>
          <w:sz w:val="21"/>
          <w:szCs w:val="21"/>
        </w:rPr>
        <w:t>、在建工程</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58" w:right="662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99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956"/>
        <w:gridCol w:w="1385"/>
        <w:gridCol w:w="972"/>
        <w:gridCol w:w="1388"/>
        <w:gridCol w:w="974"/>
        <w:gridCol w:w="975"/>
        <w:gridCol w:w="1099"/>
      </w:tblGrid>
      <w:tr>
        <w:trPr>
          <w:trHeight w:val="322" w:hRule="exact"/>
        </w:trPr>
        <w:tc>
          <w:tcPr>
            <w:tcW w:w="1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4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0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1956" w:type="dxa"/>
            <w:vMerge/>
            <w:tcBorders>
              <w:left w:val="single" w:sz="4" w:space="0" w:color="000000"/>
              <w:bottom w:val="single" w:sz="4" w:space="0" w:color="000000"/>
              <w:right w:val="single" w:sz="4" w:space="0" w:color="000000"/>
            </w:tcBorders>
            <w:shd w:val="clear" w:color="auto" w:fill="D2D2D2"/>
          </w:tcPr>
          <w:p>
            <w:pP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64"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59"/>
              <w:jc w:val="righ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c>
          <w:tcPr>
            <w:tcW w:w="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60"/>
              <w:jc w:val="righ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62"/>
              <w:jc w:val="right"/>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22" w:right="0"/>
              <w:jc w:val="left"/>
              <w:rPr>
                <w:rFonts w:ascii="宋体" w:hAnsi="宋体" w:cs="宋体" w:eastAsia="宋体" w:hint="default"/>
                <w:sz w:val="21"/>
                <w:szCs w:val="21"/>
              </w:rPr>
            </w:pPr>
            <w:r>
              <w:rPr>
                <w:rFonts w:ascii="宋体" w:hAnsi="宋体" w:cs="宋体" w:eastAsia="宋体" w:hint="default"/>
                <w:b/>
                <w:bCs/>
                <w:sz w:val="21"/>
                <w:szCs w:val="21"/>
              </w:rPr>
              <w:t>账面价值</w:t>
            </w:r>
            <w:r>
              <w:rPr>
                <w:rFonts w:ascii="宋体" w:hAnsi="宋体" w:cs="宋体" w:eastAsia="宋体" w:hint="default"/>
                <w:sz w:val="21"/>
                <w:szCs w:val="21"/>
              </w:rPr>
            </w:r>
          </w:p>
        </w:tc>
      </w:tr>
      <w:tr>
        <w:trPr>
          <w:trHeight w:val="636" w:hRule="exact"/>
        </w:trPr>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3" w:right="23"/>
              <w:jc w:val="left"/>
              <w:rPr>
                <w:rFonts w:ascii="宋体" w:hAnsi="宋体" w:cs="宋体" w:eastAsia="宋体" w:hint="default"/>
                <w:sz w:val="21"/>
                <w:szCs w:val="21"/>
              </w:rPr>
            </w:pPr>
            <w:r>
              <w:rPr>
                <w:rFonts w:ascii="宋体" w:hAnsi="宋体" w:cs="宋体" w:eastAsia="宋体" w:hint="default"/>
                <w:sz w:val="21"/>
                <w:szCs w:val="21"/>
              </w:rPr>
              <w:t>酒仙桥电子城</w:t>
            </w:r>
            <w:r>
              <w:rPr>
                <w:rFonts w:ascii="宋体" w:hAnsi="宋体" w:cs="宋体" w:eastAsia="宋体" w:hint="default"/>
                <w:spacing w:val="-74"/>
                <w:sz w:val="21"/>
                <w:szCs w:val="21"/>
              </w:rPr>
              <w:t> </w:t>
            </w:r>
            <w:r>
              <w:rPr>
                <w:rFonts w:ascii="Calibri" w:hAnsi="Calibri" w:cs="Calibri" w:eastAsia="Calibri" w:hint="default"/>
                <w:sz w:val="21"/>
                <w:szCs w:val="21"/>
              </w:rPr>
              <w:t>IT</w:t>
            </w:r>
            <w:r>
              <w:rPr>
                <w:rFonts w:ascii="Calibri" w:hAnsi="Calibri" w:cs="Calibri" w:eastAsia="Calibri" w:hint="default"/>
                <w:spacing w:val="-15"/>
                <w:sz w:val="21"/>
                <w:szCs w:val="21"/>
              </w:rPr>
              <w:t> </w:t>
            </w:r>
            <w:r>
              <w:rPr>
                <w:rFonts w:ascii="宋体" w:hAnsi="宋体" w:cs="宋体" w:eastAsia="宋体" w:hint="default"/>
                <w:spacing w:val="-3"/>
                <w:sz w:val="21"/>
                <w:szCs w:val="21"/>
              </w:rPr>
              <w:t>产业</w:t>
            </w:r>
            <w:r>
              <w:rPr>
                <w:rFonts w:ascii="宋体" w:hAnsi="宋体" w:cs="宋体" w:eastAsia="宋体" w:hint="default"/>
                <w:spacing w:val="-3"/>
                <w:w w:val="100"/>
                <w:sz w:val="21"/>
                <w:szCs w:val="21"/>
              </w:rPr>
              <w:t> </w:t>
            </w:r>
            <w:r>
              <w:rPr>
                <w:rFonts w:ascii="宋体" w:hAnsi="宋体" w:cs="宋体" w:eastAsia="宋体" w:hint="default"/>
                <w:sz w:val="21"/>
                <w:szCs w:val="21"/>
              </w:rPr>
              <w:t>园</w:t>
            </w:r>
            <w:r>
              <w:rPr>
                <w:rFonts w:ascii="宋体" w:hAnsi="宋体" w:cs="宋体" w:eastAsia="宋体" w:hint="default"/>
                <w:spacing w:val="-53"/>
                <w:sz w:val="21"/>
                <w:szCs w:val="21"/>
              </w:rPr>
              <w:t> </w:t>
            </w:r>
            <w:r>
              <w:rPr>
                <w:rFonts w:ascii="Calibri" w:hAnsi="Calibri" w:cs="Calibri" w:eastAsia="Calibri" w:hint="default"/>
                <w:sz w:val="21"/>
                <w:szCs w:val="21"/>
              </w:rPr>
              <w:t>A7</w:t>
            </w:r>
            <w:r>
              <w:rPr>
                <w:rFonts w:ascii="Calibri" w:hAnsi="Calibri" w:cs="Calibri" w:eastAsia="Calibri" w:hint="default"/>
                <w:spacing w:val="6"/>
                <w:sz w:val="21"/>
                <w:szCs w:val="21"/>
              </w:rPr>
              <w:t> </w:t>
            </w:r>
            <w:r>
              <w:rPr>
                <w:rFonts w:ascii="宋体" w:hAnsi="宋体" w:cs="宋体" w:eastAsia="宋体" w:hint="default"/>
                <w:sz w:val="21"/>
                <w:szCs w:val="21"/>
              </w:rPr>
              <w:t>楼</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4"/>
              <w:jc w:val="right"/>
              <w:rPr>
                <w:rFonts w:ascii="Calibri" w:hAnsi="Calibri" w:cs="Calibri" w:eastAsia="Calibri" w:hint="default"/>
                <w:sz w:val="21"/>
                <w:szCs w:val="21"/>
              </w:rPr>
            </w:pPr>
            <w:r>
              <w:rPr>
                <w:rFonts w:ascii="Calibri"/>
                <w:spacing w:val="-2"/>
                <w:sz w:val="21"/>
              </w:rPr>
              <w:t>194,250,236.00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194,250,236.00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4"/>
              <w:jc w:val="right"/>
              <w:rPr>
                <w:rFonts w:ascii="Calibri" w:hAnsi="Calibri" w:cs="Calibri" w:eastAsia="Calibri" w:hint="default"/>
                <w:sz w:val="21"/>
                <w:szCs w:val="21"/>
              </w:rPr>
            </w:pPr>
            <w:r>
              <w:rPr>
                <w:rFonts w:ascii="Calibri"/>
                <w:w w:val="100"/>
                <w:sz w:val="21"/>
              </w:rPr>
              <w:t>-</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r>
      <w:tr>
        <w:trPr>
          <w:trHeight w:val="322"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194,250,236.00</w:t>
            </w:r>
            <w:r>
              <w:rPr>
                <w:rFonts w:ascii="Arial Narrow"/>
                <w:sz w:val="21"/>
              </w:rPr>
            </w:r>
          </w:p>
        </w:tc>
        <w:tc>
          <w:tcPr>
            <w:tcW w:w="972"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194,250,236.00</w:t>
            </w:r>
          </w:p>
        </w:tc>
        <w:tc>
          <w:tcPr>
            <w:tcW w:w="974"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558" w:right="8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）重大在建工程项目变动情况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99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553" w:type="dxa"/>
        <w:tblLayout w:type="fixed"/>
        <w:tblCellMar>
          <w:top w:w="0" w:type="dxa"/>
          <w:left w:w="0" w:type="dxa"/>
          <w:bottom w:w="0" w:type="dxa"/>
          <w:right w:w="0" w:type="dxa"/>
        </w:tblCellMar>
        <w:tblLook w:val="01E0"/>
      </w:tblPr>
      <w:tblGrid>
        <w:gridCol w:w="734"/>
        <w:gridCol w:w="1393"/>
        <w:gridCol w:w="283"/>
        <w:gridCol w:w="1277"/>
        <w:gridCol w:w="425"/>
        <w:gridCol w:w="425"/>
        <w:gridCol w:w="612"/>
        <w:gridCol w:w="523"/>
        <w:gridCol w:w="566"/>
        <w:gridCol w:w="708"/>
        <w:gridCol w:w="567"/>
        <w:gridCol w:w="569"/>
        <w:gridCol w:w="1483"/>
      </w:tblGrid>
      <w:tr>
        <w:trPr>
          <w:trHeight w:val="1883"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73" w:lineRule="auto"/>
              <w:ind w:left="254" w:right="45" w:hanging="212"/>
              <w:jc w:val="left"/>
              <w:rPr>
                <w:rFonts w:ascii="宋体" w:hAnsi="宋体" w:cs="宋体" w:eastAsia="宋体" w:hint="default"/>
                <w:sz w:val="21"/>
                <w:szCs w:val="21"/>
              </w:rPr>
            </w:pPr>
            <w:r>
              <w:rPr>
                <w:rFonts w:ascii="宋体" w:hAnsi="宋体" w:cs="宋体" w:eastAsia="宋体" w:hint="default"/>
                <w:b/>
                <w:bCs/>
                <w:sz w:val="21"/>
                <w:szCs w:val="21"/>
              </w:rPr>
              <w:t>项目名</w:t>
            </w:r>
            <w:r>
              <w:rPr>
                <w:rFonts w:ascii="宋体" w:hAnsi="宋体" w:cs="宋体" w:eastAsia="宋体" w:hint="default"/>
                <w:b/>
                <w:bCs/>
                <w:w w:val="100"/>
                <w:sz w:val="21"/>
                <w:szCs w:val="21"/>
              </w:rPr>
              <w:t> </w:t>
            </w:r>
            <w:r>
              <w:rPr>
                <w:rFonts w:ascii="宋体" w:hAnsi="宋体" w:cs="宋体" w:eastAsia="宋体" w:hint="default"/>
                <w:b/>
                <w:bCs/>
                <w:sz w:val="21"/>
                <w:szCs w:val="21"/>
              </w:rPr>
              <w:t>称</w:t>
            </w:r>
            <w:r>
              <w:rPr>
                <w:rFonts w:ascii="宋体" w:hAnsi="宋体" w:cs="宋体" w:eastAsia="宋体" w:hint="default"/>
                <w:sz w:val="21"/>
                <w:szCs w:val="21"/>
              </w:rPr>
            </w:r>
          </w:p>
        </w:tc>
        <w:tc>
          <w:tcPr>
            <w:tcW w:w="1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b/>
                <w:bCs/>
                <w:sz w:val="21"/>
                <w:szCs w:val="21"/>
              </w:rPr>
              <w:t>预算数</w:t>
            </w:r>
            <w:r>
              <w:rPr>
                <w:rFonts w:ascii="宋体" w:hAnsi="宋体" w:cs="宋体" w:eastAsia="宋体" w:hint="default"/>
                <w:sz w:val="21"/>
                <w:szCs w:val="21"/>
              </w:rPr>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73" w:lineRule="auto"/>
              <w:ind w:left="31" w:right="29"/>
              <w:jc w:val="both"/>
              <w:rPr>
                <w:rFonts w:ascii="宋体" w:hAnsi="宋体" w:cs="宋体" w:eastAsia="宋体" w:hint="default"/>
                <w:sz w:val="21"/>
                <w:szCs w:val="21"/>
              </w:rPr>
            </w:pPr>
            <w:r>
              <w:rPr>
                <w:rFonts w:ascii="宋体" w:hAnsi="宋体" w:cs="宋体" w:eastAsia="宋体" w:hint="default"/>
                <w:b/>
                <w:bCs/>
                <w:sz w:val="21"/>
                <w:szCs w:val="21"/>
              </w:rPr>
              <w:t>期</w:t>
            </w:r>
            <w:r>
              <w:rPr>
                <w:rFonts w:ascii="宋体" w:hAnsi="宋体" w:cs="宋体" w:eastAsia="宋体" w:hint="default"/>
                <w:b/>
                <w:bCs/>
                <w:w w:val="100"/>
                <w:sz w:val="21"/>
                <w:szCs w:val="21"/>
              </w:rPr>
              <w:t> </w:t>
            </w:r>
            <w:r>
              <w:rPr>
                <w:rFonts w:ascii="宋体" w:hAnsi="宋体" w:cs="宋体" w:eastAsia="宋体" w:hint="default"/>
                <w:b/>
                <w:bCs/>
                <w:sz w:val="21"/>
                <w:szCs w:val="21"/>
              </w:rPr>
              <w:t>初</w:t>
            </w:r>
            <w:r>
              <w:rPr>
                <w:rFonts w:ascii="宋体" w:hAnsi="宋体" w:cs="宋体" w:eastAsia="宋体" w:hint="default"/>
                <w:b/>
                <w:bCs/>
                <w:w w:val="100"/>
                <w:sz w:val="21"/>
                <w:szCs w:val="21"/>
              </w:rPr>
              <w:t> </w:t>
            </w:r>
            <w:r>
              <w:rPr>
                <w:rFonts w:ascii="宋体" w:hAnsi="宋体" w:cs="宋体" w:eastAsia="宋体" w:hint="default"/>
                <w:b/>
                <w:bCs/>
                <w:sz w:val="21"/>
                <w:szCs w:val="21"/>
              </w:rPr>
              <w:t>数</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b/>
                <w:bCs/>
                <w:sz w:val="21"/>
                <w:szCs w:val="21"/>
              </w:rPr>
              <w:t>转</w:t>
            </w:r>
            <w:r>
              <w:rPr>
                <w:rFonts w:ascii="宋体" w:hAnsi="宋体" w:cs="宋体" w:eastAsia="宋体" w:hint="default"/>
                <w:b/>
                <w:bCs/>
                <w:w w:val="100"/>
                <w:sz w:val="21"/>
                <w:szCs w:val="21"/>
              </w:rPr>
              <w:t> </w:t>
            </w:r>
            <w:r>
              <w:rPr>
                <w:rFonts w:ascii="宋体" w:hAnsi="宋体" w:cs="宋体" w:eastAsia="宋体" w:hint="default"/>
                <w:b/>
                <w:bCs/>
                <w:sz w:val="21"/>
                <w:szCs w:val="21"/>
              </w:rPr>
              <w:t>入</w:t>
            </w:r>
            <w:r>
              <w:rPr>
                <w:rFonts w:ascii="宋体" w:hAnsi="宋体" w:cs="宋体" w:eastAsia="宋体" w:hint="default"/>
                <w:b/>
                <w:bCs/>
                <w:w w:val="100"/>
                <w:sz w:val="21"/>
                <w:szCs w:val="21"/>
              </w:rPr>
              <w:t> </w:t>
            </w:r>
            <w:r>
              <w:rPr>
                <w:rFonts w:ascii="宋体" w:hAnsi="宋体" w:cs="宋体" w:eastAsia="宋体" w:hint="default"/>
                <w:b/>
                <w:bCs/>
                <w:sz w:val="21"/>
                <w:szCs w:val="21"/>
              </w:rPr>
              <w:t>固</w:t>
            </w:r>
            <w:r>
              <w:rPr>
                <w:rFonts w:ascii="宋体" w:hAnsi="宋体" w:cs="宋体" w:eastAsia="宋体" w:hint="default"/>
                <w:b/>
                <w:bCs/>
                <w:w w:val="100"/>
                <w:sz w:val="21"/>
                <w:szCs w:val="21"/>
              </w:rPr>
              <w:t> </w:t>
            </w:r>
            <w:r>
              <w:rPr>
                <w:rFonts w:ascii="宋体" w:hAnsi="宋体" w:cs="宋体" w:eastAsia="宋体" w:hint="default"/>
                <w:b/>
                <w:bCs/>
                <w:sz w:val="21"/>
                <w:szCs w:val="21"/>
              </w:rPr>
              <w:t>定</w:t>
            </w:r>
            <w:r>
              <w:rPr>
                <w:rFonts w:ascii="宋体" w:hAnsi="宋体" w:cs="宋体" w:eastAsia="宋体" w:hint="default"/>
                <w:b/>
                <w:bCs/>
                <w:w w:val="100"/>
                <w:sz w:val="21"/>
                <w:szCs w:val="21"/>
              </w:rPr>
              <w:t> </w:t>
            </w:r>
            <w:r>
              <w:rPr>
                <w:rFonts w:ascii="宋体" w:hAnsi="宋体" w:cs="宋体" w:eastAsia="宋体" w:hint="default"/>
                <w:b/>
                <w:bCs/>
                <w:sz w:val="21"/>
                <w:szCs w:val="21"/>
              </w:rPr>
              <w:t>资</w:t>
            </w:r>
            <w:r>
              <w:rPr>
                <w:rFonts w:ascii="宋体" w:hAnsi="宋体" w:cs="宋体" w:eastAsia="宋体" w:hint="default"/>
                <w:b/>
                <w:bCs/>
                <w:w w:val="100"/>
                <w:sz w:val="21"/>
                <w:szCs w:val="21"/>
              </w:rPr>
              <w:t> </w:t>
            </w:r>
            <w:r>
              <w:rPr>
                <w:rFonts w:ascii="宋体" w:hAnsi="宋体" w:cs="宋体" w:eastAsia="宋体" w:hint="default"/>
                <w:b/>
                <w:bCs/>
                <w:sz w:val="21"/>
                <w:szCs w:val="21"/>
              </w:rPr>
              <w:t>产</w:t>
            </w:r>
            <w:r>
              <w:rPr>
                <w:rFonts w:ascii="宋体" w:hAnsi="宋体" w:cs="宋体" w:eastAsia="宋体" w:hint="default"/>
                <w:sz w:val="21"/>
                <w:szCs w:val="21"/>
              </w:rPr>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100" w:right="101"/>
              <w:jc w:val="both"/>
              <w:rPr>
                <w:rFonts w:ascii="宋体" w:hAnsi="宋体" w:cs="宋体" w:eastAsia="宋体" w:hint="default"/>
                <w:sz w:val="21"/>
                <w:szCs w:val="21"/>
              </w:rPr>
            </w:pPr>
            <w:r>
              <w:rPr>
                <w:rFonts w:ascii="宋体" w:hAnsi="宋体" w:cs="宋体" w:eastAsia="宋体" w:hint="default"/>
                <w:b/>
                <w:bCs/>
                <w:sz w:val="21"/>
                <w:szCs w:val="21"/>
              </w:rPr>
              <w:t>其</w:t>
            </w:r>
            <w:r>
              <w:rPr>
                <w:rFonts w:ascii="宋体" w:hAnsi="宋体" w:cs="宋体" w:eastAsia="宋体" w:hint="default"/>
                <w:b/>
                <w:bCs/>
                <w:w w:val="100"/>
                <w:sz w:val="21"/>
                <w:szCs w:val="21"/>
              </w:rPr>
              <w:t> </w:t>
            </w:r>
            <w:r>
              <w:rPr>
                <w:rFonts w:ascii="宋体" w:hAnsi="宋体" w:cs="宋体" w:eastAsia="宋体" w:hint="default"/>
                <w:b/>
                <w:bCs/>
                <w:sz w:val="21"/>
                <w:szCs w:val="21"/>
              </w:rPr>
              <w:t>他</w:t>
            </w:r>
            <w:r>
              <w:rPr>
                <w:rFonts w:ascii="宋体" w:hAnsi="宋体" w:cs="宋体" w:eastAsia="宋体" w:hint="default"/>
                <w:b/>
                <w:bCs/>
                <w:w w:val="100"/>
                <w:sz w:val="21"/>
                <w:szCs w:val="21"/>
              </w:rPr>
              <w:t> </w:t>
            </w:r>
            <w:r>
              <w:rPr>
                <w:rFonts w:ascii="宋体" w:hAnsi="宋体" w:cs="宋体" w:eastAsia="宋体" w:hint="default"/>
                <w:b/>
                <w:bCs/>
                <w:sz w:val="21"/>
                <w:szCs w:val="21"/>
              </w:rPr>
              <w:t>减</w:t>
            </w:r>
            <w:r>
              <w:rPr>
                <w:rFonts w:ascii="宋体" w:hAnsi="宋体" w:cs="宋体" w:eastAsia="宋体" w:hint="default"/>
                <w:b/>
                <w:bCs/>
                <w:w w:val="100"/>
                <w:sz w:val="21"/>
                <w:szCs w:val="21"/>
              </w:rPr>
              <w:t> </w:t>
            </w:r>
            <w:r>
              <w:rPr>
                <w:rFonts w:ascii="宋体" w:hAnsi="宋体" w:cs="宋体" w:eastAsia="宋体" w:hint="default"/>
                <w:b/>
                <w:bCs/>
                <w:sz w:val="21"/>
                <w:szCs w:val="21"/>
              </w:rPr>
              <w:t>少</w:t>
            </w:r>
            <w:r>
              <w:rPr>
                <w:rFonts w:ascii="宋体" w:hAnsi="宋体" w:cs="宋体" w:eastAsia="宋体" w:hint="default"/>
                <w:sz w:val="21"/>
                <w:szCs w:val="21"/>
              </w:rPr>
            </w: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50" w:right="51" w:firstLine="36"/>
              <w:jc w:val="both"/>
              <w:rPr>
                <w:rFonts w:ascii="Calibri" w:hAnsi="Calibri" w:cs="Calibri" w:eastAsia="Calibri" w:hint="default"/>
                <w:sz w:val="21"/>
                <w:szCs w:val="21"/>
              </w:rPr>
            </w:pPr>
            <w:r>
              <w:rPr>
                <w:rFonts w:ascii="宋体" w:hAnsi="宋体" w:cs="宋体" w:eastAsia="宋体" w:hint="default"/>
                <w:b/>
                <w:bCs/>
                <w:sz w:val="21"/>
                <w:szCs w:val="21"/>
              </w:rPr>
              <w:t>工程</w:t>
            </w:r>
            <w:r>
              <w:rPr>
                <w:rFonts w:ascii="宋体" w:hAnsi="宋体" w:cs="宋体" w:eastAsia="宋体" w:hint="default"/>
                <w:b/>
                <w:bCs/>
                <w:w w:val="100"/>
                <w:sz w:val="21"/>
                <w:szCs w:val="21"/>
              </w:rPr>
              <w:t> </w:t>
            </w:r>
            <w:r>
              <w:rPr>
                <w:rFonts w:ascii="宋体" w:hAnsi="宋体" w:cs="宋体" w:eastAsia="宋体" w:hint="default"/>
                <w:b/>
                <w:bCs/>
                <w:sz w:val="21"/>
                <w:szCs w:val="21"/>
              </w:rPr>
              <w:t>投入</w:t>
            </w:r>
            <w:r>
              <w:rPr>
                <w:rFonts w:ascii="宋体" w:hAnsi="宋体" w:cs="宋体" w:eastAsia="宋体" w:hint="default"/>
                <w:b/>
                <w:bCs/>
                <w:w w:val="100"/>
                <w:sz w:val="21"/>
                <w:szCs w:val="21"/>
              </w:rPr>
              <w:t> </w:t>
            </w:r>
            <w:r>
              <w:rPr>
                <w:rFonts w:ascii="宋体" w:hAnsi="宋体" w:cs="宋体" w:eastAsia="宋体" w:hint="default"/>
                <w:b/>
                <w:bCs/>
                <w:sz w:val="21"/>
                <w:szCs w:val="21"/>
              </w:rPr>
              <w:t>占预</w:t>
            </w:r>
            <w:r>
              <w:rPr>
                <w:rFonts w:ascii="宋体" w:hAnsi="宋体" w:cs="宋体" w:eastAsia="宋体" w:hint="default"/>
                <w:b/>
                <w:bCs/>
                <w:w w:val="100"/>
                <w:sz w:val="21"/>
                <w:szCs w:val="21"/>
              </w:rPr>
              <w:t> </w:t>
            </w:r>
            <w:r>
              <w:rPr>
                <w:rFonts w:ascii="宋体" w:hAnsi="宋体" w:cs="宋体" w:eastAsia="宋体" w:hint="default"/>
                <w:b/>
                <w:bCs/>
                <w:sz w:val="21"/>
                <w:szCs w:val="21"/>
              </w:rPr>
              <w:t>算比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Calibri" w:hAnsi="Calibri" w:cs="Calibri" w:eastAsia="Calibri" w:hint="default"/>
                <w:b/>
                <w:bCs/>
                <w:sz w:val="21"/>
                <w:szCs w:val="21"/>
              </w:rPr>
              <w:t>(%)</w:t>
            </w:r>
            <w:r>
              <w:rPr>
                <w:rFonts w:ascii="Calibri" w:hAnsi="Calibri" w:cs="Calibri" w:eastAsia="Calibri" w:hint="default"/>
                <w:sz w:val="21"/>
                <w:szCs w:val="21"/>
              </w:rPr>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43" w:right="47"/>
              <w:jc w:val="center"/>
              <w:rPr>
                <w:rFonts w:ascii="宋体" w:hAnsi="宋体" w:cs="宋体" w:eastAsia="宋体" w:hint="default"/>
                <w:sz w:val="21"/>
                <w:szCs w:val="21"/>
              </w:rPr>
            </w:pPr>
            <w:r>
              <w:rPr>
                <w:rFonts w:ascii="宋体" w:hAnsi="宋体" w:cs="宋体" w:eastAsia="宋体" w:hint="default"/>
                <w:b/>
                <w:bCs/>
                <w:sz w:val="21"/>
                <w:szCs w:val="21"/>
              </w:rPr>
              <w:t>工程</w:t>
            </w:r>
            <w:r>
              <w:rPr>
                <w:rFonts w:ascii="宋体" w:hAnsi="宋体" w:cs="宋体" w:eastAsia="宋体" w:hint="default"/>
                <w:b/>
                <w:bCs/>
                <w:w w:val="100"/>
                <w:sz w:val="21"/>
                <w:szCs w:val="21"/>
              </w:rPr>
              <w:t> </w:t>
            </w:r>
            <w:r>
              <w:rPr>
                <w:rFonts w:ascii="宋体" w:hAnsi="宋体" w:cs="宋体" w:eastAsia="宋体" w:hint="default"/>
                <w:b/>
                <w:bCs/>
                <w:sz w:val="21"/>
                <w:szCs w:val="21"/>
              </w:rPr>
              <w:t>进度</w:t>
            </w:r>
            <w:r>
              <w:rPr>
                <w:rFonts w:ascii="宋体" w:hAnsi="宋体" w:cs="宋体" w:eastAsia="宋体" w:hint="default"/>
                <w:sz w:val="21"/>
                <w:szCs w:val="21"/>
              </w:rPr>
            </w:r>
          </w:p>
          <w:p>
            <w:pPr>
              <w:pStyle w:val="TableParagraph"/>
              <w:spacing w:line="240" w:lineRule="auto" w:before="7"/>
              <w:ind w:left="71" w:right="0"/>
              <w:jc w:val="left"/>
              <w:rPr>
                <w:rFonts w:ascii="Calibri" w:hAnsi="Calibri" w:cs="Calibri" w:eastAsia="Calibri" w:hint="default"/>
                <w:sz w:val="21"/>
                <w:szCs w:val="21"/>
              </w:rPr>
            </w:pP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Calibri" w:hAnsi="Calibri" w:cs="Calibri" w:eastAsia="Calibri" w:hint="default"/>
                <w:sz w:val="21"/>
                <w:szCs w:val="21"/>
              </w:rPr>
            </w:r>
          </w:p>
          <w:p>
            <w:pPr>
              <w:pStyle w:val="TableParagraph"/>
              <w:spacing w:line="240" w:lineRule="auto" w:before="10"/>
              <w:ind w:right="2"/>
              <w:jc w:val="center"/>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64" w:right="67"/>
              <w:jc w:val="both"/>
              <w:rPr>
                <w:rFonts w:ascii="宋体" w:hAnsi="宋体" w:cs="宋体" w:eastAsia="宋体" w:hint="default"/>
                <w:sz w:val="21"/>
                <w:szCs w:val="21"/>
              </w:rPr>
            </w:pPr>
            <w:r>
              <w:rPr>
                <w:rFonts w:ascii="宋体" w:hAnsi="宋体" w:cs="宋体" w:eastAsia="宋体" w:hint="default"/>
                <w:b/>
                <w:bCs/>
                <w:sz w:val="21"/>
                <w:szCs w:val="21"/>
              </w:rPr>
              <w:t>利息</w:t>
            </w:r>
            <w:r>
              <w:rPr>
                <w:rFonts w:ascii="宋体" w:hAnsi="宋体" w:cs="宋体" w:eastAsia="宋体" w:hint="default"/>
                <w:b/>
                <w:bCs/>
                <w:w w:val="100"/>
                <w:sz w:val="21"/>
                <w:szCs w:val="21"/>
              </w:rPr>
              <w:t> </w:t>
            </w:r>
            <w:r>
              <w:rPr>
                <w:rFonts w:ascii="宋体" w:hAnsi="宋体" w:cs="宋体" w:eastAsia="宋体" w:hint="default"/>
                <w:b/>
                <w:bCs/>
                <w:sz w:val="21"/>
                <w:szCs w:val="21"/>
              </w:rPr>
              <w:t>资本</w:t>
            </w:r>
            <w:r>
              <w:rPr>
                <w:rFonts w:ascii="宋体" w:hAnsi="宋体" w:cs="宋体" w:eastAsia="宋体" w:hint="default"/>
                <w:b/>
                <w:bCs/>
                <w:w w:val="100"/>
                <w:sz w:val="21"/>
                <w:szCs w:val="21"/>
              </w:rPr>
              <w:t> </w:t>
            </w:r>
            <w:r>
              <w:rPr>
                <w:rFonts w:ascii="宋体" w:hAnsi="宋体" w:cs="宋体" w:eastAsia="宋体" w:hint="default"/>
                <w:b/>
                <w:bCs/>
                <w:sz w:val="21"/>
                <w:szCs w:val="21"/>
              </w:rPr>
              <w:t>化累</w:t>
            </w:r>
            <w:r>
              <w:rPr>
                <w:rFonts w:ascii="宋体" w:hAnsi="宋体" w:cs="宋体" w:eastAsia="宋体" w:hint="default"/>
                <w:b/>
                <w:bCs/>
                <w:w w:val="100"/>
                <w:sz w:val="21"/>
                <w:szCs w:val="21"/>
              </w:rPr>
              <w:t> </w:t>
            </w:r>
            <w:r>
              <w:rPr>
                <w:rFonts w:ascii="宋体" w:hAnsi="宋体" w:cs="宋体" w:eastAsia="宋体" w:hint="default"/>
                <w:b/>
                <w:bCs/>
                <w:sz w:val="21"/>
                <w:szCs w:val="21"/>
              </w:rPr>
              <w:t>计金</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22"/>
                <w:szCs w:val="22"/>
              </w:rPr>
            </w:pPr>
          </w:p>
          <w:p>
            <w:pPr>
              <w:pStyle w:val="TableParagraph"/>
              <w:spacing w:line="273" w:lineRule="auto"/>
              <w:ind w:left="31" w:right="31"/>
              <w:jc w:val="both"/>
              <w:rPr>
                <w:rFonts w:ascii="宋体" w:hAnsi="宋体" w:cs="宋体" w:eastAsia="宋体" w:hint="default"/>
                <w:sz w:val="21"/>
                <w:szCs w:val="21"/>
              </w:rPr>
            </w:pPr>
            <w:r>
              <w:rPr>
                <w:rFonts w:ascii="宋体" w:hAnsi="宋体" w:cs="宋体" w:eastAsia="宋体" w:hint="default"/>
                <w:b/>
                <w:bCs/>
                <w:sz w:val="21"/>
                <w:szCs w:val="21"/>
              </w:rPr>
              <w:t>其中：</w:t>
            </w:r>
            <w:r>
              <w:rPr>
                <w:rFonts w:ascii="宋体" w:hAnsi="宋体" w:cs="宋体" w:eastAsia="宋体" w:hint="default"/>
                <w:b/>
                <w:bCs/>
                <w:w w:val="100"/>
                <w:sz w:val="21"/>
                <w:szCs w:val="21"/>
              </w:rPr>
              <w:t> </w:t>
            </w:r>
            <w:r>
              <w:rPr>
                <w:rFonts w:ascii="宋体" w:hAnsi="宋体" w:cs="宋体" w:eastAsia="宋体" w:hint="default"/>
                <w:b/>
                <w:bCs/>
                <w:sz w:val="21"/>
                <w:szCs w:val="21"/>
              </w:rPr>
              <w:t>本期利</w:t>
            </w:r>
            <w:r>
              <w:rPr>
                <w:rFonts w:ascii="宋体" w:hAnsi="宋体" w:cs="宋体" w:eastAsia="宋体" w:hint="default"/>
                <w:b/>
                <w:bCs/>
                <w:w w:val="100"/>
                <w:sz w:val="21"/>
                <w:szCs w:val="21"/>
              </w:rPr>
              <w:t> </w:t>
            </w:r>
            <w:r>
              <w:rPr>
                <w:rFonts w:ascii="宋体" w:hAnsi="宋体" w:cs="宋体" w:eastAsia="宋体" w:hint="default"/>
                <w:b/>
                <w:bCs/>
                <w:sz w:val="21"/>
                <w:szCs w:val="21"/>
              </w:rPr>
              <w:t>息资本</w:t>
            </w:r>
            <w:r>
              <w:rPr>
                <w:rFonts w:ascii="宋体" w:hAnsi="宋体" w:cs="宋体" w:eastAsia="宋体" w:hint="default"/>
                <w:b/>
                <w:bCs/>
                <w:w w:val="100"/>
                <w:sz w:val="21"/>
                <w:szCs w:val="21"/>
              </w:rPr>
              <w:t> </w:t>
            </w:r>
            <w:r>
              <w:rPr>
                <w:rFonts w:ascii="宋体" w:hAnsi="宋体" w:cs="宋体" w:eastAsia="宋体" w:hint="default"/>
                <w:b/>
                <w:bCs/>
                <w:sz w:val="21"/>
                <w:szCs w:val="21"/>
              </w:rPr>
              <w:t>化金额</w:t>
            </w:r>
            <w:r>
              <w:rPr>
                <w:rFonts w:ascii="宋体" w:hAnsi="宋体" w:cs="宋体" w:eastAsia="宋体" w:hint="default"/>
                <w:sz w:val="21"/>
                <w:szCs w:val="21"/>
              </w:rPr>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4"/>
              <w:ind w:left="67" w:right="65"/>
              <w:jc w:val="both"/>
              <w:rPr>
                <w:rFonts w:ascii="宋体" w:hAnsi="宋体" w:cs="宋体" w:eastAsia="宋体" w:hint="default"/>
                <w:sz w:val="21"/>
                <w:szCs w:val="21"/>
              </w:rPr>
            </w:pPr>
            <w:r>
              <w:rPr>
                <w:rFonts w:ascii="宋体" w:hAnsi="宋体" w:cs="宋体" w:eastAsia="宋体" w:hint="default"/>
                <w:b/>
                <w:bCs/>
                <w:sz w:val="21"/>
                <w:szCs w:val="21"/>
              </w:rPr>
              <w:t>本期</w:t>
            </w:r>
            <w:r>
              <w:rPr>
                <w:rFonts w:ascii="宋体" w:hAnsi="宋体" w:cs="宋体" w:eastAsia="宋体" w:hint="default"/>
                <w:b/>
                <w:bCs/>
                <w:w w:val="100"/>
                <w:sz w:val="21"/>
                <w:szCs w:val="21"/>
              </w:rPr>
              <w:t> </w:t>
            </w:r>
            <w:r>
              <w:rPr>
                <w:rFonts w:ascii="宋体" w:hAnsi="宋体" w:cs="宋体" w:eastAsia="宋体" w:hint="default"/>
                <w:b/>
                <w:bCs/>
                <w:sz w:val="21"/>
                <w:szCs w:val="21"/>
              </w:rPr>
              <w:t>利息</w:t>
            </w:r>
            <w:r>
              <w:rPr>
                <w:rFonts w:ascii="宋体" w:hAnsi="宋体" w:cs="宋体" w:eastAsia="宋体" w:hint="default"/>
                <w:b/>
                <w:bCs/>
                <w:w w:val="100"/>
                <w:sz w:val="21"/>
                <w:szCs w:val="21"/>
              </w:rPr>
              <w:t> </w:t>
            </w:r>
            <w:r>
              <w:rPr>
                <w:rFonts w:ascii="宋体" w:hAnsi="宋体" w:cs="宋体" w:eastAsia="宋体" w:hint="default"/>
                <w:b/>
                <w:bCs/>
                <w:sz w:val="21"/>
                <w:szCs w:val="21"/>
              </w:rPr>
              <w:t>资本</w:t>
            </w:r>
            <w:r>
              <w:rPr>
                <w:rFonts w:ascii="宋体" w:hAnsi="宋体" w:cs="宋体" w:eastAsia="宋体" w:hint="default"/>
                <w:b/>
                <w:bCs/>
                <w:w w:val="100"/>
                <w:sz w:val="21"/>
                <w:szCs w:val="21"/>
              </w:rPr>
              <w:t> </w:t>
            </w:r>
            <w:r>
              <w:rPr>
                <w:rFonts w:ascii="宋体" w:hAnsi="宋体" w:cs="宋体" w:eastAsia="宋体" w:hint="default"/>
                <w:b/>
                <w:bCs/>
                <w:sz w:val="21"/>
                <w:szCs w:val="21"/>
              </w:rPr>
              <w:t>化率</w:t>
            </w:r>
            <w:r>
              <w:rPr>
                <w:rFonts w:ascii="宋体" w:hAnsi="宋体" w:cs="宋体" w:eastAsia="宋体" w:hint="default"/>
                <w:sz w:val="21"/>
                <w:szCs w:val="21"/>
              </w:rPr>
            </w:r>
          </w:p>
          <w:p>
            <w:pPr>
              <w:pStyle w:val="TableParagraph"/>
              <w:spacing w:line="240" w:lineRule="auto" w:before="48"/>
              <w:ind w:left="137" w:right="0"/>
              <w:jc w:val="both"/>
              <w:rPr>
                <w:rFonts w:ascii="Calibri" w:hAnsi="Calibri" w:cs="Calibri" w:eastAsia="Calibri" w:hint="default"/>
                <w:sz w:val="21"/>
                <w:szCs w:val="21"/>
              </w:rPr>
            </w:pPr>
            <w:r>
              <w:rPr>
                <w:rFonts w:ascii="Calibri"/>
                <w:b/>
                <w:sz w:val="21"/>
              </w:rPr>
              <w:t>(%)</w:t>
            </w:r>
            <w:r>
              <w:rPr>
                <w:rFonts w:ascii="Calibri"/>
                <w:sz w:val="21"/>
              </w:rPr>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73" w:lineRule="auto"/>
              <w:ind w:left="67" w:right="67"/>
              <w:jc w:val="left"/>
              <w:rPr>
                <w:rFonts w:ascii="宋体" w:hAnsi="宋体" w:cs="宋体" w:eastAsia="宋体" w:hint="default"/>
                <w:sz w:val="21"/>
                <w:szCs w:val="21"/>
              </w:rPr>
            </w:pPr>
            <w:r>
              <w:rPr>
                <w:rFonts w:ascii="宋体" w:hAnsi="宋体" w:cs="宋体" w:eastAsia="宋体" w:hint="default"/>
                <w:b/>
                <w:bCs/>
                <w:sz w:val="21"/>
                <w:szCs w:val="21"/>
              </w:rPr>
              <w:t>资金</w:t>
            </w:r>
            <w:r>
              <w:rPr>
                <w:rFonts w:ascii="宋体" w:hAnsi="宋体" w:cs="宋体" w:eastAsia="宋体" w:hint="default"/>
                <w:b/>
                <w:bCs/>
                <w:w w:val="100"/>
                <w:sz w:val="21"/>
                <w:szCs w:val="21"/>
              </w:rPr>
              <w:t> </w:t>
            </w:r>
            <w:r>
              <w:rPr>
                <w:rFonts w:ascii="宋体" w:hAnsi="宋体" w:cs="宋体" w:eastAsia="宋体" w:hint="default"/>
                <w:b/>
                <w:bCs/>
                <w:sz w:val="21"/>
                <w:szCs w:val="21"/>
              </w:rPr>
              <w:t>来源</w:t>
            </w:r>
            <w:r>
              <w:rPr>
                <w:rFonts w:ascii="宋体" w:hAnsi="宋体" w:cs="宋体" w:eastAsia="宋体" w:hint="default"/>
                <w:sz w:val="21"/>
                <w:szCs w:val="21"/>
              </w:rPr>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946"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67"/>
              <w:jc w:val="both"/>
              <w:rPr>
                <w:rFonts w:ascii="宋体" w:hAnsi="宋体" w:cs="宋体" w:eastAsia="宋体" w:hint="default"/>
                <w:sz w:val="21"/>
                <w:szCs w:val="21"/>
              </w:rPr>
            </w:pPr>
            <w:r>
              <w:rPr>
                <w:rFonts w:ascii="宋体" w:hAnsi="宋体" w:cs="宋体" w:eastAsia="宋体" w:hint="default"/>
                <w:sz w:val="21"/>
                <w:szCs w:val="21"/>
              </w:rPr>
              <w:t>酒仙桥</w:t>
            </w:r>
            <w:r>
              <w:rPr>
                <w:rFonts w:ascii="宋体" w:hAnsi="宋体" w:cs="宋体" w:eastAsia="宋体" w:hint="default"/>
                <w:spacing w:val="-102"/>
                <w:sz w:val="21"/>
                <w:szCs w:val="21"/>
              </w:rPr>
              <w:t> </w:t>
            </w:r>
            <w:r>
              <w:rPr>
                <w:rFonts w:ascii="宋体" w:hAnsi="宋体" w:cs="宋体" w:eastAsia="宋体" w:hint="default"/>
                <w:sz w:val="21"/>
                <w:szCs w:val="21"/>
              </w:rPr>
              <w:t>电子城</w:t>
            </w:r>
            <w:r>
              <w:rPr>
                <w:rFonts w:ascii="宋体" w:hAnsi="宋体" w:cs="宋体" w:eastAsia="宋体" w:hint="default"/>
                <w:spacing w:val="-102"/>
                <w:sz w:val="21"/>
                <w:szCs w:val="21"/>
              </w:rPr>
              <w:t> </w:t>
            </w:r>
            <w:r>
              <w:rPr>
                <w:rFonts w:ascii="Calibri" w:hAnsi="Calibri" w:cs="Calibri" w:eastAsia="Calibri" w:hint="default"/>
                <w:sz w:val="21"/>
                <w:szCs w:val="21"/>
              </w:rPr>
              <w:t>IT</w:t>
            </w:r>
            <w:r>
              <w:rPr>
                <w:rFonts w:ascii="Calibri" w:hAnsi="Calibri" w:cs="Calibri" w:eastAsia="Calibri" w:hint="default"/>
                <w:spacing w:val="7"/>
                <w:sz w:val="21"/>
                <w:szCs w:val="21"/>
              </w:rPr>
              <w:t> </w:t>
            </w:r>
            <w:r>
              <w:rPr>
                <w:rFonts w:ascii="宋体" w:hAnsi="宋体" w:cs="宋体" w:eastAsia="宋体" w:hint="default"/>
                <w:sz w:val="21"/>
                <w:szCs w:val="21"/>
              </w:rPr>
              <w:t>产业</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63" w:right="0"/>
              <w:jc w:val="left"/>
              <w:rPr>
                <w:rFonts w:ascii="Arial Narrow" w:hAnsi="Arial Narrow" w:cs="Arial Narrow" w:eastAsia="Arial Narrow" w:hint="default"/>
                <w:sz w:val="21"/>
                <w:szCs w:val="21"/>
              </w:rPr>
            </w:pPr>
            <w:r>
              <w:rPr>
                <w:rFonts w:ascii="Arial Narrow"/>
                <w:sz w:val="21"/>
              </w:rPr>
              <w:t>214,250,236.00</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9"/>
              <w:jc w:val="right"/>
              <w:rPr>
                <w:rFonts w:ascii="Calibri" w:hAnsi="Calibri" w:cs="Calibri" w:eastAsia="Calibri" w:hint="default"/>
                <w:sz w:val="21"/>
                <w:szCs w:val="21"/>
              </w:rPr>
            </w:pPr>
            <w:r>
              <w:rPr>
                <w:rFonts w:ascii="Calibri"/>
                <w:w w:val="100"/>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3" w:right="0"/>
              <w:jc w:val="center"/>
              <w:rPr>
                <w:rFonts w:ascii="Arial Narrow" w:hAnsi="Arial Narrow" w:cs="Arial Narrow" w:eastAsia="Arial Narrow" w:hint="default"/>
                <w:sz w:val="21"/>
                <w:szCs w:val="21"/>
              </w:rPr>
            </w:pPr>
            <w:r>
              <w:rPr>
                <w:rFonts w:ascii="Arial Narrow"/>
                <w:sz w:val="21"/>
              </w:rPr>
              <w:t>194,250,236.00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44" w:right="0"/>
              <w:jc w:val="left"/>
              <w:rPr>
                <w:rFonts w:ascii="Arial Narrow" w:hAnsi="Arial Narrow" w:cs="Arial Narrow" w:eastAsia="Arial Narrow" w:hint="default"/>
                <w:sz w:val="21"/>
                <w:szCs w:val="21"/>
              </w:rPr>
            </w:pPr>
            <w:r>
              <w:rPr>
                <w:rFonts w:ascii="Arial Narrow"/>
                <w:sz w:val="21"/>
              </w:rPr>
              <w:t>90.67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21" w:right="0"/>
              <w:jc w:val="left"/>
              <w:rPr>
                <w:rFonts w:ascii="Arial Narrow" w:hAnsi="Arial Narrow" w:cs="Arial Narrow" w:eastAsia="Arial Narrow" w:hint="default"/>
                <w:sz w:val="21"/>
                <w:szCs w:val="21"/>
              </w:rPr>
            </w:pPr>
            <w:r>
              <w:rPr>
                <w:rFonts w:ascii="Arial Narrow"/>
                <w:sz w:val="21"/>
              </w:rPr>
              <w:t>90.00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22"/>
              <w:jc w:val="right"/>
              <w:rPr>
                <w:rFonts w:ascii="Calibri" w:hAnsi="Calibri" w:cs="Calibri" w:eastAsia="Calibri" w:hint="default"/>
                <w:sz w:val="21"/>
                <w:szCs w:val="21"/>
              </w:rPr>
            </w:pPr>
            <w:r>
              <w:rPr>
                <w:rFonts w:ascii="Calibri"/>
                <w:w w:val="100"/>
                <w:sz w:val="21"/>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21" w:right="0"/>
              <w:jc w:val="left"/>
              <w:rPr>
                <w:rFonts w:ascii="Calibri" w:hAnsi="Calibri" w:cs="Calibri" w:eastAsia="Calibri" w:hint="default"/>
                <w:sz w:val="21"/>
                <w:szCs w:val="21"/>
              </w:rPr>
            </w:pPr>
            <w:r>
              <w:rPr>
                <w:rFonts w:ascii="Calibri"/>
                <w:w w:val="100"/>
                <w:sz w:val="21"/>
              </w:rPr>
              <w:t>-</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w w:val="100"/>
                <w:sz w:val="21"/>
              </w:rPr>
              <w:t>-</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3" w:right="29"/>
              <w:jc w:val="left"/>
              <w:rPr>
                <w:rFonts w:ascii="宋体" w:hAnsi="宋体" w:cs="宋体" w:eastAsia="宋体" w:hint="default"/>
                <w:sz w:val="21"/>
                <w:szCs w:val="21"/>
              </w:rPr>
            </w:pPr>
            <w:r>
              <w:rPr>
                <w:rFonts w:ascii="宋体" w:hAnsi="宋体" w:cs="宋体" w:eastAsia="宋体" w:hint="default"/>
                <w:sz w:val="21"/>
                <w:szCs w:val="21"/>
              </w:rPr>
              <w:t>自筹</w:t>
            </w:r>
            <w:r>
              <w:rPr>
                <w:rFonts w:ascii="Calibri" w:hAnsi="Calibri" w:cs="Calibri" w:eastAsia="Calibri" w:hint="default"/>
                <w:sz w:val="21"/>
                <w:szCs w:val="21"/>
              </w:rPr>
              <w:t>/</w:t>
            </w:r>
            <w:r>
              <w:rPr>
                <w:rFonts w:ascii="Calibri" w:hAnsi="Calibri" w:cs="Calibri" w:eastAsia="Calibri" w:hint="default"/>
                <w:spacing w:val="-45"/>
                <w:sz w:val="21"/>
                <w:szCs w:val="21"/>
              </w:rPr>
              <w:t> </w:t>
            </w:r>
            <w:r>
              <w:rPr>
                <w:rFonts w:ascii="宋体" w:hAnsi="宋体" w:cs="宋体" w:eastAsia="宋体" w:hint="default"/>
                <w:sz w:val="21"/>
                <w:szCs w:val="21"/>
              </w:rPr>
              <w:t>募集</w:t>
            </w:r>
            <w:r>
              <w:rPr>
                <w:rFonts w:ascii="宋体" w:hAnsi="宋体" w:cs="宋体" w:eastAsia="宋体" w:hint="default"/>
                <w:spacing w:val="-103"/>
                <w:sz w:val="21"/>
                <w:szCs w:val="21"/>
              </w:rPr>
              <w:t> </w:t>
            </w:r>
            <w:r>
              <w:rPr>
                <w:rFonts w:ascii="宋体" w:hAnsi="宋体" w:cs="宋体" w:eastAsia="宋体" w:hint="default"/>
                <w:sz w:val="21"/>
                <w:szCs w:val="21"/>
              </w:rPr>
              <w:t>资金</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98" w:right="0"/>
              <w:jc w:val="center"/>
              <w:rPr>
                <w:rFonts w:ascii="Calibri" w:hAnsi="Calibri" w:cs="Calibri" w:eastAsia="Calibri" w:hint="default"/>
                <w:sz w:val="21"/>
                <w:szCs w:val="21"/>
              </w:rPr>
            </w:pPr>
            <w:r>
              <w:rPr>
                <w:rFonts w:ascii="Calibri"/>
                <w:sz w:val="21"/>
              </w:rPr>
              <w:t>194,250,236.00</w:t>
            </w:r>
          </w:p>
        </w:tc>
      </w:tr>
    </w:tbl>
    <w:p>
      <w:pPr>
        <w:spacing w:after="0" w:line="240" w:lineRule="auto"/>
        <w:jc w:val="center"/>
        <w:rPr>
          <w:rFonts w:ascii="Calibri" w:hAnsi="Calibri" w:cs="Calibri" w:eastAsia="Calibri" w:hint="default"/>
          <w:sz w:val="21"/>
          <w:szCs w:val="21"/>
        </w:rPr>
        <w:sectPr>
          <w:pgSz w:w="11910" w:h="16840"/>
          <w:pgMar w:header="884" w:footer="1007" w:top="1160" w:bottom="1200" w:left="1240" w:right="420"/>
        </w:sectPr>
      </w:pPr>
    </w:p>
    <w:p>
      <w:pPr>
        <w:spacing w:line="240" w:lineRule="auto" w:before="13"/>
        <w:rPr>
          <w:rFonts w:ascii="宋体" w:hAnsi="宋体" w:cs="宋体" w:eastAsia="宋体" w:hint="default"/>
          <w:sz w:val="19"/>
          <w:szCs w:val="19"/>
        </w:rPr>
      </w:pPr>
    </w:p>
    <w:tbl>
      <w:tblPr>
        <w:tblW w:w="0" w:type="auto"/>
        <w:jc w:val="left"/>
        <w:tblInd w:w="553" w:type="dxa"/>
        <w:tblLayout w:type="fixed"/>
        <w:tblCellMar>
          <w:top w:w="0" w:type="dxa"/>
          <w:left w:w="0" w:type="dxa"/>
          <w:bottom w:w="0" w:type="dxa"/>
          <w:right w:w="0" w:type="dxa"/>
        </w:tblCellMar>
        <w:tblLook w:val="01E0"/>
      </w:tblPr>
      <w:tblGrid>
        <w:gridCol w:w="734"/>
        <w:gridCol w:w="1393"/>
        <w:gridCol w:w="283"/>
        <w:gridCol w:w="1277"/>
        <w:gridCol w:w="425"/>
        <w:gridCol w:w="425"/>
        <w:gridCol w:w="612"/>
        <w:gridCol w:w="523"/>
        <w:gridCol w:w="566"/>
        <w:gridCol w:w="708"/>
        <w:gridCol w:w="567"/>
        <w:gridCol w:w="569"/>
        <w:gridCol w:w="1483"/>
      </w:tblGrid>
      <w:tr>
        <w:trPr>
          <w:trHeight w:val="634"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1" w:right="0"/>
              <w:jc w:val="left"/>
              <w:rPr>
                <w:rFonts w:ascii="Calibri" w:hAnsi="Calibri" w:cs="Calibri" w:eastAsia="Calibri" w:hint="default"/>
                <w:sz w:val="21"/>
                <w:szCs w:val="21"/>
              </w:rPr>
            </w:pPr>
            <w:r>
              <w:rPr>
                <w:rFonts w:ascii="宋体" w:hAnsi="宋体" w:cs="宋体" w:eastAsia="宋体" w:hint="default"/>
                <w:sz w:val="21"/>
                <w:szCs w:val="21"/>
              </w:rPr>
              <w:t>园</w:t>
            </w:r>
            <w:r>
              <w:rPr>
                <w:rFonts w:ascii="宋体" w:hAnsi="宋体" w:cs="宋体" w:eastAsia="宋体" w:hint="default"/>
                <w:spacing w:val="-51"/>
                <w:sz w:val="21"/>
                <w:szCs w:val="21"/>
              </w:rPr>
              <w:t> </w:t>
            </w:r>
            <w:r>
              <w:rPr>
                <w:rFonts w:ascii="Calibri" w:hAnsi="Calibri" w:cs="Calibri" w:eastAsia="Calibri" w:hint="default"/>
                <w:spacing w:val="-3"/>
                <w:sz w:val="21"/>
                <w:szCs w:val="21"/>
              </w:rPr>
              <w:t>A7</w:t>
            </w:r>
            <w:r>
              <w:rPr>
                <w:rFonts w:ascii="Calibri" w:hAnsi="Calibri" w:cs="Calibri" w:eastAsia="Calibri" w:hint="default"/>
                <w:sz w:val="21"/>
                <w:szCs w:val="21"/>
              </w:rPr>
            </w:r>
          </w:p>
          <w:p>
            <w:pPr>
              <w:pStyle w:val="TableParagraph"/>
              <w:spacing w:line="240" w:lineRule="auto" w:before="10"/>
              <w:ind w:left="21" w:right="0"/>
              <w:jc w:val="left"/>
              <w:rPr>
                <w:rFonts w:ascii="宋体" w:hAnsi="宋体" w:cs="宋体" w:eastAsia="宋体" w:hint="default"/>
                <w:sz w:val="21"/>
                <w:szCs w:val="21"/>
              </w:rPr>
            </w:pPr>
            <w:r>
              <w:rPr>
                <w:rFonts w:ascii="宋体" w:hAnsi="宋体" w:cs="宋体" w:eastAsia="宋体" w:hint="default"/>
                <w:w w:val="100"/>
                <w:sz w:val="21"/>
                <w:szCs w:val="21"/>
              </w:rPr>
              <w:t>楼</w:t>
            </w:r>
          </w:p>
        </w:tc>
        <w:tc>
          <w:tcPr>
            <w:tcW w:w="1393"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148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3" w:right="0"/>
              <w:jc w:val="left"/>
              <w:rPr>
                <w:rFonts w:ascii="Arial Narrow" w:hAnsi="Arial Narrow" w:cs="Arial Narrow" w:eastAsia="Arial Narrow" w:hint="default"/>
                <w:sz w:val="21"/>
                <w:szCs w:val="21"/>
              </w:rPr>
            </w:pPr>
            <w:r>
              <w:rPr>
                <w:rFonts w:ascii="Arial Narrow"/>
                <w:sz w:val="21"/>
              </w:rPr>
              <w:t>214,250,236.00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5" w:right="0"/>
              <w:jc w:val="left"/>
              <w:rPr>
                <w:rFonts w:ascii="Arial Narrow" w:hAnsi="Arial Narrow" w:cs="Arial Narrow" w:eastAsia="Arial Narrow" w:hint="default"/>
                <w:sz w:val="21"/>
                <w:szCs w:val="21"/>
              </w:rPr>
            </w:pPr>
            <w:r>
              <w:rPr>
                <w:rFonts w:ascii="Arial Narrow"/>
                <w:sz w:val="21"/>
              </w:rPr>
              <w:t>194,250,236.00</w:t>
            </w:r>
          </w:p>
        </w:tc>
        <w:tc>
          <w:tcPr>
            <w:tcW w:w="425"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4"/>
              <w:jc w:val="center"/>
              <w:rPr>
                <w:rFonts w:ascii="Calibri" w:hAnsi="Calibri" w:cs="Calibri" w:eastAsia="Calibri" w:hint="default"/>
                <w:sz w:val="21"/>
                <w:szCs w:val="21"/>
              </w:rPr>
            </w:pPr>
            <w:r>
              <w:rPr>
                <w:rFonts w:ascii="Calibri"/>
                <w:sz w:val="21"/>
              </w:rPr>
              <w:t>--</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566" w:type="dxa"/>
            <w:tcBorders>
              <w:top w:val="single" w:sz="4" w:space="0" w:color="000000"/>
              <w:left w:val="single" w:sz="13" w:space="0" w:color="D2D2D2"/>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48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left="239" w:right="0"/>
              <w:jc w:val="left"/>
              <w:rPr>
                <w:rFonts w:ascii="Arial Narrow" w:hAnsi="Arial Narrow" w:cs="Arial Narrow" w:eastAsia="Arial Narrow" w:hint="default"/>
                <w:sz w:val="21"/>
                <w:szCs w:val="21"/>
              </w:rPr>
            </w:pPr>
            <w:r>
              <w:rPr>
                <w:rFonts w:ascii="Arial Narrow"/>
                <w:sz w:val="21"/>
              </w:rPr>
              <w:t>194,250,236.00</w:t>
            </w:r>
          </w:p>
        </w:tc>
      </w:tr>
    </w:tbl>
    <w:p>
      <w:pPr>
        <w:spacing w:line="264" w:lineRule="auto" w:before="0"/>
        <w:ind w:left="558" w:right="86" w:firstLine="0"/>
        <w:jc w:val="left"/>
        <w:rPr>
          <w:rFonts w:ascii="宋体" w:hAnsi="宋体" w:cs="宋体" w:eastAsia="宋体" w:hint="default"/>
          <w:sz w:val="21"/>
          <w:szCs w:val="21"/>
        </w:rPr>
      </w:pPr>
      <w:r>
        <w:rPr>
          <w:rFonts w:ascii="宋体" w:hAnsi="宋体" w:cs="宋体" w:eastAsia="宋体" w:hint="default"/>
          <w:sz w:val="21"/>
          <w:szCs w:val="21"/>
        </w:rPr>
        <w:t>在建工程项目变动情况的说明：在建工程为本公司购置的研发及办公用房，已使用募集资金</w:t>
      </w:r>
      <w:r>
        <w:rPr>
          <w:rFonts w:ascii="宋体" w:hAnsi="宋体" w:cs="宋体" w:eastAsia="宋体" w:hint="default"/>
          <w:w w:val="100"/>
          <w:sz w:val="21"/>
          <w:szCs w:val="21"/>
        </w:rPr>
        <w:t> </w:t>
      </w:r>
      <w:r>
        <w:rPr>
          <w:rFonts w:ascii="Calibri" w:hAnsi="Calibri" w:cs="Calibri" w:eastAsia="Calibri" w:hint="default"/>
          <w:sz w:val="21"/>
          <w:szCs w:val="21"/>
        </w:rPr>
        <w:t>80,000,000.00</w:t>
      </w:r>
      <w:r>
        <w:rPr>
          <w:rFonts w:ascii="Calibri" w:hAnsi="Calibri" w:cs="Calibri" w:eastAsia="Calibri" w:hint="default"/>
          <w:spacing w:val="11"/>
          <w:sz w:val="21"/>
          <w:szCs w:val="21"/>
        </w:rPr>
        <w:t> </w:t>
      </w:r>
      <w:r>
        <w:rPr>
          <w:rFonts w:ascii="宋体" w:hAnsi="宋体" w:cs="宋体" w:eastAsia="宋体" w:hint="default"/>
          <w:spacing w:val="-8"/>
          <w:sz w:val="21"/>
          <w:szCs w:val="21"/>
        </w:rPr>
        <w:t>元，自有资金</w:t>
      </w:r>
      <w:r>
        <w:rPr>
          <w:rFonts w:ascii="宋体" w:hAnsi="宋体" w:cs="宋体" w:eastAsia="宋体" w:hint="default"/>
          <w:spacing w:val="-48"/>
          <w:sz w:val="21"/>
          <w:szCs w:val="21"/>
        </w:rPr>
        <w:t> </w:t>
      </w:r>
      <w:r>
        <w:rPr>
          <w:rFonts w:ascii="Calibri" w:hAnsi="Calibri" w:cs="Calibri" w:eastAsia="Calibri" w:hint="default"/>
          <w:sz w:val="21"/>
          <w:szCs w:val="21"/>
        </w:rPr>
        <w:t>114,250,236.00</w:t>
      </w:r>
      <w:r>
        <w:rPr>
          <w:rFonts w:ascii="Calibri" w:hAnsi="Calibri" w:cs="Calibri" w:eastAsia="Calibri" w:hint="default"/>
          <w:spacing w:val="11"/>
          <w:sz w:val="21"/>
          <w:szCs w:val="21"/>
        </w:rPr>
        <w:t> </w:t>
      </w:r>
      <w:r>
        <w:rPr>
          <w:rFonts w:ascii="宋体" w:hAnsi="宋体" w:cs="宋体" w:eastAsia="宋体" w:hint="default"/>
          <w:spacing w:val="-7"/>
          <w:sz w:val="21"/>
          <w:szCs w:val="21"/>
        </w:rPr>
        <w:t>元。该房产已于</w:t>
      </w:r>
      <w:r>
        <w:rPr>
          <w:rFonts w:ascii="宋体" w:hAnsi="宋体" w:cs="宋体" w:eastAsia="宋体" w:hint="default"/>
          <w:spacing w:val="-51"/>
          <w:sz w:val="21"/>
          <w:szCs w:val="21"/>
        </w:rPr>
        <w:t> </w:t>
      </w:r>
      <w:r>
        <w:rPr>
          <w:rFonts w:ascii="Calibri" w:hAnsi="Calibri" w:cs="Calibri" w:eastAsia="Calibri" w:hint="default"/>
          <w:sz w:val="21"/>
          <w:szCs w:val="21"/>
        </w:rPr>
        <w:t>2012</w:t>
      </w:r>
      <w:r>
        <w:rPr>
          <w:rFonts w:ascii="Calibri" w:hAnsi="Calibri" w:cs="Calibri" w:eastAsia="Calibri" w:hint="default"/>
          <w:spacing w:val="10"/>
          <w:sz w:val="21"/>
          <w:szCs w:val="21"/>
        </w:rPr>
        <w:t> </w:t>
      </w:r>
      <w:r>
        <w:rPr>
          <w:rFonts w:ascii="宋体" w:hAnsi="宋体" w:cs="宋体" w:eastAsia="宋体" w:hint="default"/>
          <w:spacing w:val="-5"/>
          <w:sz w:val="21"/>
          <w:szCs w:val="21"/>
        </w:rPr>
        <w:t>年度交付，由于尚未进行装修，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未达到可使用状态，未能结转固定资产。截至本报告报出日，该房产正在进行装修招标，预计</w:t>
      </w:r>
      <w:r>
        <w:rPr>
          <w:rFonts w:ascii="宋体" w:hAnsi="宋体" w:cs="宋体" w:eastAsia="宋体" w:hint="default"/>
          <w:w w:val="100"/>
          <w:sz w:val="21"/>
          <w:szCs w:val="21"/>
        </w:rPr>
        <w:t> </w:t>
      </w:r>
      <w:r>
        <w:rPr>
          <w:rFonts w:ascii="宋体" w:hAnsi="宋体" w:cs="宋体" w:eastAsia="宋体" w:hint="default"/>
          <w:sz w:val="21"/>
          <w:szCs w:val="21"/>
        </w:rPr>
        <w:t>转固时间为</w:t>
      </w:r>
      <w:r>
        <w:rPr>
          <w:rFonts w:ascii="宋体" w:hAnsi="宋体" w:cs="宋体" w:eastAsia="宋体" w:hint="default"/>
          <w:spacing w:val="-55"/>
          <w:sz w:val="21"/>
          <w:szCs w:val="21"/>
        </w:rPr>
        <w:t> </w:t>
      </w:r>
      <w:r>
        <w:rPr>
          <w:rFonts w:ascii="Calibri" w:hAnsi="Calibri" w:cs="Calibri" w:eastAsia="Calibri" w:hint="default"/>
          <w:sz w:val="21"/>
          <w:szCs w:val="21"/>
        </w:rPr>
        <w:t>2013</w:t>
      </w:r>
      <w:r>
        <w:rPr>
          <w:rFonts w:ascii="Calibri" w:hAnsi="Calibri" w:cs="Calibri" w:eastAsia="Calibri"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Calibri" w:hAnsi="Calibri" w:cs="Calibri" w:eastAsia="Calibri" w:hint="default"/>
          <w:sz w:val="21"/>
          <w:szCs w:val="21"/>
        </w:rPr>
        <w:t>10</w:t>
      </w:r>
      <w:r>
        <w:rPr>
          <w:rFonts w:ascii="Calibri" w:hAnsi="Calibri" w:cs="Calibri" w:eastAsia="Calibri" w:hint="default"/>
          <w:spacing w:val="6"/>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r>
    </w:p>
    <w:p>
      <w:pPr>
        <w:spacing w:line="240" w:lineRule="auto" w:before="10"/>
        <w:rPr>
          <w:rFonts w:ascii="宋体" w:hAnsi="宋体" w:cs="宋体" w:eastAsia="宋体" w:hint="default"/>
          <w:sz w:val="21"/>
          <w:szCs w:val="21"/>
        </w:rPr>
      </w:pPr>
    </w:p>
    <w:p>
      <w:pPr>
        <w:spacing w:before="0"/>
        <w:ind w:left="558" w:right="662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）在建工程减值准备</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99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1435"/>
        <w:gridCol w:w="1472"/>
        <w:gridCol w:w="1459"/>
        <w:gridCol w:w="1457"/>
        <w:gridCol w:w="1472"/>
        <w:gridCol w:w="1442"/>
      </w:tblGrid>
      <w:tr>
        <w:trPr>
          <w:trHeight w:val="322"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20"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304"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300"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407"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11"/>
              <w:jc w:val="center"/>
              <w:rPr>
                <w:rFonts w:ascii="宋体" w:hAnsi="宋体" w:cs="宋体" w:eastAsia="宋体" w:hint="default"/>
                <w:sz w:val="21"/>
                <w:szCs w:val="21"/>
              </w:rPr>
            </w:pPr>
            <w:r>
              <w:rPr>
                <w:rFonts w:ascii="宋体" w:hAnsi="宋体" w:cs="宋体" w:eastAsia="宋体" w:hint="default"/>
                <w:b/>
                <w:bCs/>
                <w:sz w:val="21"/>
                <w:szCs w:val="21"/>
              </w:rPr>
              <w:t>计提原因</w:t>
            </w:r>
            <w:r>
              <w:rPr>
                <w:rFonts w:ascii="宋体" w:hAnsi="宋体" w:cs="宋体" w:eastAsia="宋体" w:hint="default"/>
                <w:sz w:val="21"/>
                <w:szCs w:val="21"/>
              </w:rPr>
            </w:r>
          </w:p>
        </w:tc>
      </w:tr>
      <w:tr>
        <w:trPr>
          <w:trHeight w:val="324" w:hRule="exact"/>
        </w:trPr>
        <w:tc>
          <w:tcPr>
            <w:tcW w:w="1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147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1"/>
              <w:jc w:val="center"/>
              <w:rPr>
                <w:rFonts w:ascii="Calibri" w:hAnsi="Calibri" w:cs="Calibri" w:eastAsia="Calibri" w:hint="default"/>
                <w:sz w:val="21"/>
                <w:szCs w:val="21"/>
              </w:rPr>
            </w:pPr>
            <w:r>
              <w:rPr>
                <w:rFonts w:ascii="Calibri"/>
                <w:sz w:val="21"/>
              </w:rPr>
              <w:t>--</w:t>
            </w:r>
          </w:p>
        </w:tc>
      </w:tr>
    </w:tbl>
    <w:p>
      <w:pPr>
        <w:spacing w:line="240" w:lineRule="auto" w:before="3"/>
        <w:rPr>
          <w:rFonts w:ascii="宋体" w:hAnsi="宋体" w:cs="宋体" w:eastAsia="宋体" w:hint="default"/>
          <w:sz w:val="19"/>
          <w:szCs w:val="19"/>
        </w:rPr>
      </w:pPr>
    </w:p>
    <w:p>
      <w:pPr>
        <w:spacing w:before="36"/>
        <w:ind w:left="558" w:right="8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）重大在建工程的工程进度情况</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524" w:type="dxa"/>
        <w:tblLayout w:type="fixed"/>
        <w:tblCellMar>
          <w:top w:w="0" w:type="dxa"/>
          <w:left w:w="0" w:type="dxa"/>
          <w:bottom w:w="0" w:type="dxa"/>
          <w:right w:w="0" w:type="dxa"/>
        </w:tblCellMar>
        <w:tblLook w:val="01E0"/>
      </w:tblPr>
      <w:tblGrid>
        <w:gridCol w:w="2917"/>
        <w:gridCol w:w="2916"/>
        <w:gridCol w:w="2917"/>
      </w:tblGrid>
      <w:tr>
        <w:trPr>
          <w:trHeight w:val="322"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工程进度</w:t>
            </w:r>
            <w:r>
              <w:rPr>
                <w:rFonts w:ascii="宋体" w:hAnsi="宋体" w:cs="宋体" w:eastAsia="宋体" w:hint="default"/>
                <w:sz w:val="21"/>
                <w:szCs w:val="21"/>
              </w:rPr>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24"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酒仙桥电子城</w:t>
            </w:r>
            <w:r>
              <w:rPr>
                <w:rFonts w:ascii="宋体" w:hAnsi="宋体" w:cs="宋体" w:eastAsia="宋体" w:hint="default"/>
                <w:spacing w:val="-53"/>
                <w:sz w:val="21"/>
                <w:szCs w:val="21"/>
              </w:rPr>
              <w:t> </w:t>
            </w:r>
            <w:r>
              <w:rPr>
                <w:rFonts w:ascii="Arial Narrow" w:hAnsi="Arial Narrow" w:cs="Arial Narrow" w:eastAsia="Arial Narrow" w:hint="default"/>
                <w:sz w:val="21"/>
                <w:szCs w:val="21"/>
              </w:rPr>
              <w:t>IT</w:t>
            </w:r>
            <w:r>
              <w:rPr>
                <w:rFonts w:ascii="Arial Narrow" w:hAnsi="Arial Narrow" w:cs="Arial Narrow" w:eastAsia="Arial Narrow" w:hint="default"/>
                <w:spacing w:val="2"/>
                <w:sz w:val="21"/>
                <w:szCs w:val="21"/>
              </w:rPr>
              <w:t> </w:t>
            </w:r>
            <w:r>
              <w:rPr>
                <w:rFonts w:ascii="宋体" w:hAnsi="宋体" w:cs="宋体" w:eastAsia="宋体" w:hint="default"/>
                <w:sz w:val="21"/>
                <w:szCs w:val="21"/>
              </w:rPr>
              <w:t>产业园</w:t>
            </w:r>
            <w:r>
              <w:rPr>
                <w:rFonts w:ascii="宋体" w:hAnsi="宋体" w:cs="宋体" w:eastAsia="宋体" w:hint="default"/>
                <w:spacing w:val="-52"/>
                <w:sz w:val="21"/>
                <w:szCs w:val="21"/>
              </w:rPr>
              <w:t> </w:t>
            </w:r>
            <w:r>
              <w:rPr>
                <w:rFonts w:ascii="Arial Narrow" w:hAnsi="Arial Narrow" w:cs="Arial Narrow" w:eastAsia="Arial Narrow" w:hint="default"/>
                <w:sz w:val="21"/>
                <w:szCs w:val="21"/>
              </w:rPr>
              <w:t>A7</w:t>
            </w:r>
            <w:r>
              <w:rPr>
                <w:rFonts w:ascii="Arial Narrow" w:hAnsi="Arial Narrow" w:cs="Arial Narrow" w:eastAsia="Arial Narrow" w:hint="default"/>
                <w:spacing w:val="4"/>
                <w:sz w:val="21"/>
                <w:szCs w:val="21"/>
              </w:rPr>
              <w:t> </w:t>
            </w:r>
            <w:r>
              <w:rPr>
                <w:rFonts w:ascii="宋体" w:hAnsi="宋体" w:cs="宋体" w:eastAsia="宋体" w:hint="default"/>
                <w:sz w:val="21"/>
                <w:szCs w:val="21"/>
              </w:rPr>
              <w:t>楼</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Calibri" w:hAnsi="Calibri" w:cs="Calibri" w:eastAsia="Calibri" w:hint="default"/>
                <w:sz w:val="21"/>
                <w:szCs w:val="21"/>
              </w:rPr>
            </w:pPr>
            <w:r>
              <w:rPr>
                <w:rFonts w:ascii="Calibri"/>
                <w:sz w:val="21"/>
              </w:rPr>
              <w:t>90%</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spacing w:line="506" w:lineRule="auto" w:before="36"/>
        <w:ind w:left="558" w:right="766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）在建工程的说明</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before="104"/>
        <w:ind w:left="558" w:right="66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、工程物资</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558" w:right="6626"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before="37"/>
        <w:ind w:left="0" w:right="99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2775"/>
        <w:gridCol w:w="1469"/>
        <w:gridCol w:w="1337"/>
        <w:gridCol w:w="1457"/>
        <w:gridCol w:w="1700"/>
      </w:tblGrid>
      <w:tr>
        <w:trPr>
          <w:trHeight w:val="322" w:hRule="exact"/>
        </w:trPr>
        <w:tc>
          <w:tcPr>
            <w:tcW w:w="2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4" w:right="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22" w:hRule="exact"/>
        </w:trPr>
        <w:tc>
          <w:tcPr>
            <w:tcW w:w="2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left="8" w:right="0"/>
              <w:jc w:val="center"/>
              <w:rPr>
                <w:rFonts w:ascii="Calibri" w:hAnsi="Calibri" w:cs="Calibri" w:eastAsia="Calibri" w:hint="default"/>
                <w:sz w:val="21"/>
                <w:szCs w:val="21"/>
              </w:rPr>
            </w:pPr>
            <w:r>
              <w:rPr>
                <w:rFonts w:ascii="Calibri"/>
                <w:w w:val="100"/>
                <w:sz w:val="21"/>
              </w:rPr>
              <w:t>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0</w:t>
            </w:r>
          </w:p>
        </w:tc>
      </w:tr>
    </w:tbl>
    <w:p>
      <w:pPr>
        <w:spacing w:line="262" w:lineRule="exact" w:before="0"/>
        <w:ind w:left="558" w:right="6626" w:firstLine="0"/>
        <w:jc w:val="left"/>
        <w:rPr>
          <w:rFonts w:ascii="宋体" w:hAnsi="宋体" w:cs="宋体" w:eastAsia="宋体" w:hint="default"/>
          <w:sz w:val="21"/>
          <w:szCs w:val="21"/>
        </w:rPr>
      </w:pPr>
      <w:r>
        <w:rPr>
          <w:rFonts w:ascii="宋体" w:hAnsi="宋体" w:cs="宋体" w:eastAsia="宋体" w:hint="default"/>
          <w:sz w:val="21"/>
          <w:szCs w:val="21"/>
        </w:rPr>
        <w:t>工程物资的说明</w:t>
      </w:r>
    </w:p>
    <w:p>
      <w:pPr>
        <w:spacing w:line="240" w:lineRule="auto" w:before="10"/>
        <w:rPr>
          <w:rFonts w:ascii="宋体" w:hAnsi="宋体" w:cs="宋体" w:eastAsia="宋体" w:hint="default"/>
          <w:sz w:val="25"/>
          <w:szCs w:val="25"/>
        </w:rPr>
      </w:pPr>
    </w:p>
    <w:p>
      <w:pPr>
        <w:spacing w:before="0"/>
        <w:ind w:left="558" w:right="662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、固定资产清理</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36"/>
        <w:ind w:left="558" w:right="6626"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before="37"/>
        <w:ind w:left="0" w:right="99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2653"/>
        <w:gridCol w:w="1834"/>
        <w:gridCol w:w="1955"/>
        <w:gridCol w:w="2284"/>
      </w:tblGrid>
      <w:tr>
        <w:trPr>
          <w:trHeight w:val="322"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85" w:right="0"/>
              <w:jc w:val="left"/>
              <w:rPr>
                <w:rFonts w:ascii="宋体" w:hAnsi="宋体" w:cs="宋体" w:eastAsia="宋体" w:hint="default"/>
                <w:sz w:val="21"/>
                <w:szCs w:val="21"/>
              </w:rPr>
            </w:pPr>
            <w:r>
              <w:rPr>
                <w:rFonts w:ascii="宋体" w:hAnsi="宋体" w:cs="宋体" w:eastAsia="宋体" w:hint="default"/>
                <w:b/>
                <w:bCs/>
                <w:sz w:val="21"/>
                <w:szCs w:val="21"/>
              </w:rPr>
              <w:t>期初账面价值</w:t>
            </w:r>
            <w:r>
              <w:rPr>
                <w:rFonts w:ascii="宋体" w:hAnsi="宋体" w:cs="宋体" w:eastAsia="宋体" w:hint="default"/>
                <w:sz w:val="21"/>
                <w:szCs w:val="21"/>
              </w:rPr>
            </w:r>
          </w:p>
        </w:tc>
        <w:tc>
          <w:tcPr>
            <w:tcW w:w="1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33" w:right="0"/>
              <w:jc w:val="left"/>
              <w:rPr>
                <w:rFonts w:ascii="宋体" w:hAnsi="宋体" w:cs="宋体" w:eastAsia="宋体" w:hint="default"/>
                <w:sz w:val="21"/>
                <w:szCs w:val="21"/>
              </w:rPr>
            </w:pPr>
            <w:r>
              <w:rPr>
                <w:rFonts w:ascii="宋体" w:hAnsi="宋体" w:cs="宋体" w:eastAsia="宋体" w:hint="default"/>
                <w:b/>
                <w:bCs/>
                <w:sz w:val="21"/>
                <w:szCs w:val="21"/>
              </w:rPr>
              <w:t>期末账面价值</w:t>
            </w:r>
            <w:r>
              <w:rPr>
                <w:rFonts w:ascii="宋体" w:hAnsi="宋体" w:cs="宋体" w:eastAsia="宋体" w:hint="default"/>
                <w:sz w:val="21"/>
                <w:szCs w:val="21"/>
              </w:rPr>
            </w: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转入清理的原因</w:t>
            </w:r>
            <w:r>
              <w:rPr>
                <w:rFonts w:ascii="宋体" w:hAnsi="宋体" w:cs="宋体" w:eastAsia="宋体" w:hint="default"/>
                <w:sz w:val="21"/>
                <w:szCs w:val="21"/>
              </w:rPr>
            </w:r>
          </w:p>
        </w:tc>
      </w:tr>
      <w:tr>
        <w:trPr>
          <w:trHeight w:val="322" w:hRule="exact"/>
        </w:trPr>
        <w:tc>
          <w:tcPr>
            <w:tcW w:w="2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4" w:type="dxa"/>
            <w:tcBorders>
              <w:top w:val="single" w:sz="4" w:space="0" w:color="000000"/>
              <w:left w:val="single" w:sz="13" w:space="0" w:color="D2D2D2"/>
              <w:bottom w:val="single" w:sz="4" w:space="0" w:color="000000"/>
              <w:right w:val="single" w:sz="4" w:space="0" w:color="000000"/>
            </w:tcBorders>
          </w:tcPr>
          <w:p>
            <w:pPr/>
          </w:p>
        </w:tc>
        <w:tc>
          <w:tcPr>
            <w:tcW w:w="1955" w:type="dxa"/>
            <w:tcBorders>
              <w:top w:val="single" w:sz="4" w:space="0" w:color="000000"/>
              <w:left w:val="single" w:sz="4" w:space="0" w:color="000000"/>
              <w:bottom w:val="single" w:sz="4" w:space="0" w:color="000000"/>
              <w:right w:val="single" w:sz="9" w:space="0" w:color="D2D2D2"/>
            </w:tcBorders>
          </w:tcPr>
          <w:p>
            <w:pPr/>
          </w:p>
        </w:tc>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r>
    </w:tbl>
    <w:p>
      <w:pPr>
        <w:spacing w:line="289" w:lineRule="exact" w:before="0"/>
        <w:ind w:left="558" w:right="86" w:firstLine="0"/>
        <w:jc w:val="left"/>
        <w:rPr>
          <w:rFonts w:ascii="宋体" w:hAnsi="宋体" w:cs="宋体" w:eastAsia="宋体" w:hint="default"/>
          <w:sz w:val="21"/>
          <w:szCs w:val="21"/>
        </w:rPr>
      </w:pPr>
      <w:r>
        <w:rPr>
          <w:rFonts w:ascii="宋体" w:hAnsi="宋体" w:cs="宋体" w:eastAsia="宋体" w:hint="default"/>
          <w:sz w:val="21"/>
          <w:szCs w:val="21"/>
        </w:rPr>
        <w:t>说明转入固定资产清理起始时间已超过</w:t>
      </w:r>
      <w:r>
        <w:rPr>
          <w:rFonts w:ascii="宋体" w:hAnsi="宋体" w:cs="宋体" w:eastAsia="宋体" w:hint="default"/>
          <w:spacing w:val="-57"/>
          <w:sz w:val="21"/>
          <w:szCs w:val="21"/>
        </w:rPr>
        <w:t> </w:t>
      </w: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年的固定资产清理进展情况</w:t>
      </w:r>
    </w:p>
    <w:p>
      <w:pPr>
        <w:spacing w:line="240" w:lineRule="auto" w:before="9"/>
        <w:rPr>
          <w:rFonts w:ascii="宋体" w:hAnsi="宋体" w:cs="宋体" w:eastAsia="宋体" w:hint="default"/>
          <w:sz w:val="23"/>
          <w:szCs w:val="23"/>
        </w:rPr>
      </w:pPr>
    </w:p>
    <w:p>
      <w:pPr>
        <w:spacing w:line="506" w:lineRule="auto" w:before="0"/>
        <w:ind w:left="558" w:right="777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21</w:t>
      </w:r>
      <w:r>
        <w:rPr>
          <w:rFonts w:ascii="宋体" w:hAnsi="宋体" w:cs="宋体" w:eastAsia="宋体" w:hint="default"/>
          <w:b/>
          <w:bCs/>
          <w:sz w:val="21"/>
          <w:szCs w:val="21"/>
        </w:rPr>
        <w:t>、生产性生物资产</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after="0" w:line="506" w:lineRule="auto"/>
        <w:jc w:val="left"/>
        <w:rPr>
          <w:rFonts w:ascii="宋体" w:hAnsi="宋体" w:cs="宋体" w:eastAsia="宋体" w:hint="default"/>
          <w:sz w:val="21"/>
          <w:szCs w:val="21"/>
        </w:rPr>
        <w:sectPr>
          <w:pgSz w:w="11910" w:h="16840"/>
          <w:pgMar w:header="884" w:footer="1007" w:top="1160" w:bottom="1200" w:left="1240" w:right="420"/>
        </w:sectPr>
      </w:pPr>
    </w:p>
    <w:p>
      <w:pPr>
        <w:spacing w:line="240" w:lineRule="auto" w:before="4"/>
        <w:rPr>
          <w:rFonts w:ascii="宋体" w:hAnsi="宋体" w:cs="宋体" w:eastAsia="宋体" w:hint="default"/>
          <w:sz w:val="16"/>
          <w:szCs w:val="16"/>
        </w:rPr>
      </w:pPr>
    </w:p>
    <w:p>
      <w:pPr>
        <w:spacing w:line="520" w:lineRule="auto" w:before="36"/>
        <w:ind w:left="558" w:right="76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、油气资产</w:t>
      </w:r>
      <w:r>
        <w:rPr>
          <w:rFonts w:ascii="宋体" w:hAnsi="宋体" w:cs="宋体" w:eastAsia="宋体" w:hint="default"/>
          <w:b/>
          <w:bCs/>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23</w:t>
      </w:r>
      <w:r>
        <w:rPr>
          <w:rFonts w:ascii="宋体" w:hAnsi="宋体" w:cs="宋体" w:eastAsia="宋体" w:hint="default"/>
          <w:b/>
          <w:bCs/>
          <w:sz w:val="21"/>
          <w:szCs w:val="21"/>
        </w:rPr>
        <w:t>、无形资产</w:t>
      </w:r>
      <w:r>
        <w:rPr>
          <w:rFonts w:ascii="宋体" w:hAnsi="宋体" w:cs="宋体" w:eastAsia="宋体" w:hint="default"/>
          <w:sz w:val="21"/>
          <w:szCs w:val="21"/>
        </w:rPr>
      </w:r>
    </w:p>
    <w:p>
      <w:pPr>
        <w:spacing w:before="49"/>
        <w:ind w:left="558" w:right="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2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009"/>
        <w:gridCol w:w="1685"/>
        <w:gridCol w:w="1685"/>
        <w:gridCol w:w="1685"/>
        <w:gridCol w:w="1685"/>
      </w:tblGrid>
      <w:tr>
        <w:trPr>
          <w:trHeight w:val="32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15"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03"/>
              <w:jc w:val="righ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sz w:val="21"/>
                <w:szCs w:val="21"/>
              </w:rPr>
            </w:r>
          </w:p>
        </w:tc>
      </w:tr>
      <w:tr>
        <w:trPr>
          <w:trHeight w:val="32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一、账面原值合计</w:t>
            </w:r>
          </w:p>
        </w:tc>
        <w:tc>
          <w:tcPr>
            <w:tcW w:w="16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4"/>
              <w:jc w:val="center"/>
              <w:rPr>
                <w:rFonts w:ascii="Calibri" w:hAnsi="Calibri" w:cs="Calibri" w:eastAsia="Calibri" w:hint="default"/>
                <w:sz w:val="21"/>
                <w:szCs w:val="21"/>
              </w:rPr>
            </w:pPr>
            <w:r>
              <w:rPr>
                <w:rFonts w:ascii="Calibri"/>
                <w:sz w:val="21"/>
              </w:rPr>
              <w:t>31,187,804.85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0" w:right="0"/>
              <w:jc w:val="left"/>
              <w:rPr>
                <w:rFonts w:ascii="Calibri" w:hAnsi="Calibri" w:cs="Calibri" w:eastAsia="Calibri" w:hint="default"/>
                <w:sz w:val="21"/>
                <w:szCs w:val="21"/>
              </w:rPr>
            </w:pPr>
            <w:r>
              <w:rPr>
                <w:rFonts w:ascii="Calibri"/>
                <w:sz w:val="21"/>
              </w:rPr>
              <w:t>6,060,725.33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7"/>
              <w:jc w:val="right"/>
              <w:rPr>
                <w:rFonts w:ascii="Calibri" w:hAnsi="Calibri" w:cs="Calibri" w:eastAsia="Calibri" w:hint="default"/>
                <w:sz w:val="21"/>
                <w:szCs w:val="21"/>
              </w:rPr>
            </w:pPr>
            <w:r>
              <w:rPr>
                <w:rFonts w:ascii="Calibri"/>
                <w:spacing w:val="-2"/>
                <w:sz w:val="21"/>
              </w:rPr>
              <w:t>37,248,530.18</w:t>
            </w:r>
          </w:p>
        </w:tc>
      </w:tr>
      <w:tr>
        <w:trPr>
          <w:trHeight w:val="322"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22,923,004.85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80" w:right="0"/>
              <w:jc w:val="left"/>
              <w:rPr>
                <w:rFonts w:ascii="Calibri" w:hAnsi="Calibri" w:cs="Calibri" w:eastAsia="Calibri" w:hint="default"/>
                <w:sz w:val="21"/>
                <w:szCs w:val="21"/>
              </w:rPr>
            </w:pPr>
            <w:r>
              <w:rPr>
                <w:rFonts w:ascii="Calibri"/>
                <w:sz w:val="21"/>
              </w:rPr>
              <w:t>6,060,725.33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8"/>
              <w:jc w:val="right"/>
              <w:rPr>
                <w:rFonts w:ascii="Calibri" w:hAnsi="Calibri" w:cs="Calibri" w:eastAsia="Calibri" w:hint="default"/>
                <w:sz w:val="21"/>
                <w:szCs w:val="21"/>
              </w:rPr>
            </w:pPr>
            <w:r>
              <w:rPr>
                <w:rFonts w:ascii="Calibri"/>
                <w:spacing w:val="-2"/>
                <w:sz w:val="21"/>
              </w:rPr>
              <w:t>28,983,730.18</w:t>
            </w:r>
          </w:p>
        </w:tc>
      </w:tr>
      <w:tr>
        <w:trPr>
          <w:trHeight w:val="322"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8,264,800.00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7"/>
              <w:jc w:val="right"/>
              <w:rPr>
                <w:rFonts w:ascii="Calibri" w:hAnsi="Calibri" w:cs="Calibri" w:eastAsia="Calibri" w:hint="default"/>
                <w:sz w:val="21"/>
                <w:szCs w:val="21"/>
              </w:rPr>
            </w:pPr>
            <w:r>
              <w:rPr>
                <w:rFonts w:ascii="Calibri"/>
                <w:spacing w:val="-2"/>
                <w:sz w:val="21"/>
              </w:rPr>
              <w:t>8,264,800.00</w:t>
            </w:r>
          </w:p>
        </w:tc>
      </w:tr>
      <w:tr>
        <w:trPr>
          <w:trHeight w:val="32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二、累计摊销合计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9,794,440.34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8" w:right="0"/>
              <w:jc w:val="left"/>
              <w:rPr>
                <w:rFonts w:ascii="Calibri" w:hAnsi="Calibri" w:cs="Calibri" w:eastAsia="Calibri" w:hint="default"/>
                <w:sz w:val="21"/>
                <w:szCs w:val="21"/>
              </w:rPr>
            </w:pPr>
            <w:r>
              <w:rPr>
                <w:rFonts w:ascii="Calibri"/>
                <w:sz w:val="21"/>
              </w:rPr>
              <w:t>4,752,796.58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0"/>
              <w:jc w:val="right"/>
              <w:rPr>
                <w:rFonts w:ascii="Calibri" w:hAnsi="Calibri" w:cs="Calibri" w:eastAsia="Calibri" w:hint="default"/>
                <w:sz w:val="21"/>
                <w:szCs w:val="21"/>
              </w:rPr>
            </w:pPr>
            <w:r>
              <w:rPr>
                <w:rFonts w:ascii="Calibri"/>
                <w:spacing w:val="-2"/>
                <w:sz w:val="21"/>
              </w:rPr>
              <w:t>14,547,236.92</w:t>
            </w:r>
          </w:p>
        </w:tc>
      </w:tr>
      <w:tr>
        <w:trPr>
          <w:trHeight w:val="324"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Calibri" w:hAnsi="Calibri" w:cs="Calibri" w:eastAsia="Calibri" w:hint="default"/>
                <w:sz w:val="21"/>
                <w:szCs w:val="21"/>
              </w:rPr>
            </w:pPr>
            <w:r>
              <w:rPr>
                <w:rFonts w:ascii="Calibri"/>
                <w:sz w:val="21"/>
              </w:rPr>
              <w:t>9,075,665.55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31" w:right="0"/>
              <w:jc w:val="left"/>
              <w:rPr>
                <w:rFonts w:ascii="Calibri" w:hAnsi="Calibri" w:cs="Calibri" w:eastAsia="Calibri" w:hint="default"/>
                <w:sz w:val="21"/>
                <w:szCs w:val="21"/>
              </w:rPr>
            </w:pPr>
            <w:r>
              <w:rPr>
                <w:rFonts w:ascii="Calibri"/>
                <w:sz w:val="21"/>
              </w:rPr>
              <w:t>4,197,994.39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Calibri" w:hAnsi="Calibri" w:cs="Calibri" w:eastAsia="Calibri" w:hint="default"/>
                <w:sz w:val="21"/>
                <w:szCs w:val="21"/>
              </w:rPr>
            </w:pPr>
            <w:r>
              <w:rPr>
                <w:rFonts w:ascii="Calibri"/>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77"/>
              <w:jc w:val="right"/>
              <w:rPr>
                <w:rFonts w:ascii="Calibri" w:hAnsi="Calibri" w:cs="Calibri" w:eastAsia="Calibri" w:hint="default"/>
                <w:sz w:val="21"/>
                <w:szCs w:val="21"/>
              </w:rPr>
            </w:pPr>
            <w:r>
              <w:rPr>
                <w:rFonts w:ascii="Calibri"/>
                <w:spacing w:val="-2"/>
                <w:sz w:val="21"/>
              </w:rPr>
              <w:t>13,273,659.94</w:t>
            </w:r>
          </w:p>
        </w:tc>
      </w:tr>
      <w:tr>
        <w:trPr>
          <w:trHeight w:val="322"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718,774.79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7" w:right="0"/>
              <w:jc w:val="left"/>
              <w:rPr>
                <w:rFonts w:ascii="Calibri" w:hAnsi="Calibri" w:cs="Calibri" w:eastAsia="Calibri" w:hint="default"/>
                <w:sz w:val="21"/>
                <w:szCs w:val="21"/>
              </w:rPr>
            </w:pPr>
            <w:r>
              <w:rPr>
                <w:rFonts w:ascii="Calibri"/>
                <w:sz w:val="21"/>
              </w:rPr>
              <w:t>554,802.19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2"/>
              <w:jc w:val="right"/>
              <w:rPr>
                <w:rFonts w:ascii="Calibri" w:hAnsi="Calibri" w:cs="Calibri" w:eastAsia="Calibri" w:hint="default"/>
                <w:sz w:val="21"/>
                <w:szCs w:val="21"/>
              </w:rPr>
            </w:pPr>
            <w:r>
              <w:rPr>
                <w:rFonts w:ascii="Calibri"/>
                <w:spacing w:val="-3"/>
                <w:sz w:val="21"/>
              </w:rPr>
              <w:t>1,273,576.98</w:t>
            </w:r>
          </w:p>
        </w:tc>
      </w:tr>
      <w:tr>
        <w:trPr>
          <w:trHeight w:val="634"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83" w:right="50" w:hanging="632"/>
              <w:jc w:val="left"/>
              <w:rPr>
                <w:rFonts w:ascii="宋体" w:hAnsi="宋体" w:cs="宋体" w:eastAsia="宋体" w:hint="default"/>
                <w:sz w:val="21"/>
                <w:szCs w:val="21"/>
              </w:rPr>
            </w:pPr>
            <w:r>
              <w:rPr>
                <w:rFonts w:ascii="宋体" w:hAnsi="宋体" w:cs="宋体" w:eastAsia="宋体" w:hint="default"/>
                <w:sz w:val="21"/>
                <w:szCs w:val="21"/>
              </w:rPr>
              <w:t>三、无形资产账面净</w:t>
            </w:r>
            <w:r>
              <w:rPr>
                <w:rFonts w:ascii="宋体" w:hAnsi="宋体" w:cs="宋体" w:eastAsia="宋体" w:hint="default"/>
                <w:w w:val="100"/>
                <w:sz w:val="21"/>
                <w:szCs w:val="21"/>
              </w:rPr>
              <w:t> </w:t>
            </w:r>
            <w:r>
              <w:rPr>
                <w:rFonts w:ascii="宋体" w:hAnsi="宋体" w:cs="宋体" w:eastAsia="宋体" w:hint="default"/>
                <w:sz w:val="21"/>
                <w:szCs w:val="21"/>
              </w:rPr>
              <w:t>值合计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21,393,364.51</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8"/>
              <w:jc w:val="right"/>
              <w:rPr>
                <w:rFonts w:ascii="Calibri" w:hAnsi="Calibri" w:cs="Calibri" w:eastAsia="Calibri" w:hint="default"/>
                <w:sz w:val="21"/>
                <w:szCs w:val="21"/>
              </w:rPr>
            </w:pPr>
            <w:r>
              <w:rPr>
                <w:rFonts w:ascii="Calibri"/>
                <w:spacing w:val="-2"/>
                <w:sz w:val="21"/>
              </w:rPr>
              <w:t>22,701,293.26</w:t>
            </w:r>
          </w:p>
        </w:tc>
      </w:tr>
      <w:tr>
        <w:trPr>
          <w:trHeight w:val="322"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13,847,339.30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5"/>
              <w:jc w:val="right"/>
              <w:rPr>
                <w:rFonts w:ascii="Calibri" w:hAnsi="Calibri" w:cs="Calibri" w:eastAsia="Calibri" w:hint="default"/>
                <w:sz w:val="21"/>
                <w:szCs w:val="21"/>
              </w:rPr>
            </w:pPr>
            <w:r>
              <w:rPr>
                <w:rFonts w:ascii="Calibri"/>
                <w:spacing w:val="-2"/>
                <w:sz w:val="21"/>
              </w:rPr>
              <w:t>15,710,070.24</w:t>
            </w:r>
          </w:p>
        </w:tc>
      </w:tr>
      <w:tr>
        <w:trPr>
          <w:trHeight w:val="322"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7,546,025.21</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5"/>
              <w:jc w:val="right"/>
              <w:rPr>
                <w:rFonts w:ascii="Calibri" w:hAnsi="Calibri" w:cs="Calibri" w:eastAsia="Calibri" w:hint="default"/>
                <w:sz w:val="21"/>
                <w:szCs w:val="21"/>
              </w:rPr>
            </w:pPr>
            <w:r>
              <w:rPr>
                <w:rFonts w:ascii="Calibri"/>
                <w:spacing w:val="-2"/>
                <w:sz w:val="21"/>
              </w:rPr>
              <w:t>6,991,223.02</w:t>
            </w:r>
          </w:p>
        </w:tc>
      </w:tr>
      <w:tr>
        <w:trPr>
          <w:trHeight w:val="322"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四、减值准备合计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w w:val="100"/>
                <w:sz w:val="21"/>
              </w:rPr>
              <w:t>-</w:t>
            </w:r>
          </w:p>
        </w:tc>
      </w:tr>
      <w:tr>
        <w:trPr>
          <w:trHeight w:val="324"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Calibri" w:hAnsi="Calibri" w:cs="Calibri" w:eastAsia="Calibri" w:hint="default"/>
                <w:sz w:val="21"/>
                <w:szCs w:val="21"/>
              </w:rPr>
            </w:pPr>
            <w:r>
              <w:rPr>
                <w:rFonts w:ascii="Calibri"/>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Calibri" w:hAnsi="Calibri" w:cs="Calibri" w:eastAsia="Calibri" w:hint="default"/>
                <w:sz w:val="21"/>
                <w:szCs w:val="21"/>
              </w:rPr>
            </w:pPr>
            <w:r>
              <w:rPr>
                <w:rFonts w:ascii="Calibri"/>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0"/>
              <w:jc w:val="center"/>
              <w:rPr>
                <w:rFonts w:ascii="Calibri" w:hAnsi="Calibri" w:cs="Calibri" w:eastAsia="Calibri" w:hint="default"/>
                <w:sz w:val="21"/>
                <w:szCs w:val="21"/>
              </w:rPr>
            </w:pPr>
            <w:r>
              <w:rPr>
                <w:rFonts w:ascii="Calibri"/>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1"/>
              <w:ind w:right="1"/>
              <w:jc w:val="center"/>
              <w:rPr>
                <w:rFonts w:ascii="Calibri" w:hAnsi="Calibri" w:cs="Calibri" w:eastAsia="Calibri" w:hint="default"/>
                <w:sz w:val="21"/>
                <w:szCs w:val="21"/>
              </w:rPr>
            </w:pPr>
            <w:r>
              <w:rPr>
                <w:rFonts w:ascii="Calibri"/>
                <w:w w:val="100"/>
                <w:sz w:val="21"/>
              </w:rPr>
              <w:t>-</w:t>
            </w:r>
          </w:p>
        </w:tc>
      </w:tr>
      <w:tr>
        <w:trPr>
          <w:trHeight w:val="322"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w w:val="100"/>
                <w:sz w:val="21"/>
              </w:rPr>
              <w:t>-</w:t>
            </w:r>
          </w:p>
        </w:tc>
      </w:tr>
      <w:tr>
        <w:trPr>
          <w:trHeight w:val="634"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892" w:right="50" w:hanging="840"/>
              <w:jc w:val="left"/>
              <w:rPr>
                <w:rFonts w:ascii="宋体" w:hAnsi="宋体" w:cs="宋体" w:eastAsia="宋体" w:hint="default"/>
                <w:sz w:val="21"/>
                <w:szCs w:val="21"/>
              </w:rPr>
            </w:pPr>
            <w:r>
              <w:rPr>
                <w:rFonts w:ascii="宋体" w:hAnsi="宋体" w:cs="宋体" w:eastAsia="宋体" w:hint="default"/>
                <w:sz w:val="21"/>
                <w:szCs w:val="21"/>
              </w:rPr>
              <w:t>无形资产账面价值合</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21,393,364.51</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28"/>
              <w:jc w:val="right"/>
              <w:rPr>
                <w:rFonts w:ascii="Calibri" w:hAnsi="Calibri" w:cs="Calibri" w:eastAsia="Calibri" w:hint="default"/>
                <w:sz w:val="21"/>
                <w:szCs w:val="21"/>
              </w:rPr>
            </w:pPr>
            <w:r>
              <w:rPr>
                <w:rFonts w:ascii="Calibri"/>
                <w:spacing w:val="-2"/>
                <w:sz w:val="21"/>
              </w:rPr>
              <w:t>22,701,293.26</w:t>
            </w:r>
          </w:p>
        </w:tc>
      </w:tr>
      <w:tr>
        <w:trPr>
          <w:trHeight w:val="322"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13,847,339.30</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5"/>
              <w:jc w:val="right"/>
              <w:rPr>
                <w:rFonts w:ascii="Calibri" w:hAnsi="Calibri" w:cs="Calibri" w:eastAsia="Calibri" w:hint="default"/>
                <w:sz w:val="21"/>
                <w:szCs w:val="21"/>
              </w:rPr>
            </w:pPr>
            <w:r>
              <w:rPr>
                <w:rFonts w:ascii="Calibri"/>
                <w:spacing w:val="-2"/>
                <w:sz w:val="21"/>
              </w:rPr>
              <w:t>15,710,070.24</w:t>
            </w:r>
          </w:p>
        </w:tc>
      </w:tr>
      <w:tr>
        <w:trPr>
          <w:trHeight w:val="322" w:hRule="exact"/>
        </w:trPr>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专利权</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7,546,025.21</w:t>
            </w: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75"/>
              <w:jc w:val="right"/>
              <w:rPr>
                <w:rFonts w:ascii="Calibri" w:hAnsi="Calibri" w:cs="Calibri" w:eastAsia="Calibri" w:hint="default"/>
                <w:sz w:val="21"/>
                <w:szCs w:val="21"/>
              </w:rPr>
            </w:pPr>
            <w:r>
              <w:rPr>
                <w:rFonts w:ascii="Calibri"/>
                <w:spacing w:val="-2"/>
                <w:sz w:val="21"/>
              </w:rPr>
              <w:t>6,991,223.02</w:t>
            </w:r>
          </w:p>
        </w:tc>
      </w:tr>
    </w:tbl>
    <w:p>
      <w:pPr>
        <w:spacing w:line="291" w:lineRule="exact" w:before="0"/>
        <w:ind w:left="558" w:right="82" w:firstLine="0"/>
        <w:jc w:val="left"/>
        <w:rPr>
          <w:rFonts w:ascii="宋体" w:hAnsi="宋体" w:cs="宋体" w:eastAsia="宋体" w:hint="default"/>
          <w:sz w:val="21"/>
          <w:szCs w:val="21"/>
        </w:rPr>
      </w:pPr>
      <w:r>
        <w:rPr>
          <w:rFonts w:ascii="宋体" w:hAnsi="宋体" w:cs="宋体" w:eastAsia="宋体" w:hint="default"/>
          <w:sz w:val="21"/>
          <w:szCs w:val="21"/>
        </w:rPr>
        <w:t>本期摊销额</w:t>
      </w:r>
      <w:r>
        <w:rPr>
          <w:rFonts w:ascii="宋体" w:hAnsi="宋体" w:cs="宋体" w:eastAsia="宋体" w:hint="default"/>
          <w:spacing w:val="-55"/>
          <w:sz w:val="21"/>
          <w:szCs w:val="21"/>
        </w:rPr>
        <w:t> </w:t>
      </w:r>
      <w:r>
        <w:rPr>
          <w:rFonts w:ascii="Arial Narrow" w:hAnsi="Arial Narrow" w:cs="Arial Narrow" w:eastAsia="Arial Narrow" w:hint="default"/>
          <w:sz w:val="24"/>
          <w:szCs w:val="24"/>
        </w:rPr>
        <w:t>4,752,796.58</w:t>
      </w:r>
      <w:r>
        <w:rPr>
          <w:rFonts w:ascii="Arial Narrow" w:hAnsi="Arial Narrow" w:cs="Arial Narrow" w:eastAsia="Arial Narrow" w:hint="default"/>
          <w:spacing w:val="3"/>
          <w:sz w:val="24"/>
          <w:szCs w:val="24"/>
        </w:rPr>
        <w:t> </w:t>
      </w:r>
      <w:r>
        <w:rPr>
          <w:rFonts w:ascii="宋体" w:hAnsi="宋体" w:cs="宋体" w:eastAsia="宋体" w:hint="default"/>
          <w:sz w:val="21"/>
          <w:szCs w:val="21"/>
        </w:rPr>
        <w:t>元。</w:t>
      </w:r>
    </w:p>
    <w:p>
      <w:pPr>
        <w:spacing w:line="240" w:lineRule="auto" w:before="8"/>
        <w:rPr>
          <w:rFonts w:ascii="宋体" w:hAnsi="宋体" w:cs="宋体" w:eastAsia="宋体" w:hint="default"/>
          <w:sz w:val="23"/>
          <w:szCs w:val="23"/>
        </w:rPr>
      </w:pPr>
    </w:p>
    <w:p>
      <w:pPr>
        <w:spacing w:before="0"/>
        <w:ind w:left="558" w:right="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）公司开发项目支出</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36"/>
        <w:ind w:left="0" w:right="2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464"/>
        <w:gridCol w:w="1457"/>
        <w:gridCol w:w="1459"/>
        <w:gridCol w:w="1457"/>
        <w:gridCol w:w="1707"/>
        <w:gridCol w:w="1205"/>
      </w:tblGrid>
      <w:tr>
        <w:trPr>
          <w:trHeight w:val="322" w:hRule="exact"/>
        </w:trPr>
        <w:tc>
          <w:tcPr>
            <w:tcW w:w="14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left="405"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left="302"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31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left="278"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22" w:hRule="exact"/>
        </w:trPr>
        <w:tc>
          <w:tcPr>
            <w:tcW w:w="1464" w:type="dxa"/>
            <w:vMerge/>
            <w:tcBorders>
              <w:left w:val="single" w:sz="4" w:space="0" w:color="000000"/>
              <w:bottom w:val="single" w:sz="4" w:space="0" w:color="000000"/>
              <w:right w:val="single" w:sz="4" w:space="0" w:color="000000"/>
            </w:tcBorders>
            <w:shd w:val="clear" w:color="auto" w:fill="D2D2D2"/>
          </w:tcPr>
          <w:p>
            <w:pPr/>
          </w:p>
        </w:tc>
        <w:tc>
          <w:tcPr>
            <w:tcW w:w="1457" w:type="dxa"/>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single" w:sz="4" w:space="0" w:color="000000"/>
              <w:right w:val="single" w:sz="4" w:space="0" w:color="000000"/>
            </w:tcBorders>
            <w:shd w:val="clear" w:color="auto" w:fill="D2D2D2"/>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8" w:right="0"/>
              <w:jc w:val="left"/>
              <w:rPr>
                <w:rFonts w:ascii="宋体" w:hAnsi="宋体" w:cs="宋体" w:eastAsia="宋体" w:hint="default"/>
                <w:sz w:val="21"/>
                <w:szCs w:val="21"/>
              </w:rPr>
            </w:pPr>
            <w:r>
              <w:rPr>
                <w:rFonts w:ascii="宋体" w:hAnsi="宋体" w:cs="宋体" w:eastAsia="宋体" w:hint="default"/>
                <w:b/>
                <w:bCs/>
                <w:sz w:val="21"/>
                <w:szCs w:val="21"/>
              </w:rPr>
              <w:t>计入当期损益</w:t>
            </w:r>
            <w:r>
              <w:rPr>
                <w:rFonts w:ascii="宋体" w:hAnsi="宋体" w:cs="宋体" w:eastAsia="宋体" w:hint="default"/>
                <w:sz w:val="21"/>
                <w:szCs w:val="21"/>
              </w:rPr>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7" w:right="0"/>
              <w:jc w:val="left"/>
              <w:rPr>
                <w:rFonts w:ascii="宋体" w:hAnsi="宋体" w:cs="宋体" w:eastAsia="宋体" w:hint="default"/>
                <w:sz w:val="21"/>
                <w:szCs w:val="21"/>
              </w:rPr>
            </w:pPr>
            <w:r>
              <w:rPr>
                <w:rFonts w:ascii="宋体" w:hAnsi="宋体" w:cs="宋体" w:eastAsia="宋体" w:hint="default"/>
                <w:b/>
                <w:bCs/>
                <w:sz w:val="21"/>
                <w:szCs w:val="21"/>
              </w:rPr>
              <w:t>确认为无形资产</w:t>
            </w:r>
            <w:r>
              <w:rPr>
                <w:rFonts w:ascii="宋体" w:hAnsi="宋体" w:cs="宋体" w:eastAsia="宋体" w:hint="default"/>
                <w:sz w:val="21"/>
                <w:szCs w:val="21"/>
              </w:rPr>
            </w:r>
          </w:p>
        </w:tc>
        <w:tc>
          <w:tcPr>
            <w:tcW w:w="1205" w:type="dxa"/>
            <w:vMerge/>
            <w:tcBorders>
              <w:left w:val="single" w:sz="4" w:space="0" w:color="000000"/>
              <w:bottom w:val="single" w:sz="4" w:space="0" w:color="000000"/>
              <w:right w:val="single" w:sz="4" w:space="0" w:color="000000"/>
            </w:tcBorders>
            <w:shd w:val="clear" w:color="auto" w:fill="D2D2D2"/>
          </w:tcPr>
          <w:p>
            <w:pPr/>
          </w:p>
        </w:tc>
      </w:tr>
      <w:tr>
        <w:trPr>
          <w:trHeight w:val="63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33"/>
              <w:ind w:left="23" w:right="38"/>
              <w:jc w:val="left"/>
              <w:rPr>
                <w:rFonts w:ascii="Arial Narrow" w:hAnsi="Arial Narrow" w:cs="Arial Narrow" w:eastAsia="Arial Narrow" w:hint="default"/>
                <w:sz w:val="21"/>
                <w:szCs w:val="21"/>
              </w:rPr>
            </w:pPr>
            <w:r>
              <w:rPr>
                <w:rFonts w:ascii="Arial Narrow"/>
                <w:sz w:val="21"/>
              </w:rPr>
              <w:t>Supermap</w:t>
            </w:r>
            <w:r>
              <w:rPr>
                <w:rFonts w:ascii="Arial Narrow"/>
                <w:spacing w:val="-5"/>
                <w:sz w:val="21"/>
              </w:rPr>
              <w:t> </w:t>
            </w:r>
            <w:r>
              <w:rPr>
                <w:rFonts w:ascii="Arial Narrow"/>
                <w:sz w:val="21"/>
              </w:rPr>
              <w:t>iServer</w:t>
            </w:r>
            <w:r>
              <w:rPr>
                <w:rFonts w:ascii="Arial Narrow"/>
                <w:spacing w:val="-1"/>
                <w:w w:val="100"/>
                <w:sz w:val="21"/>
              </w:rPr>
              <w:t> </w:t>
            </w:r>
            <w:r>
              <w:rPr>
                <w:rFonts w:ascii="Arial Narrow"/>
                <w:sz w:val="21"/>
              </w:rPr>
              <w:t>6.1x</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w w:val="100"/>
                <w:sz w:val="21"/>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spacing w:val="-1"/>
                <w:sz w:val="21"/>
              </w:rPr>
              <w:t>636,057.08</w:t>
            </w:r>
            <w:r>
              <w:rPr>
                <w:rFonts w:ascii="Arial Narrow"/>
                <w:sz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spacing w:val="-1"/>
                <w:sz w:val="21"/>
              </w:rPr>
              <w:t>636,057.08</w:t>
            </w:r>
            <w:r>
              <w:rPr>
                <w:rFonts w:ascii="Arial Narrow"/>
                <w:sz w:val="21"/>
              </w:rPr>
            </w:r>
          </w:p>
        </w:tc>
      </w:tr>
      <w:tr>
        <w:trPr>
          <w:trHeight w:val="324" w:hRule="exact"/>
        </w:trPr>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Arial Narrow" w:hAnsi="Arial Narrow" w:cs="Arial Narrow" w:eastAsia="Arial Narrow" w:hint="default"/>
                <w:sz w:val="21"/>
                <w:szCs w:val="21"/>
              </w:rPr>
            </w:pPr>
            <w:r>
              <w:rPr>
                <w:rFonts w:ascii="Arial Narrow"/>
                <w:w w:val="100"/>
                <w:sz w:val="21"/>
              </w:rPr>
              <w:t>-</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Arial Narrow" w:hAnsi="Arial Narrow" w:cs="Arial Narrow" w:eastAsia="Arial Narrow" w:hint="default"/>
                <w:sz w:val="21"/>
                <w:szCs w:val="21"/>
              </w:rPr>
            </w:pPr>
            <w:r>
              <w:rPr>
                <w:rFonts w:ascii="Arial Narrow"/>
                <w:spacing w:val="-1"/>
                <w:sz w:val="21"/>
              </w:rPr>
              <w:t>636,057.08</w:t>
            </w:r>
            <w:r>
              <w:rPr>
                <w:rFonts w:ascii="Arial Narrow"/>
                <w:sz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w w:val="100"/>
                <w:sz w:val="21"/>
              </w:rPr>
              <w:t>-</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w w:val="100"/>
                <w:sz w:val="21"/>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Arial Narrow" w:hAnsi="Arial Narrow" w:cs="Arial Narrow" w:eastAsia="Arial Narrow" w:hint="default"/>
                <w:sz w:val="21"/>
                <w:szCs w:val="21"/>
              </w:rPr>
            </w:pPr>
            <w:r>
              <w:rPr>
                <w:rFonts w:ascii="Arial Narrow"/>
                <w:spacing w:val="-1"/>
                <w:sz w:val="21"/>
              </w:rPr>
              <w:t>636,057.08</w:t>
            </w:r>
            <w:r>
              <w:rPr>
                <w:rFonts w:ascii="Arial Narrow"/>
                <w:sz w:val="21"/>
              </w:rPr>
            </w:r>
          </w:p>
        </w:tc>
      </w:tr>
    </w:tbl>
    <w:p>
      <w:pPr>
        <w:spacing w:line="247" w:lineRule="auto" w:before="0"/>
        <w:ind w:left="558" w:right="82" w:firstLine="0"/>
        <w:jc w:val="left"/>
        <w:rPr>
          <w:rFonts w:ascii="宋体" w:hAnsi="宋体" w:cs="宋体" w:eastAsia="宋体" w:hint="default"/>
          <w:sz w:val="21"/>
          <w:szCs w:val="21"/>
        </w:rPr>
      </w:pPr>
      <w:r>
        <w:rPr>
          <w:rFonts w:ascii="宋体" w:hAnsi="宋体" w:cs="宋体" w:eastAsia="宋体" w:hint="default"/>
          <w:sz w:val="21"/>
          <w:szCs w:val="21"/>
        </w:rPr>
        <w:t>本期开发支出占本期研究开发项目支出总额的比例：</w:t>
      </w:r>
      <w:r>
        <w:rPr>
          <w:rFonts w:ascii="Arial Narrow" w:hAnsi="Arial Narrow" w:cs="Arial Narrow" w:eastAsia="Arial Narrow" w:hint="default"/>
          <w:sz w:val="24"/>
          <w:szCs w:val="24"/>
        </w:rPr>
        <w:t>0.81%</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通过公司内部研发形成的无形资产占无形资产期末账面价值的比例。</w:t>
      </w:r>
    </w:p>
    <w:p>
      <w:pPr>
        <w:spacing w:line="240" w:lineRule="auto" w:before="12"/>
        <w:rPr>
          <w:rFonts w:ascii="宋体" w:hAnsi="宋体" w:cs="宋体" w:eastAsia="宋体" w:hint="default"/>
          <w:sz w:val="24"/>
          <w:szCs w:val="24"/>
        </w:rPr>
      </w:pPr>
    </w:p>
    <w:p>
      <w:pPr>
        <w:pStyle w:val="BodyText"/>
        <w:spacing w:line="230" w:lineRule="auto"/>
        <w:ind w:right="100"/>
        <w:jc w:val="left"/>
      </w:pPr>
      <w:r>
        <w:rPr/>
        <w:t>公司开发项目的说明：随着中国经济的调整发展，政府部门以及企业对地理信息系 统的需要越来越旺盛，尤其是三维技术在各行各业的广泛应用，本公司所处的</w:t>
      </w:r>
      <w:r>
        <w:rPr>
          <w:spacing w:val="-60"/>
        </w:rPr>
        <w:t> </w:t>
      </w:r>
      <w:r>
        <w:rPr>
          <w:rFonts w:ascii="Calibri" w:hAnsi="Calibri" w:cs="Calibri" w:eastAsia="Calibri" w:hint="default"/>
        </w:rPr>
        <w:t>GIS </w:t>
      </w:r>
      <w:r>
        <w:rPr/>
        <w:t>领域也对二三维显示相结合（即二三维一体化）的基础软件的需求也已经逐渐显现 出来。为适应市场需求，提升公司市场占有率，经本公司</w:t>
      </w:r>
      <w:r>
        <w:rPr>
          <w:spacing w:val="-60"/>
        </w:rPr>
        <w:t> </w:t>
      </w:r>
      <w:r>
        <w:rPr>
          <w:rFonts w:ascii="Calibri" w:hAnsi="Calibri" w:cs="Calibri" w:eastAsia="Calibri" w:hint="default"/>
          <w:spacing w:val="-5"/>
        </w:rPr>
        <w:t>APAC</w:t>
      </w:r>
      <w:r>
        <w:rPr>
          <w:rFonts w:ascii="Calibri" w:hAnsi="Calibri" w:cs="Calibri" w:eastAsia="Calibri" w:hint="default"/>
          <w:spacing w:val="4"/>
        </w:rPr>
        <w:t> </w:t>
      </w:r>
      <w:r>
        <w:rPr/>
        <w:t>委员会讨论并通过，</w:t>
      </w:r>
    </w:p>
    <w:p>
      <w:pPr>
        <w:spacing w:after="0" w:line="230" w:lineRule="auto"/>
        <w:jc w:val="left"/>
        <w:sectPr>
          <w:pgSz w:w="11910" w:h="16840"/>
          <w:pgMar w:header="884" w:footer="1007" w:top="1160" w:bottom="1200" w:left="1240" w:right="1200"/>
        </w:sectPr>
      </w:pPr>
    </w:p>
    <w:p>
      <w:pPr>
        <w:spacing w:line="240" w:lineRule="auto" w:before="13"/>
        <w:rPr>
          <w:rFonts w:ascii="宋体" w:hAnsi="宋体" w:cs="宋体" w:eastAsia="宋体" w:hint="default"/>
          <w:sz w:val="14"/>
          <w:szCs w:val="14"/>
        </w:rPr>
      </w:pPr>
    </w:p>
    <w:p>
      <w:pPr>
        <w:pStyle w:val="BodyText"/>
        <w:spacing w:line="312" w:lineRule="exact" w:before="56"/>
        <w:ind w:right="199"/>
        <w:jc w:val="left"/>
      </w:pPr>
      <w:r>
        <w:rPr>
          <w:spacing w:val="-3"/>
        </w:rPr>
        <w:t>首先启动服务器层面的二三维一体化研发，即</w:t>
      </w:r>
      <w:r>
        <w:rPr>
          <w:spacing w:val="-56"/>
        </w:rPr>
        <w:t> </w:t>
      </w:r>
      <w:r>
        <w:rPr>
          <w:rFonts w:ascii="Calibri" w:hAnsi="Calibri" w:cs="Calibri" w:eastAsia="Calibri" w:hint="default"/>
        </w:rPr>
        <w:t>Supermap</w:t>
      </w:r>
      <w:r>
        <w:rPr>
          <w:rFonts w:ascii="Calibri" w:hAnsi="Calibri" w:cs="Calibri" w:eastAsia="Calibri" w:hint="default"/>
          <w:spacing w:val="1"/>
        </w:rPr>
        <w:t> </w:t>
      </w:r>
      <w:r>
        <w:rPr>
          <w:rFonts w:ascii="Calibri" w:hAnsi="Calibri" w:cs="Calibri" w:eastAsia="Calibri" w:hint="default"/>
        </w:rPr>
        <w:t>iServer</w:t>
      </w:r>
      <w:r>
        <w:rPr>
          <w:rFonts w:ascii="Calibri" w:hAnsi="Calibri" w:cs="Calibri" w:eastAsia="Calibri" w:hint="default"/>
          <w:spacing w:val="-1"/>
        </w:rPr>
        <w:t> </w:t>
      </w:r>
      <w:r>
        <w:rPr>
          <w:rFonts w:ascii="Calibri" w:hAnsi="Calibri" w:cs="Calibri" w:eastAsia="Calibri" w:hint="default"/>
        </w:rPr>
        <w:t>6.1x</w:t>
      </w:r>
      <w:r>
        <w:rPr>
          <w:rFonts w:ascii="Calibri" w:hAnsi="Calibri" w:cs="Calibri" w:eastAsia="Calibri" w:hint="default"/>
          <w:spacing w:val="4"/>
        </w:rPr>
        <w:t> </w:t>
      </w:r>
      <w:r>
        <w:rPr>
          <w:spacing w:val="-8"/>
        </w:rPr>
        <w:t>项目。公司预计</w:t>
      </w:r>
      <w:r>
        <w:rPr/>
        <w:t> </w:t>
      </w:r>
      <w:r>
        <w:rPr>
          <w:spacing w:val="-5"/>
        </w:rPr>
        <w:t>通过一年的研发，在</w:t>
      </w:r>
      <w:r>
        <w:rPr>
          <w:spacing w:val="-77"/>
        </w:rPr>
        <w:t> </w:t>
      </w:r>
      <w:r>
        <w:rPr>
          <w:rFonts w:ascii="Calibri" w:hAnsi="Calibri" w:cs="Calibri" w:eastAsia="Calibri" w:hint="default"/>
        </w:rPr>
        <w:t>2014</w:t>
      </w:r>
      <w:r>
        <w:rPr>
          <w:rFonts w:ascii="Calibri" w:hAnsi="Calibri" w:cs="Calibri" w:eastAsia="Calibri" w:hint="default"/>
          <w:spacing w:val="-10"/>
        </w:rPr>
        <w:t> </w:t>
      </w:r>
      <w:r>
        <w:rPr/>
        <w:t>年发布该产品并实现发货销售。经过前期市场调研和项目 可行性论证，报经应用产品审批委员会批准立项，</w:t>
      </w:r>
      <w:r>
        <w:rPr>
          <w:rFonts w:ascii="Calibri" w:hAnsi="Calibri" w:cs="Calibri" w:eastAsia="Calibri" w:hint="default"/>
        </w:rPr>
        <w:t>2012</w:t>
      </w:r>
      <w:r>
        <w:rPr>
          <w:rFonts w:ascii="Calibri" w:hAnsi="Calibri" w:cs="Calibri" w:eastAsia="Calibri" w:hint="default"/>
          <w:spacing w:val="5"/>
        </w:rPr>
        <w:t> </w:t>
      </w:r>
      <w:r>
        <w:rPr/>
        <w:t>年</w:t>
      </w:r>
      <w:r>
        <w:rPr>
          <w:spacing w:val="-61"/>
        </w:rPr>
        <w:t> </w:t>
      </w:r>
      <w:r>
        <w:rPr>
          <w:rFonts w:ascii="Calibri" w:hAnsi="Calibri" w:cs="Calibri" w:eastAsia="Calibri" w:hint="default"/>
        </w:rPr>
        <w:t>10</w:t>
      </w:r>
      <w:r>
        <w:rPr>
          <w:rFonts w:ascii="Calibri" w:hAnsi="Calibri" w:cs="Calibri" w:eastAsia="Calibri" w:hint="default"/>
          <w:spacing w:val="5"/>
        </w:rPr>
        <w:t> </w:t>
      </w:r>
      <w:r>
        <w:rPr/>
        <w:t>月项目开发启动，项 目开发周期为</w:t>
      </w:r>
      <w:r>
        <w:rPr>
          <w:spacing w:val="-2"/>
        </w:rPr>
        <w:t> </w:t>
      </w:r>
      <w:r>
        <w:rPr>
          <w:rFonts w:ascii="Calibri" w:hAnsi="Calibri" w:cs="Calibri" w:eastAsia="Calibri" w:hint="default"/>
        </w:rPr>
        <w:t>2012</w:t>
      </w:r>
      <w:r>
        <w:rPr>
          <w:rFonts w:ascii="Calibri" w:hAnsi="Calibri" w:cs="Calibri" w:eastAsia="Calibri" w:hint="default"/>
          <w:spacing w:val="6"/>
        </w:rPr>
        <w:t> </w:t>
      </w:r>
      <w:r>
        <w:rPr/>
        <w:t>年</w:t>
      </w:r>
      <w:r>
        <w:rPr>
          <w:spacing w:val="-64"/>
        </w:rPr>
        <w:t> </w:t>
      </w:r>
      <w:r>
        <w:rPr>
          <w:rFonts w:ascii="Calibri" w:hAnsi="Calibri" w:cs="Calibri" w:eastAsia="Calibri" w:hint="default"/>
        </w:rPr>
        <w:t>10</w:t>
      </w:r>
      <w:r>
        <w:rPr>
          <w:rFonts w:ascii="Calibri" w:hAnsi="Calibri" w:cs="Calibri" w:eastAsia="Calibri" w:hint="default"/>
          <w:spacing w:val="5"/>
        </w:rPr>
        <w:t> </w:t>
      </w:r>
      <w:r>
        <w:rPr/>
        <w:t>月至</w:t>
      </w:r>
      <w:r>
        <w:rPr>
          <w:spacing w:val="-1"/>
        </w:rPr>
        <w:t> </w:t>
      </w:r>
      <w:r>
        <w:rPr>
          <w:rFonts w:ascii="Calibri" w:hAnsi="Calibri" w:cs="Calibri" w:eastAsia="Calibri" w:hint="default"/>
        </w:rPr>
        <w:t>2014</w:t>
      </w:r>
      <w:r>
        <w:rPr>
          <w:rFonts w:ascii="Calibri" w:hAnsi="Calibri" w:cs="Calibri" w:eastAsia="Calibri" w:hint="default"/>
          <w:spacing w:val="11"/>
        </w:rPr>
        <w:t> </w:t>
      </w:r>
      <w:r>
        <w:rPr/>
        <w:t>年</w:t>
      </w:r>
      <w:r>
        <w:rPr>
          <w:spacing w:val="-64"/>
        </w:rPr>
        <w:t> </w:t>
      </w:r>
      <w:r>
        <w:rPr>
          <w:rFonts w:ascii="Calibri" w:hAnsi="Calibri" w:cs="Calibri" w:eastAsia="Calibri" w:hint="default"/>
        </w:rPr>
        <w:t>9</w:t>
      </w:r>
      <w:r>
        <w:rPr>
          <w:rFonts w:ascii="Calibri" w:hAnsi="Calibri" w:cs="Calibri" w:eastAsia="Calibri" w:hint="default"/>
          <w:spacing w:val="5"/>
        </w:rPr>
        <w:t> </w:t>
      </w:r>
      <w:r>
        <w:rPr>
          <w:spacing w:val="-32"/>
        </w:rPr>
        <w:t>月。自</w:t>
      </w:r>
      <w:r>
        <w:rPr>
          <w:spacing w:val="-1"/>
        </w:rPr>
        <w:t> </w:t>
      </w:r>
      <w:r>
        <w:rPr>
          <w:rFonts w:ascii="Calibri" w:hAnsi="Calibri" w:cs="Calibri" w:eastAsia="Calibri" w:hint="default"/>
        </w:rPr>
        <w:t>2012</w:t>
      </w:r>
      <w:r>
        <w:rPr>
          <w:rFonts w:ascii="Calibri" w:hAnsi="Calibri" w:cs="Calibri" w:eastAsia="Calibri" w:hint="default"/>
          <w:spacing w:val="5"/>
        </w:rPr>
        <w:t> </w:t>
      </w:r>
      <w:r>
        <w:rPr/>
        <w:t>年</w:t>
      </w:r>
      <w:r>
        <w:rPr>
          <w:spacing w:val="-61"/>
        </w:rPr>
        <w:t> </w:t>
      </w:r>
      <w:r>
        <w:rPr>
          <w:rFonts w:ascii="Calibri" w:hAnsi="Calibri" w:cs="Calibri" w:eastAsia="Calibri" w:hint="default"/>
        </w:rPr>
        <w:t>10</w:t>
      </w:r>
      <w:r>
        <w:rPr>
          <w:rFonts w:ascii="Calibri" w:hAnsi="Calibri" w:cs="Calibri" w:eastAsia="Calibri" w:hint="default"/>
          <w:spacing w:val="5"/>
        </w:rPr>
        <w:t> </w:t>
      </w:r>
      <w:r>
        <w:rPr/>
        <w:t>月</w:t>
      </w:r>
      <w:r>
        <w:rPr>
          <w:spacing w:val="-64"/>
        </w:rPr>
        <w:t> </w:t>
      </w:r>
      <w:r>
        <w:rPr>
          <w:rFonts w:ascii="Calibri" w:hAnsi="Calibri" w:cs="Calibri" w:eastAsia="Calibri" w:hint="default"/>
        </w:rPr>
        <w:t>1</w:t>
      </w:r>
      <w:r>
        <w:rPr>
          <w:rFonts w:ascii="Calibri" w:hAnsi="Calibri" w:cs="Calibri" w:eastAsia="Calibri" w:hint="default"/>
          <w:spacing w:val="5"/>
        </w:rPr>
        <w:t> </w:t>
      </w:r>
      <w:r>
        <w:rPr/>
        <w:t>日起发生的开发费 用按新会计准则计入开发支出，予以资本化。</w:t>
      </w:r>
    </w:p>
    <w:p>
      <w:pPr>
        <w:spacing w:line="240" w:lineRule="auto" w:before="9"/>
        <w:rPr>
          <w:rFonts w:ascii="宋体" w:hAnsi="宋体" w:cs="宋体" w:eastAsia="宋体" w:hint="default"/>
          <w:sz w:val="22"/>
          <w:szCs w:val="22"/>
        </w:rPr>
      </w:pPr>
    </w:p>
    <w:p>
      <w:pPr>
        <w:spacing w:before="0"/>
        <w:ind w:left="558" w:right="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、商誉</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2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312"/>
        <w:gridCol w:w="1334"/>
        <w:gridCol w:w="1335"/>
        <w:gridCol w:w="1337"/>
        <w:gridCol w:w="1337"/>
        <w:gridCol w:w="1094"/>
      </w:tblGrid>
      <w:tr>
        <w:trPr>
          <w:trHeight w:val="634" w:hRule="exact"/>
        </w:trPr>
        <w:tc>
          <w:tcPr>
            <w:tcW w:w="2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23" w:right="94" w:hanging="528"/>
              <w:jc w:val="left"/>
              <w:rPr>
                <w:rFonts w:ascii="宋体" w:hAnsi="宋体" w:cs="宋体" w:eastAsia="宋体" w:hint="default"/>
                <w:sz w:val="21"/>
                <w:szCs w:val="21"/>
              </w:rPr>
            </w:pPr>
            <w:r>
              <w:rPr>
                <w:rFonts w:ascii="宋体" w:hAnsi="宋体" w:cs="宋体" w:eastAsia="宋体" w:hint="default"/>
                <w:b/>
                <w:bCs/>
                <w:sz w:val="21"/>
                <w:szCs w:val="21"/>
              </w:rPr>
              <w:t>被投资单位名称或形成</w:t>
            </w:r>
            <w:r>
              <w:rPr>
                <w:rFonts w:ascii="宋体" w:hAnsi="宋体" w:cs="宋体" w:eastAsia="宋体" w:hint="default"/>
                <w:b/>
                <w:bCs/>
                <w:w w:val="100"/>
                <w:sz w:val="21"/>
                <w:szCs w:val="21"/>
              </w:rPr>
              <w:t> </w:t>
            </w:r>
            <w:r>
              <w:rPr>
                <w:rFonts w:ascii="宋体" w:hAnsi="宋体" w:cs="宋体" w:eastAsia="宋体" w:hint="default"/>
                <w:b/>
                <w:bCs/>
                <w:sz w:val="21"/>
                <w:szCs w:val="21"/>
              </w:rPr>
              <w:t>商誉的事项</w:t>
            </w:r>
            <w:r>
              <w:rPr>
                <w:rFonts w:ascii="宋体" w:hAnsi="宋体" w:cs="宋体" w:eastAsia="宋体" w:hint="default"/>
                <w:sz w:val="21"/>
                <w:szCs w:val="21"/>
              </w:rPr>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28" w:right="119" w:hanging="209"/>
              <w:jc w:val="left"/>
              <w:rPr>
                <w:rFonts w:ascii="宋体" w:hAnsi="宋体" w:cs="宋体" w:eastAsia="宋体" w:hint="default"/>
                <w:sz w:val="21"/>
                <w:szCs w:val="21"/>
              </w:rPr>
            </w:pPr>
            <w:r>
              <w:rPr>
                <w:rFonts w:ascii="宋体" w:hAnsi="宋体" w:cs="宋体" w:eastAsia="宋体" w:hint="default"/>
                <w:b/>
                <w:bCs/>
                <w:sz w:val="21"/>
                <w:szCs w:val="21"/>
              </w:rPr>
              <w:t>期末减值</w:t>
            </w:r>
            <w:r>
              <w:rPr>
                <w:rFonts w:ascii="宋体" w:hAnsi="宋体" w:cs="宋体" w:eastAsia="宋体" w:hint="default"/>
                <w:b/>
                <w:bCs/>
                <w:w w:val="100"/>
                <w:sz w:val="21"/>
                <w:szCs w:val="21"/>
              </w:rPr>
              <w:t> </w:t>
            </w:r>
            <w:r>
              <w:rPr>
                <w:rFonts w:ascii="宋体" w:hAnsi="宋体" w:cs="宋体" w:eastAsia="宋体" w:hint="default"/>
                <w:b/>
                <w:bCs/>
                <w:sz w:val="21"/>
                <w:szCs w:val="21"/>
              </w:rPr>
              <w:t>准备</w:t>
            </w:r>
            <w:r>
              <w:rPr>
                <w:rFonts w:ascii="宋体" w:hAnsi="宋体" w:cs="宋体" w:eastAsia="宋体" w:hint="default"/>
                <w:sz w:val="21"/>
                <w:szCs w:val="21"/>
              </w:rPr>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日本超图株式会社</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1,312,138.80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Calibri" w:hAnsi="Calibri" w:cs="Calibri" w:eastAsia="Calibri" w:hint="default"/>
                <w:sz w:val="21"/>
                <w:szCs w:val="21"/>
              </w:rPr>
            </w:pPr>
            <w:r>
              <w:rPr>
                <w:rFonts w:ascii="Calibri"/>
                <w:w w:val="100"/>
                <w:sz w:val="21"/>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1,312,138.80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2"/>
              <w:jc w:val="center"/>
              <w:rPr>
                <w:rFonts w:ascii="Calibri" w:hAnsi="Calibri" w:cs="Calibri" w:eastAsia="Calibri" w:hint="default"/>
                <w:sz w:val="21"/>
                <w:szCs w:val="21"/>
              </w:rPr>
            </w:pPr>
            <w:r>
              <w:rPr>
                <w:rFonts w:ascii="Calibri"/>
                <w:sz w:val="21"/>
              </w:rPr>
              <w:t>1,312,138.80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Calibri" w:hAnsi="Calibri" w:cs="Calibri" w:eastAsia="Calibri" w:hint="default"/>
                <w:sz w:val="21"/>
                <w:szCs w:val="21"/>
              </w:rPr>
            </w:pPr>
            <w:r>
              <w:rPr>
                <w:rFonts w:ascii="Calibri"/>
                <w:w w:val="100"/>
                <w:sz w:val="21"/>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1,312,138.80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r>
    </w:tbl>
    <w:p>
      <w:pPr>
        <w:spacing w:line="262" w:lineRule="exact" w:before="0"/>
        <w:ind w:left="558" w:right="82" w:firstLine="0"/>
        <w:jc w:val="left"/>
        <w:rPr>
          <w:rFonts w:ascii="宋体" w:hAnsi="宋体" w:cs="宋体" w:eastAsia="宋体" w:hint="default"/>
          <w:sz w:val="21"/>
          <w:szCs w:val="21"/>
        </w:rPr>
      </w:pPr>
      <w:r>
        <w:rPr>
          <w:rFonts w:ascii="宋体" w:hAnsi="宋体" w:cs="宋体" w:eastAsia="宋体" w:hint="default"/>
          <w:sz w:val="21"/>
          <w:szCs w:val="21"/>
        </w:rPr>
        <w:t>说明商誉的减值测试方法和减值准备计提方法</w:t>
      </w:r>
    </w:p>
    <w:p>
      <w:pPr>
        <w:spacing w:line="240" w:lineRule="auto" w:before="12"/>
        <w:rPr>
          <w:rFonts w:ascii="宋体" w:hAnsi="宋体" w:cs="宋体" w:eastAsia="宋体" w:hint="default"/>
          <w:sz w:val="26"/>
          <w:szCs w:val="26"/>
        </w:rPr>
      </w:pPr>
    </w:p>
    <w:p>
      <w:pPr>
        <w:pStyle w:val="BodyText"/>
        <w:spacing w:line="312" w:lineRule="exact"/>
        <w:ind w:right="82"/>
        <w:jc w:val="left"/>
      </w:pPr>
      <w:r>
        <w:rPr/>
        <w:t>本公司采用预计未来现金流现值的方法计算包含商誉的资产组的可收回金额。本公 司根据管理层批准的财务预算预计未来</w:t>
      </w:r>
      <w:r>
        <w:rPr>
          <w:spacing w:val="-60"/>
        </w:rPr>
        <w:t> </w:t>
      </w:r>
      <w:r>
        <w:rPr>
          <w:rFonts w:ascii="Calibri" w:hAnsi="Calibri" w:cs="Calibri" w:eastAsia="Calibri" w:hint="default"/>
        </w:rPr>
        <w:t>5</w:t>
      </w:r>
      <w:r>
        <w:rPr>
          <w:rFonts w:ascii="Calibri" w:hAnsi="Calibri" w:cs="Calibri" w:eastAsia="Calibri" w:hint="default"/>
          <w:spacing w:val="6"/>
        </w:rPr>
        <w:t> </w:t>
      </w:r>
      <w:r>
        <w:rPr/>
        <w:t>年内现金流量。管理层根据过往表现及其 对市场发展的预期编制上述财务预算。计算未来现金流现值所采用的折现率为包含 商誉的资产组的加权平均资本成本，本期为</w:t>
      </w:r>
      <w:r>
        <w:rPr>
          <w:spacing w:val="-59"/>
        </w:rPr>
        <w:t> </w:t>
      </w:r>
      <w:r>
        <w:rPr>
          <w:rFonts w:ascii="Calibri" w:hAnsi="Calibri" w:cs="Calibri" w:eastAsia="Calibri" w:hint="default"/>
          <w:spacing w:val="-6"/>
        </w:rPr>
        <w:t>19.55%</w:t>
      </w:r>
      <w:r>
        <w:rPr>
          <w:spacing w:val="-6"/>
        </w:rPr>
        <w:t>（上期：</w:t>
      </w:r>
      <w:r>
        <w:rPr>
          <w:rFonts w:ascii="Calibri" w:hAnsi="Calibri" w:cs="Calibri" w:eastAsia="Calibri" w:hint="default"/>
          <w:spacing w:val="-6"/>
        </w:rPr>
        <w:t>17.62%</w:t>
      </w:r>
      <w:r>
        <w:rPr>
          <w:spacing w:val="-6"/>
        </w:rPr>
        <w:t>），已反映了相</w:t>
      </w:r>
      <w:r>
        <w:rPr>
          <w:spacing w:val="-114"/>
        </w:rPr>
        <w:t> </w:t>
      </w:r>
      <w:r>
        <w:rPr>
          <w:spacing w:val="-114"/>
        </w:rPr>
      </w:r>
      <w:r>
        <w:rPr>
          <w:spacing w:val="-2"/>
        </w:rPr>
        <w:t>对于有关分部的风险。根据减值测试的结果，本期期末商誉未发生减值（上期期末：</w:t>
      </w:r>
      <w:r>
        <w:rPr>
          <w:spacing w:val="-118"/>
        </w:rPr>
        <w:t> </w:t>
      </w:r>
      <w:r>
        <w:rPr>
          <w:spacing w:val="-118"/>
        </w:rPr>
      </w:r>
      <w:r>
        <w:rPr>
          <w:spacing w:val="-40"/>
        </w:rPr>
        <w:t>无）。</w:t>
      </w:r>
    </w:p>
    <w:p>
      <w:pPr>
        <w:spacing w:line="240" w:lineRule="auto" w:before="10"/>
        <w:rPr>
          <w:rFonts w:ascii="宋体" w:hAnsi="宋体" w:cs="宋体" w:eastAsia="宋体" w:hint="default"/>
          <w:sz w:val="22"/>
          <w:szCs w:val="22"/>
        </w:rPr>
      </w:pPr>
    </w:p>
    <w:p>
      <w:pPr>
        <w:spacing w:before="0"/>
        <w:ind w:left="558" w:right="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、长期待摊费用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2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253"/>
        <w:gridCol w:w="1251"/>
        <w:gridCol w:w="1248"/>
        <w:gridCol w:w="1251"/>
        <w:gridCol w:w="1248"/>
        <w:gridCol w:w="1251"/>
        <w:gridCol w:w="1248"/>
      </w:tblGrid>
      <w:tr>
        <w:trPr>
          <w:trHeight w:val="63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1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5"/>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91" w:right="0"/>
              <w:jc w:val="left"/>
              <w:rPr>
                <w:rFonts w:ascii="宋体" w:hAnsi="宋体" w:cs="宋体" w:eastAsia="宋体" w:hint="default"/>
                <w:sz w:val="21"/>
                <w:szCs w:val="21"/>
              </w:rPr>
            </w:pPr>
            <w:r>
              <w:rPr>
                <w:rFonts w:ascii="宋体" w:hAnsi="宋体" w:cs="宋体" w:eastAsia="宋体" w:hint="default"/>
                <w:b/>
                <w:bCs/>
                <w:sz w:val="21"/>
                <w:szCs w:val="21"/>
              </w:rPr>
              <w:t>本期增加额</w:t>
            </w:r>
            <w:r>
              <w:rPr>
                <w:rFonts w:ascii="宋体" w:hAnsi="宋体" w:cs="宋体" w:eastAsia="宋体" w:hint="default"/>
                <w:sz w:val="21"/>
                <w:szCs w:val="21"/>
              </w:rPr>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93" w:right="0"/>
              <w:jc w:val="left"/>
              <w:rPr>
                <w:rFonts w:ascii="宋体" w:hAnsi="宋体" w:cs="宋体" w:eastAsia="宋体" w:hint="default"/>
                <w:sz w:val="21"/>
                <w:szCs w:val="21"/>
              </w:rPr>
            </w:pPr>
            <w:r>
              <w:rPr>
                <w:rFonts w:ascii="宋体" w:hAnsi="宋体" w:cs="宋体" w:eastAsia="宋体" w:hint="default"/>
                <w:b/>
                <w:bCs/>
                <w:sz w:val="21"/>
                <w:szCs w:val="21"/>
              </w:rPr>
              <w:t>本期摊销额</w:t>
            </w:r>
            <w:r>
              <w:rPr>
                <w:rFonts w:ascii="宋体" w:hAnsi="宋体" w:cs="宋体" w:eastAsia="宋体" w:hint="default"/>
                <w:sz w:val="21"/>
                <w:szCs w:val="21"/>
              </w:rPr>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89"/>
              <w:jc w:val="right"/>
              <w:rPr>
                <w:rFonts w:ascii="宋体" w:hAnsi="宋体" w:cs="宋体" w:eastAsia="宋体" w:hint="default"/>
                <w:sz w:val="21"/>
                <w:szCs w:val="21"/>
              </w:rPr>
            </w:pPr>
            <w:r>
              <w:rPr>
                <w:rFonts w:ascii="宋体" w:hAnsi="宋体" w:cs="宋体" w:eastAsia="宋体" w:hint="default"/>
                <w:b/>
                <w:bCs/>
                <w:sz w:val="21"/>
                <w:szCs w:val="21"/>
              </w:rPr>
              <w:t>其他减少额</w:t>
            </w:r>
            <w:r>
              <w:rPr>
                <w:rFonts w:ascii="宋体" w:hAnsi="宋体" w:cs="宋体" w:eastAsia="宋体" w:hint="default"/>
                <w:sz w:val="21"/>
                <w:szCs w:val="21"/>
              </w:rPr>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02"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05" w:right="89" w:hanging="315"/>
              <w:jc w:val="left"/>
              <w:rPr>
                <w:rFonts w:ascii="宋体" w:hAnsi="宋体" w:cs="宋体" w:eastAsia="宋体" w:hint="default"/>
                <w:sz w:val="21"/>
                <w:szCs w:val="21"/>
              </w:rPr>
            </w:pPr>
            <w:r>
              <w:rPr>
                <w:rFonts w:ascii="宋体" w:hAnsi="宋体" w:cs="宋体" w:eastAsia="宋体" w:hint="default"/>
                <w:b/>
                <w:bCs/>
                <w:sz w:val="21"/>
                <w:szCs w:val="21"/>
              </w:rPr>
              <w:t>其他减少的</w:t>
            </w:r>
            <w:r>
              <w:rPr>
                <w:rFonts w:ascii="宋体" w:hAnsi="宋体" w:cs="宋体" w:eastAsia="宋体" w:hint="default"/>
                <w:b/>
                <w:bCs/>
                <w:w w:val="100"/>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04" w:right="0"/>
              <w:jc w:val="left"/>
              <w:rPr>
                <w:rFonts w:ascii="宋体" w:hAnsi="宋体" w:cs="宋体" w:eastAsia="宋体" w:hint="default"/>
                <w:sz w:val="21"/>
                <w:szCs w:val="21"/>
              </w:rPr>
            </w:pPr>
            <w:r>
              <w:rPr>
                <w:rFonts w:ascii="宋体" w:hAnsi="宋体" w:cs="宋体" w:eastAsia="宋体" w:hint="default"/>
                <w:sz w:val="21"/>
                <w:szCs w:val="21"/>
              </w:rPr>
              <w:t>装修费</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1,382,991.90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1" w:right="0"/>
              <w:jc w:val="left"/>
              <w:rPr>
                <w:rFonts w:ascii="Calibri" w:hAnsi="Calibri" w:cs="Calibri" w:eastAsia="Calibri" w:hint="default"/>
                <w:sz w:val="21"/>
                <w:szCs w:val="21"/>
              </w:rPr>
            </w:pPr>
            <w:r>
              <w:rPr>
                <w:rFonts w:ascii="Calibri"/>
                <w:sz w:val="21"/>
              </w:rPr>
              <w:t>515,869.84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w w:val="100"/>
                <w:sz w:val="21"/>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41" w:right="0"/>
              <w:jc w:val="left"/>
              <w:rPr>
                <w:rFonts w:ascii="Calibri" w:hAnsi="Calibri" w:cs="Calibri" w:eastAsia="Calibri" w:hint="default"/>
                <w:sz w:val="21"/>
                <w:szCs w:val="21"/>
              </w:rPr>
            </w:pPr>
            <w:r>
              <w:rPr>
                <w:rFonts w:ascii="Calibri"/>
                <w:sz w:val="21"/>
              </w:rPr>
              <w:t>867,122.06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装修费</w:t>
            </w: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71" w:right="0"/>
              <w:jc w:val="center"/>
              <w:rPr>
                <w:rFonts w:ascii="Calibri" w:hAnsi="Calibri" w:cs="Calibri" w:eastAsia="Calibri" w:hint="default"/>
                <w:sz w:val="21"/>
                <w:szCs w:val="21"/>
              </w:rPr>
            </w:pPr>
            <w:r>
              <w:rPr>
                <w:rFonts w:ascii="Calibri"/>
                <w:sz w:val="21"/>
              </w:rPr>
              <w:t>1,382,991.90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Arial Narrow" w:hAnsi="Arial Narrow" w:cs="Arial Narrow" w:eastAsia="Arial Narrow" w:hint="default"/>
                <w:sz w:val="24"/>
                <w:szCs w:val="24"/>
              </w:rPr>
            </w:pPr>
            <w:r>
              <w:rPr>
                <w:rFonts w:ascii="Arial Narrow"/>
                <w:sz w:val="24"/>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32" w:right="0"/>
              <w:jc w:val="left"/>
              <w:rPr>
                <w:rFonts w:ascii="Arial Narrow" w:hAnsi="Arial Narrow" w:cs="Arial Narrow" w:eastAsia="Arial Narrow" w:hint="default"/>
                <w:sz w:val="24"/>
                <w:szCs w:val="24"/>
              </w:rPr>
            </w:pPr>
            <w:r>
              <w:rPr>
                <w:rFonts w:ascii="Arial Narrow"/>
                <w:sz w:val="24"/>
              </w:rPr>
              <w:t>515,869.84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Arial Narrow" w:hAnsi="Arial Narrow" w:cs="Arial Narrow" w:eastAsia="Arial Narrow" w:hint="default"/>
                <w:sz w:val="24"/>
                <w:szCs w:val="24"/>
              </w:rPr>
            </w:pPr>
            <w:r>
              <w:rPr>
                <w:rFonts w:ascii="Arial Narrow"/>
                <w:sz w:val="24"/>
              </w:rPr>
              <w:t>-</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61" w:right="0"/>
              <w:jc w:val="left"/>
              <w:rPr>
                <w:rFonts w:ascii="Calibri" w:hAnsi="Calibri" w:cs="Calibri" w:eastAsia="Calibri" w:hint="default"/>
                <w:sz w:val="21"/>
                <w:szCs w:val="21"/>
              </w:rPr>
            </w:pPr>
            <w:r>
              <w:rPr>
                <w:rFonts w:ascii="Calibri"/>
                <w:sz w:val="21"/>
              </w:rPr>
              <w:t>867,122.06</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r>
    </w:tbl>
    <w:p>
      <w:pPr>
        <w:spacing w:line="273" w:lineRule="auto" w:before="0"/>
        <w:ind w:left="558" w:right="1630" w:firstLine="0"/>
        <w:jc w:val="left"/>
        <w:rPr>
          <w:rFonts w:ascii="宋体" w:hAnsi="宋体" w:cs="宋体" w:eastAsia="宋体" w:hint="default"/>
          <w:sz w:val="21"/>
          <w:szCs w:val="21"/>
        </w:rPr>
      </w:pPr>
      <w:r>
        <w:rPr>
          <w:rFonts w:ascii="宋体" w:hAnsi="宋体" w:cs="宋体" w:eastAsia="宋体" w:hint="default"/>
          <w:sz w:val="21"/>
          <w:szCs w:val="21"/>
        </w:rPr>
        <w:t>长期待摊费用的说明</w:t>
      </w:r>
      <w:r>
        <w:rPr>
          <w:rFonts w:ascii="宋体" w:hAnsi="宋体" w:cs="宋体" w:eastAsia="宋体" w:hint="default"/>
          <w:w w:val="100"/>
          <w:sz w:val="21"/>
          <w:szCs w:val="21"/>
        </w:rPr>
        <w:t> </w:t>
      </w:r>
      <w:r>
        <w:rPr>
          <w:rFonts w:ascii="宋体" w:hAnsi="宋体" w:cs="宋体" w:eastAsia="宋体" w:hint="default"/>
          <w:spacing w:val="-2"/>
          <w:sz w:val="21"/>
          <w:szCs w:val="21"/>
        </w:rPr>
        <w:t>注：金额较大的长期待摊费用项目，说明其具体摊销方法。</w:t>
      </w:r>
    </w:p>
    <w:p>
      <w:pPr>
        <w:spacing w:line="240" w:lineRule="auto" w:before="7"/>
        <w:rPr>
          <w:rFonts w:ascii="宋体" w:hAnsi="宋体" w:cs="宋体" w:eastAsia="宋体" w:hint="default"/>
          <w:sz w:val="23"/>
          <w:szCs w:val="23"/>
        </w:rPr>
      </w:pPr>
    </w:p>
    <w:p>
      <w:pPr>
        <w:spacing w:before="0"/>
        <w:ind w:left="558" w:right="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26</w:t>
      </w:r>
      <w:r>
        <w:rPr>
          <w:rFonts w:ascii="宋体" w:hAnsi="宋体" w:cs="宋体" w:eastAsia="宋体" w:hint="default"/>
          <w:b/>
          <w:bCs/>
          <w:sz w:val="21"/>
          <w:szCs w:val="21"/>
        </w:rPr>
        <w:t>、递延所得税资产和递延所得税负债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558" w:right="82" w:firstLine="0"/>
        <w:jc w:val="left"/>
        <w:rPr>
          <w:rFonts w:ascii="宋体" w:hAnsi="宋体" w:cs="宋体" w:eastAsia="宋体" w:hint="default"/>
          <w:sz w:val="21"/>
          <w:szCs w:val="21"/>
        </w:rPr>
      </w:pPr>
      <w:r>
        <w:rPr>
          <w:rFonts w:ascii="宋体" w:hAnsi="宋体" w:cs="宋体" w:eastAsia="宋体" w:hint="default"/>
          <w:sz w:val="21"/>
          <w:szCs w:val="21"/>
        </w:rPr>
        <w:t>已确认的递延所得税资产和递延所得税负债</w:t>
      </w:r>
    </w:p>
    <w:p>
      <w:pPr>
        <w:spacing w:before="37"/>
        <w:ind w:left="0" w:right="2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4687"/>
        <w:gridCol w:w="2132"/>
        <w:gridCol w:w="1918"/>
      </w:tblGrid>
      <w:tr>
        <w:trPr>
          <w:trHeight w:val="329"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6"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12" w:hRule="exact"/>
        </w:trPr>
        <w:tc>
          <w:tcPr>
            <w:tcW w:w="873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326"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11"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132" w:type="dxa"/>
            <w:tcBorders>
              <w:top w:val="single" w:sz="4" w:space="0" w:color="000000"/>
              <w:left w:val="single" w:sz="13" w:space="0" w:color="D2D2D2"/>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开办费</w:t>
            </w:r>
          </w:p>
        </w:tc>
        <w:tc>
          <w:tcPr>
            <w:tcW w:w="2132" w:type="dxa"/>
            <w:tcBorders>
              <w:top w:val="single" w:sz="4" w:space="0" w:color="000000"/>
              <w:left w:val="single" w:sz="13" w:space="0" w:color="D2D2D2"/>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132" w:type="dxa"/>
            <w:tcBorders>
              <w:top w:val="single" w:sz="4" w:space="0" w:color="000000"/>
              <w:left w:val="single" w:sz="13" w:space="0" w:color="D2D2D2"/>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95" w:right="0"/>
              <w:jc w:val="left"/>
              <w:rPr>
                <w:rFonts w:ascii="Arial Narrow" w:hAnsi="Arial Narrow" w:cs="Arial Narrow" w:eastAsia="Arial Narrow" w:hint="default"/>
                <w:sz w:val="21"/>
                <w:szCs w:val="21"/>
              </w:rPr>
            </w:pPr>
            <w:r>
              <w:rPr>
                <w:rFonts w:ascii="Arial Narrow"/>
                <w:sz w:val="21"/>
              </w:rPr>
              <w:t>4,834,933.13</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878" w:right="0"/>
              <w:jc w:val="left"/>
              <w:rPr>
                <w:rFonts w:ascii="Arial Narrow" w:hAnsi="Arial Narrow" w:cs="Arial Narrow" w:eastAsia="Arial Narrow" w:hint="default"/>
                <w:sz w:val="21"/>
                <w:szCs w:val="21"/>
              </w:rPr>
            </w:pPr>
            <w:r>
              <w:rPr>
                <w:rFonts w:ascii="Arial Narrow"/>
                <w:sz w:val="21"/>
              </w:rPr>
              <w:t>3,556,160.96</w:t>
            </w:r>
          </w:p>
        </w:tc>
      </w:tr>
    </w:tbl>
    <w:p>
      <w:pPr>
        <w:spacing w:after="0" w:line="240" w:lineRule="auto"/>
        <w:jc w:val="left"/>
        <w:rPr>
          <w:rFonts w:ascii="Arial Narrow" w:hAnsi="Arial Narrow" w:cs="Arial Narrow" w:eastAsia="Arial Narrow" w:hint="default"/>
          <w:sz w:val="21"/>
          <w:szCs w:val="21"/>
        </w:rPr>
        <w:sectPr>
          <w:pgSz w:w="11910" w:h="16840"/>
          <w:pgMar w:header="884" w:footer="1007" w:top="1160" w:bottom="1200" w:left="1240" w:right="1200"/>
        </w:sectPr>
      </w:pPr>
    </w:p>
    <w:p>
      <w:pPr>
        <w:spacing w:line="240" w:lineRule="auto" w:before="13"/>
        <w:rPr>
          <w:rFonts w:ascii="宋体" w:hAnsi="宋体" w:cs="宋体" w:eastAsia="宋体" w:hint="default"/>
          <w:sz w:val="19"/>
          <w:szCs w:val="19"/>
        </w:rPr>
      </w:pPr>
    </w:p>
    <w:tbl>
      <w:tblPr>
        <w:tblW w:w="0" w:type="auto"/>
        <w:jc w:val="left"/>
        <w:tblInd w:w="536" w:type="dxa"/>
        <w:tblLayout w:type="fixed"/>
        <w:tblCellMar>
          <w:top w:w="0" w:type="dxa"/>
          <w:left w:w="0" w:type="dxa"/>
          <w:bottom w:w="0" w:type="dxa"/>
          <w:right w:w="0" w:type="dxa"/>
        </w:tblCellMar>
        <w:tblLook w:val="01E0"/>
      </w:tblPr>
      <w:tblGrid>
        <w:gridCol w:w="4687"/>
        <w:gridCol w:w="2132"/>
        <w:gridCol w:w="1918"/>
      </w:tblGrid>
      <w:tr>
        <w:trPr>
          <w:trHeight w:val="322" w:hRule="exact"/>
        </w:trPr>
        <w:tc>
          <w:tcPr>
            <w:tcW w:w="468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Arial Narrow" w:hAnsi="Arial Narrow" w:cs="Arial Narrow" w:eastAsia="Arial Narrow" w:hint="default"/>
                <w:sz w:val="21"/>
                <w:szCs w:val="21"/>
              </w:rPr>
            </w:pPr>
            <w:r>
              <w:rPr>
                <w:rFonts w:ascii="Arial Narrow"/>
                <w:spacing w:val="-1"/>
                <w:sz w:val="21"/>
              </w:rPr>
              <w:t>433,245.19</w:t>
            </w:r>
            <w:r>
              <w:rPr>
                <w:rFonts w:ascii="Arial Narrow"/>
                <w:sz w:val="21"/>
              </w:rPr>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400,846.27</w:t>
            </w:r>
            <w:r>
              <w:rPr>
                <w:rFonts w:ascii="Arial Narrow"/>
                <w:sz w:val="21"/>
              </w:rPr>
            </w:r>
          </w:p>
        </w:tc>
      </w:tr>
      <w:tr>
        <w:trPr>
          <w:trHeight w:val="326"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5,268,170.56</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3,957,007.23</w:t>
            </w:r>
          </w:p>
        </w:tc>
      </w:tr>
      <w:tr>
        <w:trPr>
          <w:trHeight w:val="312" w:hRule="exact"/>
        </w:trPr>
        <w:tc>
          <w:tcPr>
            <w:tcW w:w="873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r>
        <w:trPr>
          <w:trHeight w:val="329"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left="11" w:right="0"/>
              <w:jc w:val="left"/>
              <w:rPr>
                <w:rFonts w:ascii="宋体" w:hAnsi="宋体" w:cs="宋体" w:eastAsia="宋体" w:hint="default"/>
                <w:sz w:val="21"/>
                <w:szCs w:val="21"/>
              </w:rPr>
            </w:pPr>
            <w:r>
              <w:rPr>
                <w:rFonts w:ascii="宋体" w:hAnsi="宋体" w:cs="宋体" w:eastAsia="宋体" w:hint="default"/>
                <w:sz w:val="21"/>
                <w:szCs w:val="21"/>
              </w:rPr>
              <w:t>交易性金融工具、衍生金融工具的估值</w:t>
            </w:r>
          </w:p>
        </w:tc>
        <w:tc>
          <w:tcPr>
            <w:tcW w:w="21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19"/>
              <w:jc w:val="right"/>
              <w:rPr>
                <w:rFonts w:ascii="Calibri" w:hAnsi="Calibri" w:cs="Calibri" w:eastAsia="Calibri" w:hint="default"/>
                <w:sz w:val="21"/>
                <w:szCs w:val="21"/>
              </w:rPr>
            </w:pPr>
            <w:r>
              <w:rPr>
                <w:rFonts w:ascii="Calibri"/>
                <w:w w:val="100"/>
                <w:sz w:val="21"/>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2"/>
              <w:jc w:val="right"/>
              <w:rPr>
                <w:rFonts w:ascii="Calibri" w:hAnsi="Calibri" w:cs="Calibri" w:eastAsia="Calibri" w:hint="default"/>
                <w:sz w:val="21"/>
                <w:szCs w:val="21"/>
              </w:rPr>
            </w:pPr>
            <w:r>
              <w:rPr>
                <w:rFonts w:ascii="Calibri"/>
                <w:w w:val="100"/>
                <w:sz w:val="21"/>
              </w:rPr>
              <w:t>-</w:t>
            </w:r>
          </w:p>
        </w:tc>
      </w:tr>
      <w:tr>
        <w:trPr>
          <w:trHeight w:val="322"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计入资本公积的可供出售金融资产公允价值变动</w:t>
            </w:r>
          </w:p>
        </w:tc>
        <w:tc>
          <w:tcPr>
            <w:tcW w:w="21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w w:val="100"/>
                <w:sz w:val="21"/>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w:t>
            </w:r>
          </w:p>
        </w:tc>
      </w:tr>
      <w:tr>
        <w:trPr>
          <w:trHeight w:val="322" w:hRule="exact"/>
        </w:trPr>
        <w:tc>
          <w:tcPr>
            <w:tcW w:w="4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w w:val="100"/>
                <w:sz w:val="21"/>
              </w:rPr>
              <w:t>-</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w:t>
            </w:r>
          </w:p>
        </w:tc>
      </w:tr>
    </w:tbl>
    <w:p>
      <w:pPr>
        <w:spacing w:line="240" w:lineRule="auto" w:before="2"/>
        <w:rPr>
          <w:rFonts w:ascii="宋体" w:hAnsi="宋体" w:cs="宋体" w:eastAsia="宋体" w:hint="default"/>
          <w:sz w:val="20"/>
          <w:szCs w:val="20"/>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未确认递延所得税资产明细</w:t>
      </w:r>
    </w:p>
    <w:p>
      <w:pPr>
        <w:spacing w:before="37"/>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3380"/>
        <w:gridCol w:w="2686"/>
        <w:gridCol w:w="2672"/>
      </w:tblGrid>
      <w:tr>
        <w:trPr>
          <w:trHeight w:val="32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26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1,822,931.46</w:t>
            </w:r>
            <w:r>
              <w:rPr>
                <w:rFonts w:ascii="Arial Narrow"/>
                <w:sz w:val="21"/>
              </w:rPr>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27,468.79</w:t>
            </w:r>
            <w:r>
              <w:rPr>
                <w:rFonts w:ascii="Arial Narrow"/>
                <w:sz w:val="21"/>
              </w:rPr>
            </w:r>
          </w:p>
        </w:tc>
      </w:tr>
      <w:tr>
        <w:trPr>
          <w:trHeight w:val="323"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6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0"/>
              <w:jc w:val="right"/>
              <w:rPr>
                <w:rFonts w:ascii="Arial Narrow" w:hAnsi="Arial Narrow" w:cs="Arial Narrow" w:eastAsia="Arial Narrow" w:hint="default"/>
                <w:sz w:val="21"/>
                <w:szCs w:val="21"/>
              </w:rPr>
            </w:pPr>
            <w:r>
              <w:rPr>
                <w:rFonts w:ascii="Arial Narrow"/>
                <w:spacing w:val="-1"/>
                <w:sz w:val="21"/>
              </w:rPr>
              <w:t>5,038,054.00</w:t>
            </w:r>
            <w:r>
              <w:rPr>
                <w:rFonts w:ascii="Arial Narrow"/>
                <w:sz w:val="21"/>
              </w:rPr>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Arial Narrow" w:hAnsi="Arial Narrow" w:cs="Arial Narrow" w:eastAsia="Arial Narrow" w:hint="default"/>
                <w:sz w:val="21"/>
                <w:szCs w:val="21"/>
              </w:rPr>
            </w:pPr>
            <w:r>
              <w:rPr>
                <w:rFonts w:ascii="Arial Narrow"/>
                <w:spacing w:val="-1"/>
                <w:sz w:val="21"/>
              </w:rPr>
              <w:t>1,142,389.71</w:t>
            </w:r>
            <w:r>
              <w:rPr>
                <w:rFonts w:ascii="Arial Narrow"/>
                <w:sz w:val="21"/>
              </w:rPr>
            </w:r>
          </w:p>
        </w:tc>
      </w:tr>
      <w:tr>
        <w:trPr>
          <w:trHeight w:val="322" w:hRule="exact"/>
        </w:trPr>
        <w:tc>
          <w:tcPr>
            <w:tcW w:w="3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8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6,860,985.46</w:t>
            </w:r>
            <w:r>
              <w:rPr>
                <w:rFonts w:ascii="Arial Narrow"/>
                <w:sz w:val="21"/>
              </w:rPr>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1,169,858.50</w:t>
            </w:r>
            <w:r>
              <w:rPr>
                <w:rFonts w:ascii="Arial Narrow"/>
                <w:sz w:val="21"/>
              </w:rPr>
            </w:r>
          </w:p>
        </w:tc>
      </w:tr>
    </w:tbl>
    <w:p>
      <w:pPr>
        <w:spacing w:line="273" w:lineRule="auto" w:before="0"/>
        <w:ind w:left="558" w:right="0" w:firstLine="0"/>
        <w:jc w:val="left"/>
        <w:rPr>
          <w:rFonts w:ascii="宋体" w:hAnsi="宋体" w:cs="宋体" w:eastAsia="宋体" w:hint="default"/>
          <w:sz w:val="21"/>
          <w:szCs w:val="21"/>
        </w:rPr>
      </w:pPr>
      <w:r>
        <w:rPr>
          <w:rFonts w:ascii="宋体" w:hAnsi="宋体" w:cs="宋体" w:eastAsia="宋体" w:hint="default"/>
          <w:spacing w:val="-2"/>
          <w:sz w:val="21"/>
          <w:szCs w:val="21"/>
        </w:rPr>
        <w:t>注：列示由于未来能否获得足够的应纳税所得额具有不确定性，因此没有确认为递延所得税资</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产的可抵扣暂时性差异和可抵扣亏损。</w:t>
      </w:r>
    </w:p>
    <w:p>
      <w:pPr>
        <w:spacing w:line="240" w:lineRule="auto" w:before="9"/>
        <w:rPr>
          <w:rFonts w:ascii="宋体" w:hAnsi="宋体" w:cs="宋体" w:eastAsia="宋体" w:hint="default"/>
          <w:sz w:val="21"/>
          <w:szCs w:val="21"/>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未确认递延所得税资产的可抵扣亏损将于以下年度到期</w:t>
      </w:r>
    </w:p>
    <w:p>
      <w:pPr>
        <w:spacing w:before="37"/>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826"/>
        <w:gridCol w:w="2065"/>
        <w:gridCol w:w="1822"/>
        <w:gridCol w:w="3037"/>
      </w:tblGrid>
      <w:tr>
        <w:trPr>
          <w:trHeight w:val="322" w:hRule="exact"/>
        </w:trPr>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年份</w:t>
            </w:r>
            <w:r>
              <w:rPr>
                <w:rFonts w:ascii="宋体" w:hAnsi="宋体" w:cs="宋体" w:eastAsia="宋体" w:hint="default"/>
                <w:sz w:val="21"/>
                <w:szCs w:val="21"/>
              </w:rPr>
            </w:r>
          </w:p>
        </w:tc>
        <w:tc>
          <w:tcPr>
            <w:tcW w:w="2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87"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备注</w:t>
            </w:r>
            <w:r>
              <w:rPr>
                <w:rFonts w:ascii="宋体" w:hAnsi="宋体" w:cs="宋体" w:eastAsia="宋体" w:hint="default"/>
                <w:sz w:val="21"/>
                <w:szCs w:val="21"/>
              </w:rPr>
            </w:r>
          </w:p>
        </w:tc>
      </w:tr>
      <w:tr>
        <w:trPr>
          <w:trHeight w:val="32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Arial Narrow" w:hAnsi="Arial Narrow" w:cs="Arial Narrow" w:eastAsia="Arial Narrow" w:hint="default"/>
                <w:sz w:val="21"/>
                <w:szCs w:val="21"/>
              </w:rPr>
              <w:t>2017</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3,788,777.36</w:t>
            </w:r>
            <w:r>
              <w:rPr>
                <w:rFonts w:ascii="Arial Narrow"/>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303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8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无期限</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1,249,276.64</w:t>
            </w:r>
            <w:r>
              <w:rPr>
                <w:rFonts w:ascii="Arial Narrow"/>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1,142,389.71</w:t>
            </w:r>
            <w:r>
              <w:rPr>
                <w:rFonts w:ascii="Arial Narrow"/>
                <w:sz w:val="21"/>
              </w:rPr>
            </w:r>
          </w:p>
        </w:tc>
        <w:tc>
          <w:tcPr>
            <w:tcW w:w="303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b/>
                <w:spacing w:val="-1"/>
                <w:sz w:val="21"/>
              </w:rPr>
              <w:t>5,038,054.00</w:t>
            </w:r>
            <w:r>
              <w:rPr>
                <w:rFonts w:ascii="Arial Narrow"/>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b/>
                <w:spacing w:val="-1"/>
                <w:sz w:val="21"/>
              </w:rPr>
              <w:t>1,142,389.71</w:t>
            </w:r>
            <w:r>
              <w:rPr>
                <w:rFonts w:ascii="Arial Narrow"/>
                <w:sz w:val="21"/>
              </w:rPr>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1"/>
              <w:ind w:right="1"/>
              <w:jc w:val="center"/>
              <w:rPr>
                <w:rFonts w:ascii="Calibri" w:hAnsi="Calibri" w:cs="Calibri" w:eastAsia="Calibri" w:hint="default"/>
                <w:sz w:val="21"/>
                <w:szCs w:val="21"/>
              </w:rPr>
            </w:pPr>
            <w:r>
              <w:rPr>
                <w:rFonts w:ascii="Calibri"/>
                <w:sz w:val="21"/>
              </w:rPr>
              <w:t>--</w:t>
            </w:r>
          </w:p>
        </w:tc>
      </w:tr>
    </w:tbl>
    <w:p>
      <w:pPr>
        <w:spacing w:line="273" w:lineRule="auto" w:before="0"/>
        <w:ind w:left="558" w:right="0" w:firstLine="0"/>
        <w:jc w:val="left"/>
        <w:rPr>
          <w:rFonts w:ascii="宋体" w:hAnsi="宋体" w:cs="宋体" w:eastAsia="宋体" w:hint="default"/>
          <w:sz w:val="21"/>
          <w:szCs w:val="21"/>
        </w:rPr>
      </w:pPr>
      <w:r>
        <w:rPr>
          <w:rFonts w:ascii="宋体" w:hAnsi="宋体" w:cs="宋体" w:eastAsia="宋体" w:hint="default"/>
          <w:spacing w:val="-2"/>
          <w:sz w:val="21"/>
          <w:szCs w:val="21"/>
        </w:rPr>
        <w:t>注：无法在资产负债表日确定全部可抵扣亏损情况的，可只填写能确定部分的金额及其到期年</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度，并在备注栏予以说明。</w:t>
      </w:r>
    </w:p>
    <w:p>
      <w:pPr>
        <w:spacing w:before="7"/>
        <w:ind w:left="558" w:right="0" w:firstLine="0"/>
        <w:jc w:val="left"/>
        <w:rPr>
          <w:rFonts w:ascii="宋体" w:hAnsi="宋体" w:cs="宋体" w:eastAsia="宋体" w:hint="default"/>
          <w:sz w:val="21"/>
          <w:szCs w:val="21"/>
        </w:rPr>
      </w:pPr>
      <w:r>
        <w:rPr>
          <w:rFonts w:ascii="宋体" w:hAnsi="宋体" w:cs="宋体" w:eastAsia="宋体" w:hint="default"/>
          <w:sz w:val="21"/>
          <w:szCs w:val="21"/>
        </w:rPr>
        <w:t>应纳税差异和可抵扣差异项目明细</w:t>
      </w:r>
    </w:p>
    <w:p>
      <w:pPr>
        <w:spacing w:before="37"/>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3514"/>
        <w:gridCol w:w="2674"/>
        <w:gridCol w:w="2550"/>
      </w:tblGrid>
      <w:tr>
        <w:trPr>
          <w:trHeight w:val="166" w:hRule="exact"/>
        </w:trPr>
        <w:tc>
          <w:tcPr>
            <w:tcW w:w="3514" w:type="dxa"/>
            <w:tcBorders>
              <w:top w:val="single" w:sz="4" w:space="0" w:color="000000"/>
              <w:left w:val="single" w:sz="4" w:space="0" w:color="000000"/>
              <w:bottom w:val="nil" w:sz="6" w:space="0" w:color="auto"/>
              <w:right w:val="single" w:sz="4" w:space="0" w:color="000000"/>
            </w:tcBorders>
            <w:shd w:val="clear" w:color="auto" w:fill="D2D2D2"/>
          </w:tcPr>
          <w:p>
            <w:pPr/>
          </w:p>
        </w:tc>
        <w:tc>
          <w:tcPr>
            <w:tcW w:w="52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暂时性差异金额</w:t>
            </w:r>
            <w:r>
              <w:rPr>
                <w:rFonts w:ascii="宋体" w:hAnsi="宋体" w:cs="宋体" w:eastAsia="宋体" w:hint="default"/>
                <w:sz w:val="21"/>
                <w:szCs w:val="21"/>
              </w:rPr>
            </w:r>
          </w:p>
        </w:tc>
      </w:tr>
      <w:tr>
        <w:trPr>
          <w:trHeight w:val="151" w:hRule="exact"/>
        </w:trPr>
        <w:tc>
          <w:tcPr>
            <w:tcW w:w="3514"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right="13"/>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5223"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3514" w:type="dxa"/>
            <w:vMerge/>
            <w:tcBorders>
              <w:left w:val="single" w:sz="4" w:space="0" w:color="000000"/>
              <w:bottom w:val="nil" w:sz="6" w:space="0" w:color="auto"/>
              <w:right w:val="single" w:sz="4" w:space="0" w:color="000000"/>
            </w:tcBorders>
            <w:shd w:val="clear" w:color="auto" w:fill="D2D2D2"/>
          </w:tcPr>
          <w:p>
            <w:pPr/>
          </w:p>
        </w:tc>
        <w:tc>
          <w:tcPr>
            <w:tcW w:w="2674"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w:t>
            </w:r>
            <w:r>
              <w:rPr>
                <w:rFonts w:ascii="宋体" w:hAnsi="宋体" w:cs="宋体" w:eastAsia="宋体" w:hint="default"/>
                <w:sz w:val="21"/>
                <w:szCs w:val="21"/>
              </w:rPr>
            </w:r>
          </w:p>
        </w:tc>
        <w:tc>
          <w:tcPr>
            <w:tcW w:w="2550" w:type="dxa"/>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w:t>
            </w:r>
            <w:r>
              <w:rPr>
                <w:rFonts w:ascii="宋体" w:hAnsi="宋体" w:cs="宋体" w:eastAsia="宋体" w:hint="default"/>
                <w:sz w:val="21"/>
                <w:szCs w:val="21"/>
              </w:rPr>
            </w:r>
          </w:p>
        </w:tc>
      </w:tr>
      <w:tr>
        <w:trPr>
          <w:trHeight w:val="170" w:hRule="exact"/>
        </w:trPr>
        <w:tc>
          <w:tcPr>
            <w:tcW w:w="3514" w:type="dxa"/>
            <w:tcBorders>
              <w:top w:val="nil" w:sz="6" w:space="0" w:color="auto"/>
              <w:left w:val="single" w:sz="4" w:space="0" w:color="000000"/>
              <w:bottom w:val="single" w:sz="4" w:space="0" w:color="000000"/>
              <w:right w:val="single" w:sz="4" w:space="0" w:color="000000"/>
            </w:tcBorders>
            <w:shd w:val="clear" w:color="auto" w:fill="D2D2D2"/>
          </w:tcPr>
          <w:p>
            <w:pPr/>
          </w:p>
        </w:tc>
        <w:tc>
          <w:tcPr>
            <w:tcW w:w="2674" w:type="dxa"/>
            <w:vMerge/>
            <w:tcBorders>
              <w:left w:val="single" w:sz="4" w:space="0" w:color="000000"/>
              <w:bottom w:val="single" w:sz="4" w:space="0" w:color="000000"/>
              <w:right w:val="single" w:sz="4" w:space="0" w:color="000000"/>
            </w:tcBorders>
            <w:shd w:val="clear" w:color="auto" w:fill="D2D2D2"/>
          </w:tcPr>
          <w:p>
            <w:pPr/>
          </w:p>
        </w:tc>
        <w:tc>
          <w:tcPr>
            <w:tcW w:w="2550" w:type="dxa"/>
            <w:vMerge/>
            <w:tcBorders>
              <w:left w:val="single" w:sz="4" w:space="0" w:color="000000"/>
              <w:bottom w:val="single" w:sz="4" w:space="0" w:color="000000"/>
              <w:right w:val="single" w:sz="4" w:space="0" w:color="000000"/>
            </w:tcBorders>
            <w:shd w:val="clear" w:color="auto" w:fill="D2D2D2"/>
          </w:tcPr>
          <w:p>
            <w:pPr/>
          </w:p>
        </w:tc>
      </w:tr>
      <w:tr>
        <w:trPr>
          <w:trHeight w:val="312" w:hRule="exact"/>
        </w:trPr>
        <w:tc>
          <w:tcPr>
            <w:tcW w:w="873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11"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r>
      <w:tr>
        <w:trPr>
          <w:trHeight w:val="334" w:hRule="exact"/>
        </w:trPr>
        <w:tc>
          <w:tcPr>
            <w:tcW w:w="3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Calibri" w:hAnsi="Calibri" w:cs="Calibri" w:eastAsia="Calibri" w:hint="default"/>
                <w:sz w:val="21"/>
                <w:szCs w:val="21"/>
              </w:rPr>
            </w:pPr>
            <w:r>
              <w:rPr>
                <w:rFonts w:ascii="Calibri"/>
                <w:w w:val="100"/>
                <w:sz w:val="21"/>
              </w:rPr>
              <w:t>-</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Calibri" w:hAnsi="Calibri" w:cs="Calibri" w:eastAsia="Calibri" w:hint="default"/>
                <w:sz w:val="21"/>
                <w:szCs w:val="21"/>
              </w:rPr>
            </w:pPr>
            <w:r>
              <w:rPr>
                <w:rFonts w:ascii="Calibri"/>
                <w:w w:val="100"/>
                <w:sz w:val="21"/>
              </w:rPr>
              <w:t>-</w:t>
            </w:r>
          </w:p>
        </w:tc>
      </w:tr>
      <w:tr>
        <w:trPr>
          <w:trHeight w:val="317" w:hRule="exact"/>
        </w:trPr>
        <w:tc>
          <w:tcPr>
            <w:tcW w:w="873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11"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r>
      <w:tr>
        <w:trPr>
          <w:trHeight w:val="322" w:hRule="exact"/>
        </w:trPr>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31,706,982.79</w:t>
            </w:r>
            <w:r>
              <w:rPr>
                <w:rFonts w:ascii="Arial Narrow"/>
                <w:sz w:val="21"/>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w:t>
            </w:r>
          </w:p>
        </w:tc>
      </w:tr>
      <w:tr>
        <w:trPr>
          <w:trHeight w:val="322" w:hRule="exact"/>
        </w:trPr>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1,069,986.25</w:t>
            </w:r>
            <w:r>
              <w:rPr>
                <w:rFonts w:ascii="Arial Narrow"/>
                <w:sz w:val="21"/>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w:t>
            </w:r>
          </w:p>
        </w:tc>
      </w:tr>
      <w:tr>
        <w:trPr>
          <w:trHeight w:val="322" w:hRule="exact"/>
        </w:trPr>
        <w:tc>
          <w:tcPr>
            <w:tcW w:w="3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6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b/>
                <w:spacing w:val="-1"/>
                <w:sz w:val="21"/>
              </w:rPr>
              <w:t>32,776,969.04</w:t>
            </w:r>
            <w:r>
              <w:rPr>
                <w:rFonts w:ascii="Arial Narrow"/>
                <w:sz w:val="21"/>
              </w:rPr>
            </w:r>
          </w:p>
        </w:tc>
        <w:tc>
          <w:tcPr>
            <w:tcW w:w="255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）递延所得税资产和递延所得税负债以抵销后的净额列示</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互抵后的递延所得税资产及负债的组成项目</w:t>
      </w:r>
    </w:p>
    <w:p>
      <w:pPr>
        <w:spacing w:before="37"/>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799"/>
        <w:gridCol w:w="1486"/>
        <w:gridCol w:w="1488"/>
        <w:gridCol w:w="1489"/>
        <w:gridCol w:w="1488"/>
      </w:tblGrid>
      <w:tr>
        <w:trPr>
          <w:trHeight w:val="1258"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103" w:right="103"/>
              <w:jc w:val="both"/>
              <w:rPr>
                <w:rFonts w:ascii="宋体" w:hAnsi="宋体" w:cs="宋体" w:eastAsia="宋体" w:hint="default"/>
                <w:sz w:val="21"/>
                <w:szCs w:val="21"/>
              </w:rPr>
            </w:pPr>
            <w:r>
              <w:rPr>
                <w:rFonts w:ascii="宋体" w:hAnsi="宋体" w:cs="宋体" w:eastAsia="宋体" w:hint="default"/>
                <w:b/>
                <w:bCs/>
                <w:sz w:val="21"/>
                <w:szCs w:val="21"/>
              </w:rPr>
              <w:t>报告期末互抵</w:t>
            </w:r>
            <w:r>
              <w:rPr>
                <w:rFonts w:ascii="宋体" w:hAnsi="宋体" w:cs="宋体" w:eastAsia="宋体" w:hint="default"/>
                <w:b/>
                <w:bCs/>
                <w:spacing w:val="-104"/>
                <w:sz w:val="21"/>
                <w:szCs w:val="21"/>
              </w:rPr>
              <w:t> </w:t>
            </w:r>
            <w:r>
              <w:rPr>
                <w:rFonts w:ascii="宋体" w:hAnsi="宋体" w:cs="宋体" w:eastAsia="宋体" w:hint="default"/>
                <w:b/>
                <w:bCs/>
                <w:sz w:val="21"/>
                <w:szCs w:val="21"/>
              </w:rPr>
              <w:t>后的递延所得</w:t>
            </w:r>
            <w:r>
              <w:rPr>
                <w:rFonts w:ascii="宋体" w:hAnsi="宋体" w:cs="宋体" w:eastAsia="宋体" w:hint="default"/>
                <w:b/>
                <w:bCs/>
                <w:spacing w:val="-104"/>
                <w:sz w:val="21"/>
                <w:szCs w:val="21"/>
              </w:rPr>
              <w:t> </w:t>
            </w:r>
            <w:r>
              <w:rPr>
                <w:rFonts w:ascii="宋体" w:hAnsi="宋体" w:cs="宋体" w:eastAsia="宋体" w:hint="default"/>
                <w:b/>
                <w:bCs/>
                <w:sz w:val="21"/>
                <w:szCs w:val="21"/>
              </w:rPr>
              <w:t>税资产或负债</w:t>
            </w:r>
            <w:r>
              <w:rPr>
                <w:rFonts w:ascii="宋体" w:hAnsi="宋体" w:cs="宋体" w:eastAsia="宋体" w:hint="default"/>
                <w:sz w:val="21"/>
                <w:szCs w:val="21"/>
              </w:rPr>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5" w:right="105"/>
              <w:jc w:val="center"/>
              <w:rPr>
                <w:rFonts w:ascii="宋体" w:hAnsi="宋体" w:cs="宋体" w:eastAsia="宋体" w:hint="default"/>
                <w:sz w:val="21"/>
                <w:szCs w:val="21"/>
              </w:rPr>
            </w:pPr>
            <w:r>
              <w:rPr>
                <w:rFonts w:ascii="宋体" w:hAnsi="宋体" w:cs="宋体" w:eastAsia="宋体" w:hint="default"/>
                <w:b/>
                <w:bCs/>
                <w:sz w:val="21"/>
                <w:szCs w:val="21"/>
              </w:rPr>
              <w:t>报告期末互抵</w:t>
            </w:r>
            <w:r>
              <w:rPr>
                <w:rFonts w:ascii="宋体" w:hAnsi="宋体" w:cs="宋体" w:eastAsia="宋体" w:hint="default"/>
                <w:b/>
                <w:bCs/>
                <w:w w:val="100"/>
                <w:sz w:val="21"/>
                <w:szCs w:val="21"/>
              </w:rPr>
              <w:t> </w:t>
            </w:r>
            <w:r>
              <w:rPr>
                <w:rFonts w:ascii="宋体" w:hAnsi="宋体" w:cs="宋体" w:eastAsia="宋体" w:hint="default"/>
                <w:b/>
                <w:bCs/>
                <w:sz w:val="21"/>
                <w:szCs w:val="21"/>
              </w:rPr>
              <w:t>后的可抵扣或</w:t>
            </w:r>
            <w:r>
              <w:rPr>
                <w:rFonts w:ascii="宋体" w:hAnsi="宋体" w:cs="宋体" w:eastAsia="宋体" w:hint="default"/>
                <w:b/>
                <w:bCs/>
                <w:w w:val="100"/>
                <w:sz w:val="21"/>
                <w:szCs w:val="21"/>
              </w:rPr>
              <w:t> </w:t>
            </w:r>
            <w:r>
              <w:rPr>
                <w:rFonts w:ascii="宋体" w:hAnsi="宋体" w:cs="宋体" w:eastAsia="宋体" w:hint="default"/>
                <w:b/>
                <w:bCs/>
                <w:sz w:val="21"/>
                <w:szCs w:val="21"/>
              </w:rPr>
              <w:t>应纳税暂时性</w:t>
            </w:r>
            <w:r>
              <w:rPr>
                <w:rFonts w:ascii="宋体" w:hAnsi="宋体" w:cs="宋体" w:eastAsia="宋体" w:hint="default"/>
                <w:b/>
                <w:bCs/>
                <w:w w:val="100"/>
                <w:sz w:val="21"/>
                <w:szCs w:val="21"/>
              </w:rPr>
              <w:t> </w:t>
            </w:r>
            <w:r>
              <w:rPr>
                <w:rFonts w:ascii="宋体" w:hAnsi="宋体" w:cs="宋体" w:eastAsia="宋体" w:hint="default"/>
                <w:b/>
                <w:bCs/>
                <w:sz w:val="21"/>
                <w:szCs w:val="21"/>
              </w:rPr>
              <w:t>差异</w:t>
            </w:r>
            <w:r>
              <w:rPr>
                <w:rFonts w:ascii="宋体" w:hAnsi="宋体" w:cs="宋体" w:eastAsia="宋体" w:hint="default"/>
                <w:sz w:val="21"/>
                <w:szCs w:val="21"/>
              </w:rPr>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3"/>
              <w:ind w:left="103" w:right="106"/>
              <w:jc w:val="both"/>
              <w:rPr>
                <w:rFonts w:ascii="宋体" w:hAnsi="宋体" w:cs="宋体" w:eastAsia="宋体" w:hint="default"/>
                <w:sz w:val="21"/>
                <w:szCs w:val="21"/>
              </w:rPr>
            </w:pPr>
            <w:r>
              <w:rPr>
                <w:rFonts w:ascii="宋体" w:hAnsi="宋体" w:cs="宋体" w:eastAsia="宋体" w:hint="default"/>
                <w:b/>
                <w:bCs/>
                <w:sz w:val="21"/>
                <w:szCs w:val="21"/>
              </w:rPr>
              <w:t>报告期初互抵</w:t>
            </w:r>
            <w:r>
              <w:rPr>
                <w:rFonts w:ascii="宋体" w:hAnsi="宋体" w:cs="宋体" w:eastAsia="宋体" w:hint="default"/>
                <w:b/>
                <w:bCs/>
                <w:spacing w:val="-104"/>
                <w:sz w:val="21"/>
                <w:szCs w:val="21"/>
              </w:rPr>
              <w:t> </w:t>
            </w:r>
            <w:r>
              <w:rPr>
                <w:rFonts w:ascii="宋体" w:hAnsi="宋体" w:cs="宋体" w:eastAsia="宋体" w:hint="default"/>
                <w:b/>
                <w:bCs/>
                <w:sz w:val="21"/>
                <w:szCs w:val="21"/>
              </w:rPr>
              <w:t>后的递延所得</w:t>
            </w:r>
            <w:r>
              <w:rPr>
                <w:rFonts w:ascii="宋体" w:hAnsi="宋体" w:cs="宋体" w:eastAsia="宋体" w:hint="default"/>
                <w:b/>
                <w:bCs/>
                <w:spacing w:val="-104"/>
                <w:sz w:val="21"/>
                <w:szCs w:val="21"/>
              </w:rPr>
              <w:t> </w:t>
            </w:r>
            <w:r>
              <w:rPr>
                <w:rFonts w:ascii="宋体" w:hAnsi="宋体" w:cs="宋体" w:eastAsia="宋体" w:hint="default"/>
                <w:b/>
                <w:bCs/>
                <w:sz w:val="21"/>
                <w:szCs w:val="21"/>
              </w:rPr>
              <w:t>税资产或负债</w:t>
            </w:r>
            <w:r>
              <w:rPr>
                <w:rFonts w:ascii="宋体" w:hAnsi="宋体" w:cs="宋体" w:eastAsia="宋体" w:hint="default"/>
                <w:sz w:val="21"/>
                <w:szCs w:val="21"/>
              </w:rPr>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05" w:right="103"/>
              <w:jc w:val="center"/>
              <w:rPr>
                <w:rFonts w:ascii="宋体" w:hAnsi="宋体" w:cs="宋体" w:eastAsia="宋体" w:hint="default"/>
                <w:sz w:val="21"/>
                <w:szCs w:val="21"/>
              </w:rPr>
            </w:pPr>
            <w:r>
              <w:rPr>
                <w:rFonts w:ascii="宋体" w:hAnsi="宋体" w:cs="宋体" w:eastAsia="宋体" w:hint="default"/>
                <w:b/>
                <w:bCs/>
                <w:sz w:val="21"/>
                <w:szCs w:val="21"/>
              </w:rPr>
              <w:t>报告期初互抵</w:t>
            </w:r>
            <w:r>
              <w:rPr>
                <w:rFonts w:ascii="宋体" w:hAnsi="宋体" w:cs="宋体" w:eastAsia="宋体" w:hint="default"/>
                <w:b/>
                <w:bCs/>
                <w:w w:val="100"/>
                <w:sz w:val="21"/>
                <w:szCs w:val="21"/>
              </w:rPr>
              <w:t> </w:t>
            </w:r>
            <w:r>
              <w:rPr>
                <w:rFonts w:ascii="宋体" w:hAnsi="宋体" w:cs="宋体" w:eastAsia="宋体" w:hint="default"/>
                <w:b/>
                <w:bCs/>
                <w:sz w:val="21"/>
                <w:szCs w:val="21"/>
              </w:rPr>
              <w:t>后的可抵扣或</w:t>
            </w:r>
            <w:r>
              <w:rPr>
                <w:rFonts w:ascii="宋体" w:hAnsi="宋体" w:cs="宋体" w:eastAsia="宋体" w:hint="default"/>
                <w:b/>
                <w:bCs/>
                <w:w w:val="100"/>
                <w:sz w:val="21"/>
                <w:szCs w:val="21"/>
              </w:rPr>
              <w:t> </w:t>
            </w:r>
            <w:r>
              <w:rPr>
                <w:rFonts w:ascii="宋体" w:hAnsi="宋体" w:cs="宋体" w:eastAsia="宋体" w:hint="default"/>
                <w:b/>
                <w:bCs/>
                <w:sz w:val="21"/>
                <w:szCs w:val="21"/>
              </w:rPr>
              <w:t>应纳税暂时性</w:t>
            </w:r>
            <w:r>
              <w:rPr>
                <w:rFonts w:ascii="宋体" w:hAnsi="宋体" w:cs="宋体" w:eastAsia="宋体" w:hint="default"/>
                <w:b/>
                <w:bCs/>
                <w:w w:val="100"/>
                <w:sz w:val="21"/>
                <w:szCs w:val="21"/>
              </w:rPr>
              <w:t> </w:t>
            </w:r>
            <w:r>
              <w:rPr>
                <w:rFonts w:ascii="宋体" w:hAnsi="宋体" w:cs="宋体" w:eastAsia="宋体" w:hint="default"/>
                <w:b/>
                <w:bCs/>
                <w:sz w:val="21"/>
                <w:szCs w:val="21"/>
              </w:rPr>
              <w:t>差异</w:t>
            </w:r>
            <w:r>
              <w:rPr>
                <w:rFonts w:ascii="宋体" w:hAnsi="宋体" w:cs="宋体" w:eastAsia="宋体" w:hint="default"/>
                <w:sz w:val="21"/>
                <w:szCs w:val="21"/>
              </w:rPr>
            </w:r>
          </w:p>
        </w:tc>
      </w:tr>
    </w:tbl>
    <w:p>
      <w:pPr>
        <w:spacing w:after="0" w:line="273" w:lineRule="auto"/>
        <w:jc w:val="center"/>
        <w:rPr>
          <w:rFonts w:ascii="宋体" w:hAnsi="宋体" w:cs="宋体" w:eastAsia="宋体" w:hint="default"/>
          <w:sz w:val="21"/>
          <w:szCs w:val="21"/>
        </w:rPr>
        <w:sectPr>
          <w:footerReference w:type="default" r:id="rId54"/>
          <w:pgSz w:w="11910" w:h="16840"/>
          <w:pgMar w:footer="1007" w:header="884" w:top="1160" w:bottom="1200" w:left="1240" w:right="1260"/>
          <w:pgNumType w:start="140"/>
        </w:sectPr>
      </w:pPr>
    </w:p>
    <w:p>
      <w:pPr>
        <w:spacing w:line="240" w:lineRule="auto" w:before="13"/>
        <w:rPr>
          <w:rFonts w:ascii="宋体" w:hAnsi="宋体" w:cs="宋体" w:eastAsia="宋体" w:hint="default"/>
          <w:sz w:val="19"/>
          <w:szCs w:val="19"/>
        </w:rPr>
      </w:pPr>
    </w:p>
    <w:tbl>
      <w:tblPr>
        <w:tblW w:w="0" w:type="auto"/>
        <w:jc w:val="left"/>
        <w:tblInd w:w="524" w:type="dxa"/>
        <w:tblLayout w:type="fixed"/>
        <w:tblCellMar>
          <w:top w:w="0" w:type="dxa"/>
          <w:left w:w="0" w:type="dxa"/>
          <w:bottom w:w="0" w:type="dxa"/>
          <w:right w:w="0" w:type="dxa"/>
        </w:tblCellMar>
        <w:tblLook w:val="01E0"/>
      </w:tblPr>
      <w:tblGrid>
        <w:gridCol w:w="2787"/>
        <w:gridCol w:w="1498"/>
        <w:gridCol w:w="1488"/>
        <w:gridCol w:w="1489"/>
        <w:gridCol w:w="1488"/>
      </w:tblGrid>
      <w:tr>
        <w:trPr>
          <w:trHeight w:val="32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322" w:hRule="exact"/>
        </w:trPr>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4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z w:val="21"/>
              </w:rPr>
              <w:t>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bl>
    <w:p>
      <w:pPr>
        <w:spacing w:after="0" w:line="240" w:lineRule="auto"/>
        <w:jc w:val="right"/>
        <w:rPr>
          <w:rFonts w:ascii="Calibri" w:hAnsi="Calibri" w:cs="Calibri" w:eastAsia="Calibri" w:hint="default"/>
          <w:sz w:val="21"/>
          <w:szCs w:val="21"/>
        </w:rPr>
        <w:sectPr>
          <w:pgSz w:w="11910" w:h="16840"/>
          <w:pgMar w:header="884" w:footer="1007" w:top="1160" w:bottom="1200" w:left="1240" w:right="1240"/>
        </w:sectPr>
      </w:pPr>
    </w:p>
    <w:p>
      <w:pPr>
        <w:spacing w:line="289" w:lineRule="exact" w:before="0"/>
        <w:ind w:left="558" w:right="-14" w:firstLine="0"/>
        <w:jc w:val="left"/>
        <w:rPr>
          <w:rFonts w:ascii="Calibri" w:hAnsi="Calibri" w:cs="Calibri" w:eastAsia="Calibri" w:hint="default"/>
          <w:sz w:val="21"/>
          <w:szCs w:val="21"/>
        </w:rPr>
      </w:pPr>
      <w:r>
        <w:rPr>
          <w:rFonts w:ascii="宋体" w:hAnsi="宋体" w:cs="宋体" w:eastAsia="宋体" w:hint="default"/>
          <w:sz w:val="21"/>
          <w:szCs w:val="21"/>
        </w:rPr>
        <w:t>递延所得税资产和递延所得税负债互抵明细</w:t>
      </w:r>
      <w:r>
        <w:rPr>
          <w:rFonts w:ascii="宋体" w:hAnsi="宋体" w:cs="宋体" w:eastAsia="宋体" w:hint="default"/>
          <w:spacing w:val="-56"/>
          <w:sz w:val="21"/>
          <w:szCs w:val="21"/>
        </w:rPr>
        <w:t> </w:t>
      </w:r>
      <w:r>
        <w:rPr>
          <w:rFonts w:ascii="Calibri" w:hAnsi="Calibri" w:cs="Calibri" w:eastAsia="Calibri" w:hint="default"/>
          <w:sz w:val="21"/>
          <w:szCs w:val="21"/>
        </w:rPr>
        <w:t>0</w:t>
      </w:r>
    </w:p>
    <w:p>
      <w:pPr>
        <w:spacing w:line="240" w:lineRule="auto" w:before="7"/>
        <w:rPr>
          <w:rFonts w:ascii="Calibri" w:hAnsi="Calibri" w:cs="Calibri" w:eastAsia="Calibri" w:hint="default"/>
          <w:sz w:val="24"/>
          <w:szCs w:val="24"/>
        </w:rPr>
      </w:pPr>
      <w:r>
        <w:rPr/>
        <w:br w:type="column"/>
      </w:r>
      <w:r>
        <w:rPr>
          <w:rFonts w:ascii="Calibri"/>
          <w:sz w:val="24"/>
        </w:rPr>
      </w: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440" w:bottom="280" w:left="1240" w:right="1240"/>
          <w:cols w:num="2" w:equalWidth="0">
            <w:col w:w="4710" w:space="3036"/>
            <w:col w:w="1684"/>
          </w:cols>
        </w:sectPr>
      </w:pPr>
    </w:p>
    <w:p>
      <w:pPr>
        <w:spacing w:line="240" w:lineRule="auto" w:before="12"/>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526"/>
        <w:gridCol w:w="5223"/>
      </w:tblGrid>
      <w:tr>
        <w:trPr>
          <w:trHeight w:val="323" w:hRule="exact"/>
        </w:trPr>
        <w:tc>
          <w:tcPr>
            <w:tcW w:w="3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52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本期互抵金额</w:t>
            </w:r>
            <w:r>
              <w:rPr>
                <w:rFonts w:ascii="宋体" w:hAnsi="宋体" w:cs="宋体" w:eastAsia="宋体" w:hint="default"/>
                <w:sz w:val="21"/>
                <w:szCs w:val="21"/>
              </w:rPr>
            </w:r>
          </w:p>
        </w:tc>
      </w:tr>
      <w:tr>
        <w:trPr>
          <w:trHeight w:val="322" w:hRule="exact"/>
        </w:trPr>
        <w:tc>
          <w:tcPr>
            <w:tcW w:w="3526" w:type="dxa"/>
            <w:tcBorders>
              <w:top w:val="single" w:sz="4" w:space="0" w:color="000000"/>
              <w:left w:val="single" w:sz="4" w:space="0" w:color="000000"/>
              <w:bottom w:val="single" w:sz="4" w:space="0" w:color="000000"/>
              <w:right w:val="single" w:sz="4" w:space="0" w:color="000000"/>
            </w:tcBorders>
          </w:tcPr>
          <w:p>
            <w:pPr/>
          </w:p>
        </w:tc>
        <w:tc>
          <w:tcPr>
            <w:tcW w:w="5223" w:type="dxa"/>
            <w:tcBorders>
              <w:top w:val="single" w:sz="4" w:space="0" w:color="000000"/>
              <w:left w:val="single" w:sz="4" w:space="0" w:color="000000"/>
              <w:bottom w:val="single" w:sz="4" w:space="0" w:color="000000"/>
              <w:right w:val="single" w:sz="4" w:space="0" w:color="000000"/>
            </w:tcBorders>
          </w:tcPr>
          <w:p>
            <w:pPr/>
          </w:p>
        </w:tc>
      </w:tr>
    </w:tbl>
    <w:p>
      <w:pPr>
        <w:spacing w:line="262" w:lineRule="exact" w:before="0"/>
        <w:ind w:left="558" w:right="160" w:firstLine="0"/>
        <w:jc w:val="left"/>
        <w:rPr>
          <w:rFonts w:ascii="宋体" w:hAnsi="宋体" w:cs="宋体" w:eastAsia="宋体" w:hint="default"/>
          <w:sz w:val="21"/>
          <w:szCs w:val="21"/>
        </w:rPr>
      </w:pPr>
      <w:r>
        <w:rPr>
          <w:rFonts w:ascii="宋体" w:hAnsi="宋体" w:cs="宋体" w:eastAsia="宋体" w:hint="default"/>
          <w:sz w:val="21"/>
          <w:szCs w:val="21"/>
        </w:rPr>
        <w:t>递延所得税资产和递延所得税负债的说明：无</w:t>
      </w:r>
    </w:p>
    <w:p>
      <w:pPr>
        <w:spacing w:line="240" w:lineRule="auto" w:before="10"/>
        <w:rPr>
          <w:rFonts w:ascii="宋体" w:hAnsi="宋体" w:cs="宋体" w:eastAsia="宋体" w:hint="default"/>
          <w:sz w:val="25"/>
          <w:szCs w:val="25"/>
        </w:rPr>
      </w:pPr>
    </w:p>
    <w:p>
      <w:pPr>
        <w:spacing w:before="0"/>
        <w:ind w:left="558" w:right="1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、资产减值准备明细</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7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2701"/>
        <w:gridCol w:w="1570"/>
        <w:gridCol w:w="1275"/>
        <w:gridCol w:w="1277"/>
        <w:gridCol w:w="593"/>
        <w:gridCol w:w="1322"/>
      </w:tblGrid>
      <w:tr>
        <w:trPr>
          <w:trHeight w:val="166" w:hRule="exact"/>
        </w:trPr>
        <w:tc>
          <w:tcPr>
            <w:tcW w:w="2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508"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3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2701"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70"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151"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sz w:val="21"/>
                <w:szCs w:val="21"/>
              </w:rPr>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08"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870" w:type="dxa"/>
            <w:gridSpan w:val="2"/>
            <w:vMerge/>
            <w:tcBorders>
              <w:left w:val="single" w:sz="4" w:space="0" w:color="000000"/>
              <w:bottom w:val="single" w:sz="4" w:space="0" w:color="000000"/>
              <w:right w:val="single" w:sz="4" w:space="0" w:color="000000"/>
            </w:tcBorders>
            <w:shd w:val="clear" w:color="auto" w:fill="D2D2D2"/>
          </w:tcPr>
          <w:p>
            <w:pPr/>
          </w:p>
        </w:tc>
        <w:tc>
          <w:tcPr>
            <w:tcW w:w="1322" w:type="dxa"/>
            <w:vMerge w:val="restart"/>
            <w:tcBorders>
              <w:top w:val="nil" w:sz="6" w:space="0" w:color="auto"/>
              <w:left w:val="single" w:sz="22" w:space="0" w:color="D2D2D2"/>
              <w:right w:val="single" w:sz="13" w:space="0" w:color="D2D2D2"/>
            </w:tcBorders>
          </w:tcPr>
          <w:p>
            <w:pPr>
              <w:pStyle w:val="TableParagraph"/>
              <w:spacing w:line="262" w:lineRule="exact"/>
              <w:ind w:left="-2" w:right="0"/>
              <w:jc w:val="left"/>
              <w:rPr>
                <w:rFonts w:ascii="宋体" w:hAnsi="宋体" w:cs="宋体" w:eastAsia="宋体" w:hint="default"/>
                <w:sz w:val="21"/>
                <w:szCs w:val="21"/>
              </w:rPr>
            </w:pPr>
            <w:r>
              <w:rPr>
                <w:rFonts w:ascii="Times New Roman" w:hAnsi="Times New Roman" w:cs="Times New Roman" w:eastAsia="Times New Roman" w:hint="default"/>
                <w:b/>
                <w:bCs/>
                <w:w w:val="100"/>
                <w:sz w:val="21"/>
                <w:szCs w:val="21"/>
              </w:rPr>
            </w:r>
            <w:r>
              <w:rPr>
                <w:rFonts w:ascii="Times New Roman" w:hAnsi="Times New Roman" w:cs="Times New Roman" w:eastAsia="Times New Roman" w:hint="default"/>
                <w:b/>
                <w:bCs/>
                <w:spacing w:val="-53"/>
                <w:w w:val="100"/>
                <w:sz w:val="21"/>
                <w:szCs w:val="21"/>
                <w:shd w:fill="D2D2D2" w:color="auto" w:val="clear"/>
              </w:rPr>
              <w:t> </w:t>
            </w:r>
            <w:r>
              <w:rPr>
                <w:rFonts w:ascii="宋体" w:hAnsi="宋体" w:cs="宋体" w:eastAsia="宋体" w:hint="default"/>
                <w:b/>
                <w:bCs/>
                <w:sz w:val="21"/>
                <w:szCs w:val="21"/>
                <w:shd w:fill="D2D2D2" w:color="auto" w:val="clear"/>
              </w:rPr>
              <w:t>期末账面余额</w:t>
            </w:r>
            <w:r>
              <w:rPr>
                <w:rFonts w:ascii="宋体" w:hAnsi="宋体" w:cs="宋体" w:eastAsia="宋体" w:hint="default"/>
                <w:b/>
                <w:bCs/>
                <w:sz w:val="21"/>
                <w:szCs w:val="21"/>
              </w:rPr>
            </w:r>
            <w:r>
              <w:rPr>
                <w:rFonts w:ascii="宋体" w:hAnsi="宋体" w:cs="宋体" w:eastAsia="宋体" w:hint="default"/>
                <w:sz w:val="21"/>
                <w:szCs w:val="21"/>
              </w:rPr>
            </w:r>
          </w:p>
        </w:tc>
      </w:tr>
      <w:tr>
        <w:trPr>
          <w:trHeight w:val="156" w:hRule="exact"/>
        </w:trPr>
        <w:tc>
          <w:tcPr>
            <w:tcW w:w="2701" w:type="dxa"/>
            <w:vMerge/>
            <w:tcBorders>
              <w:left w:val="single" w:sz="4" w:space="0" w:color="000000"/>
              <w:bottom w:val="nil" w:sz="6" w:space="0" w:color="auto"/>
              <w:right w:val="single" w:sz="4" w:space="0" w:color="000000"/>
            </w:tcBorders>
            <w:shd w:val="clear" w:color="auto" w:fill="D2D2D2"/>
          </w:tcPr>
          <w:p>
            <w:pPr/>
          </w:p>
        </w:tc>
        <w:tc>
          <w:tcPr>
            <w:tcW w:w="1570"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转回</w:t>
            </w:r>
            <w:r>
              <w:rPr>
                <w:rFonts w:ascii="宋体" w:hAnsi="宋体" w:cs="宋体" w:eastAsia="宋体" w:hint="default"/>
                <w:sz w:val="21"/>
                <w:szCs w:val="21"/>
              </w:rPr>
            </w: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79" w:right="0"/>
              <w:jc w:val="left"/>
              <w:rPr>
                <w:rFonts w:ascii="宋体" w:hAnsi="宋体" w:cs="宋体" w:eastAsia="宋体" w:hint="default"/>
                <w:sz w:val="21"/>
                <w:szCs w:val="21"/>
              </w:rPr>
            </w:pPr>
            <w:r>
              <w:rPr>
                <w:rFonts w:ascii="宋体" w:hAnsi="宋体" w:cs="宋体" w:eastAsia="宋体" w:hint="default"/>
                <w:b/>
                <w:bCs/>
                <w:sz w:val="21"/>
                <w:szCs w:val="21"/>
              </w:rPr>
              <w:t>转销</w:t>
            </w:r>
            <w:r>
              <w:rPr>
                <w:rFonts w:ascii="宋体" w:hAnsi="宋体" w:cs="宋体" w:eastAsia="宋体" w:hint="default"/>
                <w:sz w:val="21"/>
                <w:szCs w:val="21"/>
              </w:rPr>
            </w:r>
          </w:p>
        </w:tc>
        <w:tc>
          <w:tcPr>
            <w:tcW w:w="1322" w:type="dxa"/>
            <w:vMerge/>
            <w:tcBorders>
              <w:left w:val="single" w:sz="22" w:space="0" w:color="D2D2D2"/>
              <w:bottom w:val="nil" w:sz="6" w:space="0" w:color="auto"/>
              <w:right w:val="single" w:sz="13" w:space="0" w:color="D2D2D2"/>
            </w:tcBorders>
          </w:tcPr>
          <w:p>
            <w:pPr/>
          </w:p>
        </w:tc>
      </w:tr>
      <w:tr>
        <w:trPr>
          <w:trHeight w:val="166" w:hRule="exact"/>
        </w:trPr>
        <w:tc>
          <w:tcPr>
            <w:tcW w:w="2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13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34,112,724.60</w:t>
            </w:r>
            <w:r>
              <w:rPr>
                <w:rFonts w:ascii="Arial Narrow"/>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1,338,182.28</w:t>
            </w:r>
            <w:r>
              <w:rPr>
                <w:rFonts w:ascii="Arial Narrow"/>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3,220,270.82</w:t>
            </w:r>
            <w:r>
              <w:rPr>
                <w:rFonts w:ascii="Arial Narrow"/>
                <w:sz w:val="21"/>
              </w:rPr>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32,230,636.06</w:t>
            </w:r>
            <w:r>
              <w:rPr>
                <w:rFonts w:ascii="Arial Narrow"/>
                <w:sz w:val="21"/>
              </w:rPr>
            </w: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1,838,549.70</w:t>
            </w:r>
            <w:r>
              <w:rPr>
                <w:rFonts w:ascii="Arial Narrow"/>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530,754.18</w:t>
            </w:r>
            <w:r>
              <w:rPr>
                <w:rFonts w:ascii="Arial Narrow"/>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39.44</w:t>
            </w:r>
            <w:r>
              <w:rPr>
                <w:rFonts w:ascii="Arial Narrow"/>
                <w:sz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Arial Narrow" w:hAnsi="Arial Narrow" w:cs="Arial Narrow" w:eastAsia="Arial Narrow" w:hint="default"/>
                <w:sz w:val="21"/>
                <w:szCs w:val="21"/>
              </w:rPr>
            </w:pPr>
            <w:r>
              <w:rPr>
                <w:rFonts w:ascii="Arial Narrow"/>
                <w:spacing w:val="-1"/>
                <w:sz w:val="21"/>
              </w:rPr>
              <w:t>2,369,264.44</w:t>
            </w:r>
            <w:r>
              <w:rPr>
                <w:rFonts w:ascii="Arial Narrow"/>
                <w:sz w:val="21"/>
              </w:rPr>
            </w:r>
          </w:p>
        </w:tc>
      </w:tr>
      <w:tr>
        <w:trPr>
          <w:trHeight w:val="634"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10"/>
              <w:jc w:val="left"/>
              <w:rPr>
                <w:rFonts w:ascii="宋体" w:hAnsi="宋体" w:cs="宋体" w:eastAsia="宋体" w:hint="default"/>
                <w:sz w:val="21"/>
                <w:szCs w:val="21"/>
              </w:rPr>
            </w:pPr>
            <w:r>
              <w:rPr>
                <w:rFonts w:ascii="宋体" w:hAnsi="宋体" w:cs="宋体" w:eastAsia="宋体" w:hint="default"/>
                <w:spacing w:val="-7"/>
                <w:sz w:val="21"/>
                <w:szCs w:val="21"/>
              </w:rPr>
              <w:t>三、可供出售金融资产减值准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备</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1"/>
                <w:szCs w:val="21"/>
              </w:rPr>
            </w:pPr>
            <w:r>
              <w:rPr>
                <w:rFonts w:ascii="宋体" w:hAnsi="宋体" w:cs="宋体" w:eastAsia="宋体" w:hint="default"/>
                <w:spacing w:val="-7"/>
                <w:sz w:val="21"/>
                <w:szCs w:val="21"/>
              </w:rPr>
              <w:t>四、持有至到期投资减值准备</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五、长期股权投资减值准备</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六、投资性房地产减值准备</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1"/>
                <w:szCs w:val="21"/>
              </w:rPr>
            </w:pPr>
            <w:r>
              <w:rPr>
                <w:rFonts w:ascii="宋体" w:hAnsi="宋体" w:cs="宋体" w:eastAsia="宋体" w:hint="default"/>
                <w:spacing w:val="-7"/>
                <w:sz w:val="21"/>
                <w:szCs w:val="21"/>
              </w:rPr>
              <w:t>十、生产性生物资产减值准备</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10" w:firstLine="422"/>
              <w:jc w:val="left"/>
              <w:rPr>
                <w:rFonts w:ascii="宋体" w:hAnsi="宋体" w:cs="宋体" w:eastAsia="宋体" w:hint="default"/>
                <w:sz w:val="21"/>
                <w:szCs w:val="21"/>
              </w:rPr>
            </w:pPr>
            <w:r>
              <w:rPr>
                <w:rFonts w:ascii="宋体" w:hAnsi="宋体" w:cs="宋体" w:eastAsia="宋体" w:hint="default"/>
                <w:spacing w:val="-8"/>
                <w:sz w:val="21"/>
                <w:szCs w:val="21"/>
              </w:rPr>
              <w:t>其中：成熟生产性生物资</w:t>
            </w:r>
            <w:r>
              <w:rPr>
                <w:rFonts w:ascii="宋体" w:hAnsi="宋体" w:cs="宋体" w:eastAsia="宋体" w:hint="default"/>
                <w:w w:val="100"/>
                <w:sz w:val="21"/>
                <w:szCs w:val="21"/>
              </w:rPr>
              <w:t> </w:t>
            </w:r>
            <w:r>
              <w:rPr>
                <w:rFonts w:ascii="宋体" w:hAnsi="宋体" w:cs="宋体" w:eastAsia="宋体" w:hint="default"/>
                <w:sz w:val="21"/>
                <w:szCs w:val="21"/>
              </w:rPr>
              <w:t>产减值准备</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十一、油气资产减值准备</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十二、无形资产减值准备</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570" w:type="dxa"/>
            <w:tcBorders>
              <w:top w:val="single" w:sz="4" w:space="0" w:color="000000"/>
              <w:left w:val="single" w:sz="13" w:space="0" w:color="D2D2D2"/>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19"/>
              <w:jc w:val="right"/>
              <w:rPr>
                <w:rFonts w:ascii="Arial Narrow" w:hAnsi="Arial Narrow" w:cs="Arial Narrow" w:eastAsia="Arial Narrow" w:hint="default"/>
                <w:sz w:val="21"/>
                <w:szCs w:val="21"/>
              </w:rPr>
            </w:pPr>
            <w:r>
              <w:rPr>
                <w:rFonts w:ascii="Arial Narrow"/>
                <w:b/>
                <w:spacing w:val="-1"/>
                <w:sz w:val="21"/>
              </w:rPr>
              <w:t>35,951,274.30</w:t>
            </w:r>
            <w:r>
              <w:rPr>
                <w:rFonts w:ascii="Arial Narrow"/>
                <w:sz w:val="21"/>
              </w:rPr>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b/>
                <w:spacing w:val="-1"/>
                <w:sz w:val="21"/>
              </w:rPr>
              <w:t>1,868,936.46</w:t>
            </w:r>
            <w:r>
              <w:rPr>
                <w:rFonts w:ascii="Arial Narrow"/>
                <w:sz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b/>
                <w:spacing w:val="-1"/>
                <w:sz w:val="21"/>
              </w:rPr>
              <w:t>3,220,270.82</w:t>
            </w:r>
            <w:r>
              <w:rPr>
                <w:rFonts w:ascii="Arial Narrow"/>
                <w:sz w:val="21"/>
              </w:rPr>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b/>
                <w:spacing w:val="-1"/>
                <w:sz w:val="21"/>
              </w:rPr>
              <w:t>39.44</w:t>
            </w:r>
            <w:r>
              <w:rPr>
                <w:rFonts w:ascii="Arial Narrow"/>
                <w:sz w:val="21"/>
              </w:rPr>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b/>
                <w:spacing w:val="-1"/>
                <w:sz w:val="21"/>
              </w:rPr>
              <w:t>34,599,900.50</w:t>
            </w:r>
            <w:r>
              <w:rPr>
                <w:rFonts w:ascii="Arial Narrow"/>
                <w:sz w:val="21"/>
              </w:rPr>
            </w:r>
          </w:p>
        </w:tc>
      </w:tr>
    </w:tbl>
    <w:p>
      <w:pPr>
        <w:spacing w:line="263" w:lineRule="exact" w:before="0"/>
        <w:ind w:left="558" w:right="160" w:firstLine="0"/>
        <w:jc w:val="left"/>
        <w:rPr>
          <w:rFonts w:ascii="宋体" w:hAnsi="宋体" w:cs="宋体" w:eastAsia="宋体" w:hint="default"/>
          <w:sz w:val="21"/>
          <w:szCs w:val="21"/>
        </w:rPr>
      </w:pPr>
      <w:r>
        <w:rPr>
          <w:rFonts w:ascii="宋体" w:hAnsi="宋体" w:cs="宋体" w:eastAsia="宋体" w:hint="default"/>
          <w:sz w:val="21"/>
          <w:szCs w:val="21"/>
        </w:rPr>
        <w:t>资产减值明细情况的说明：无</w:t>
      </w:r>
    </w:p>
    <w:p>
      <w:pPr>
        <w:spacing w:line="240" w:lineRule="auto" w:before="10"/>
        <w:rPr>
          <w:rFonts w:ascii="宋体" w:hAnsi="宋体" w:cs="宋体" w:eastAsia="宋体" w:hint="default"/>
          <w:sz w:val="25"/>
          <w:szCs w:val="25"/>
        </w:rPr>
      </w:pPr>
    </w:p>
    <w:p>
      <w:pPr>
        <w:spacing w:before="0"/>
        <w:ind w:left="558" w:right="16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、其他非流动资产</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7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3260"/>
        <w:gridCol w:w="2684"/>
        <w:gridCol w:w="2794"/>
      </w:tblGrid>
      <w:tr>
        <w:trPr>
          <w:trHeight w:val="32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w w:val="100"/>
                <w:sz w:val="21"/>
              </w:rPr>
              <w:t>0</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w w:val="100"/>
                <w:sz w:val="21"/>
              </w:rPr>
              <w:t>0</w:t>
            </w:r>
          </w:p>
        </w:tc>
      </w:tr>
    </w:tbl>
    <w:p>
      <w:pPr>
        <w:spacing w:line="262" w:lineRule="exact" w:before="0"/>
        <w:ind w:left="558" w:right="160" w:firstLine="0"/>
        <w:jc w:val="left"/>
        <w:rPr>
          <w:rFonts w:ascii="宋体" w:hAnsi="宋体" w:cs="宋体" w:eastAsia="宋体" w:hint="default"/>
          <w:sz w:val="21"/>
          <w:szCs w:val="21"/>
        </w:rPr>
      </w:pPr>
      <w:r>
        <w:rPr>
          <w:rFonts w:ascii="宋体" w:hAnsi="宋体" w:cs="宋体" w:eastAsia="宋体" w:hint="default"/>
          <w:sz w:val="21"/>
          <w:szCs w:val="21"/>
        </w:rPr>
        <w:t>其他非流动资产的说明：无</w:t>
      </w:r>
    </w:p>
    <w:p>
      <w:pPr>
        <w:spacing w:after="0" w:line="262" w:lineRule="exact"/>
        <w:jc w:val="left"/>
        <w:rPr>
          <w:rFonts w:ascii="宋体" w:hAnsi="宋体" w:cs="宋体" w:eastAsia="宋体" w:hint="default"/>
          <w:sz w:val="21"/>
          <w:szCs w:val="21"/>
        </w:rPr>
        <w:sectPr>
          <w:type w:val="continuous"/>
          <w:pgSz w:w="11910" w:h="16840"/>
          <w:pgMar w:top="440" w:bottom="280" w:left="1240" w:right="1240"/>
        </w:sectPr>
      </w:pPr>
    </w:p>
    <w:p>
      <w:pPr>
        <w:spacing w:line="240" w:lineRule="auto" w:before="4"/>
        <w:rPr>
          <w:rFonts w:ascii="宋体" w:hAnsi="宋体" w:cs="宋体" w:eastAsia="宋体" w:hint="default"/>
          <w:sz w:val="16"/>
          <w:szCs w:val="16"/>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29</w:t>
      </w:r>
      <w:r>
        <w:rPr>
          <w:rFonts w:ascii="宋体" w:hAnsi="宋体" w:cs="宋体" w:eastAsia="宋体" w:hint="default"/>
          <w:b/>
          <w:bCs/>
          <w:sz w:val="21"/>
          <w:szCs w:val="21"/>
        </w:rPr>
        <w:t>、短期借款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3260"/>
        <w:gridCol w:w="2684"/>
        <w:gridCol w:w="2794"/>
      </w:tblGrid>
      <w:tr>
        <w:trPr>
          <w:trHeight w:val="322"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质押借款</w:t>
            </w:r>
          </w:p>
        </w:tc>
        <w:tc>
          <w:tcPr>
            <w:tcW w:w="2684" w:type="dxa"/>
            <w:tcBorders>
              <w:top w:val="single" w:sz="4" w:space="0" w:color="000000"/>
              <w:left w:val="single" w:sz="10" w:space="0" w:color="D2D2D2"/>
              <w:bottom w:val="single" w:sz="4" w:space="0" w:color="000000"/>
              <w:right w:val="single" w:sz="4" w:space="0" w:color="000000"/>
            </w:tcBorders>
          </w:tcPr>
          <w:p>
            <w:pPr/>
          </w:p>
        </w:tc>
        <w:tc>
          <w:tcPr>
            <w:tcW w:w="27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 w:right="0"/>
              <w:jc w:val="center"/>
              <w:rPr>
                <w:rFonts w:ascii="宋体" w:hAnsi="宋体" w:cs="宋体" w:eastAsia="宋体" w:hint="default"/>
                <w:sz w:val="21"/>
                <w:szCs w:val="21"/>
              </w:rPr>
            </w:pPr>
            <w:r>
              <w:rPr>
                <w:rFonts w:ascii="宋体" w:hAnsi="宋体" w:cs="宋体" w:eastAsia="宋体" w:hint="default"/>
                <w:sz w:val="21"/>
                <w:szCs w:val="21"/>
              </w:rPr>
              <w:t>抵押借款</w:t>
            </w:r>
          </w:p>
        </w:tc>
        <w:tc>
          <w:tcPr>
            <w:tcW w:w="2684" w:type="dxa"/>
            <w:tcBorders>
              <w:top w:val="single" w:sz="4" w:space="0" w:color="000000"/>
              <w:left w:val="single" w:sz="10" w:space="0" w:color="D2D2D2"/>
              <w:bottom w:val="single" w:sz="4" w:space="0" w:color="000000"/>
              <w:right w:val="single" w:sz="4" w:space="0" w:color="000000"/>
            </w:tcBorders>
          </w:tcPr>
          <w:p>
            <w:pPr/>
          </w:p>
        </w:tc>
        <w:tc>
          <w:tcPr>
            <w:tcW w:w="27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保证借款</w:t>
            </w:r>
          </w:p>
        </w:tc>
        <w:tc>
          <w:tcPr>
            <w:tcW w:w="2684" w:type="dxa"/>
            <w:tcBorders>
              <w:top w:val="single" w:sz="4" w:space="0" w:color="000000"/>
              <w:left w:val="single" w:sz="10" w:space="0" w:color="D2D2D2"/>
              <w:bottom w:val="single" w:sz="4" w:space="0" w:color="000000"/>
              <w:right w:val="single" w:sz="4" w:space="0" w:color="000000"/>
            </w:tcBorders>
          </w:tcPr>
          <w:p>
            <w:pPr/>
          </w:p>
        </w:tc>
        <w:tc>
          <w:tcPr>
            <w:tcW w:w="27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信用借款</w:t>
            </w:r>
          </w:p>
        </w:tc>
        <w:tc>
          <w:tcPr>
            <w:tcW w:w="26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spacing w:val="-1"/>
                <w:sz w:val="21"/>
              </w:rPr>
              <w:t>34,675,136.00</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5,952,960.20</w:t>
            </w:r>
            <w:r>
              <w:rPr>
                <w:rFonts w:ascii="Arial Narrow"/>
                <w:sz w:val="21"/>
              </w:rPr>
            </w:r>
          </w:p>
        </w:tc>
      </w:tr>
      <w:tr>
        <w:trPr>
          <w:trHeight w:val="322"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34,675,136.00</w:t>
            </w:r>
            <w:r>
              <w:rPr>
                <w:rFonts w:ascii="Arial Narrow"/>
                <w:sz w:val="21"/>
              </w:rPr>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5,952,960.20</w:t>
            </w:r>
            <w:r>
              <w:rPr>
                <w:rFonts w:ascii="Arial Narrow"/>
                <w:sz w:val="21"/>
              </w:rPr>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短期借款分类的说明：无</w:t>
      </w:r>
    </w:p>
    <w:p>
      <w:pPr>
        <w:spacing w:line="240" w:lineRule="auto" w:before="10"/>
        <w:rPr>
          <w:rFonts w:ascii="宋体" w:hAnsi="宋体" w:cs="宋体" w:eastAsia="宋体" w:hint="default"/>
          <w:sz w:val="25"/>
          <w:szCs w:val="25"/>
        </w:rPr>
      </w:pPr>
    </w:p>
    <w:p>
      <w:pPr>
        <w:spacing w:line="506" w:lineRule="auto" w:before="0"/>
        <w:ind w:left="558" w:right="5455"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）已到期未偿还的短期借款情况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sz w:val="21"/>
          <w:szCs w:val="21"/>
        </w:rPr>
        <w:t>无</w:t>
      </w:r>
    </w:p>
    <w:p>
      <w:pPr>
        <w:spacing w:line="506" w:lineRule="auto" w:before="104"/>
        <w:ind w:left="558" w:right="693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、交易性金融负债</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520" w:lineRule="auto" w:before="104"/>
        <w:ind w:left="558" w:right="75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、应付票据</w:t>
      </w:r>
      <w:r>
        <w:rPr>
          <w:rFonts w:ascii="宋体" w:hAnsi="宋体" w:cs="宋体" w:eastAsia="宋体" w:hint="default"/>
          <w:b/>
          <w:bCs/>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、应付账款</w:t>
      </w:r>
      <w:r>
        <w:rPr>
          <w:rFonts w:ascii="宋体" w:hAnsi="宋体" w:cs="宋体" w:eastAsia="宋体" w:hint="default"/>
          <w:sz w:val="21"/>
          <w:szCs w:val="21"/>
        </w:rPr>
      </w:r>
    </w:p>
    <w:p>
      <w:pPr>
        <w:spacing w:before="49"/>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284"/>
        <w:gridCol w:w="2672"/>
        <w:gridCol w:w="2794"/>
      </w:tblGrid>
      <w:tr>
        <w:trPr>
          <w:trHeight w:val="322"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60" w:hRule="exact"/>
        </w:trPr>
        <w:tc>
          <w:tcPr>
            <w:tcW w:w="3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Calibri" w:hAnsi="Calibri" w:cs="Calibri" w:eastAsia="Calibri" w:hint="default"/>
                <w:sz w:val="21"/>
                <w:szCs w:val="21"/>
              </w:rPr>
            </w:pPr>
            <w:r>
              <w:rPr>
                <w:rFonts w:ascii="Calibri"/>
                <w:spacing w:val="-2"/>
                <w:sz w:val="21"/>
              </w:rPr>
              <w:t>57,318,714.72</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Calibri" w:hAnsi="Calibri" w:cs="Calibri" w:eastAsia="Calibri" w:hint="default"/>
                <w:sz w:val="21"/>
                <w:szCs w:val="21"/>
              </w:rPr>
            </w:pPr>
            <w:r>
              <w:rPr>
                <w:rFonts w:ascii="Calibri"/>
                <w:spacing w:val="-2"/>
                <w:sz w:val="21"/>
              </w:rPr>
              <w:t>48,182,565.57</w:t>
            </w:r>
          </w:p>
        </w:tc>
      </w:tr>
      <w:tr>
        <w:trPr>
          <w:trHeight w:val="322" w:hRule="exact"/>
        </w:trPr>
        <w:tc>
          <w:tcPr>
            <w:tcW w:w="3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67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57,318,714.72</w:t>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48,182,565.57</w:t>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）本报告期应付账款中应付持有公司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3260"/>
        <w:gridCol w:w="2684"/>
        <w:gridCol w:w="2794"/>
      </w:tblGrid>
      <w:tr>
        <w:trPr>
          <w:trHeight w:val="322"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z w:val="21"/>
              </w:rPr>
              <w:t>00</w:t>
            </w:r>
          </w:p>
        </w:tc>
        <w:tc>
          <w:tcPr>
            <w:tcW w:w="2794" w:type="dxa"/>
            <w:tcBorders>
              <w:top w:val="single" w:sz="4" w:space="0" w:color="000000"/>
              <w:left w:val="single" w:sz="4" w:space="0" w:color="000000"/>
              <w:bottom w:val="single" w:sz="4" w:space="0" w:color="000000"/>
              <w:right w:val="single" w:sz="4" w:space="0" w:color="000000"/>
            </w:tcBorders>
          </w:tcPr>
          <w:p>
            <w:pPr/>
          </w:p>
        </w:tc>
      </w:tr>
    </w:tbl>
    <w:p>
      <w:pPr>
        <w:spacing w:line="312" w:lineRule="exact" w:before="110"/>
        <w:ind w:left="558" w:right="0" w:firstLine="0"/>
        <w:jc w:val="left"/>
        <w:rPr>
          <w:rFonts w:ascii="宋体" w:hAnsi="宋体" w:cs="宋体" w:eastAsia="宋体" w:hint="default"/>
          <w:sz w:val="24"/>
          <w:szCs w:val="24"/>
        </w:rPr>
      </w:pPr>
      <w:r>
        <w:rPr>
          <w:rFonts w:ascii="宋体" w:hAnsi="宋体" w:cs="宋体" w:eastAsia="宋体" w:hint="default"/>
          <w:sz w:val="21"/>
          <w:szCs w:val="21"/>
        </w:rPr>
        <w:t>（</w:t>
      </w:r>
      <w:r>
        <w:rPr>
          <w:rFonts w:ascii="Calibri" w:hAnsi="Calibri" w:cs="Calibri" w:eastAsia="Calibri" w:hint="default"/>
          <w:sz w:val="21"/>
          <w:szCs w:val="21"/>
        </w:rPr>
        <w:t>3</w:t>
      </w:r>
      <w:r>
        <w:rPr>
          <w:rFonts w:ascii="宋体" w:hAnsi="宋体" w:cs="宋体" w:eastAsia="宋体" w:hint="default"/>
          <w:sz w:val="21"/>
          <w:szCs w:val="21"/>
        </w:rPr>
        <w:t>）账龄超过一年的大额应付账款情况的说明：</w:t>
      </w:r>
      <w:r>
        <w:rPr>
          <w:rFonts w:ascii="宋体" w:hAnsi="宋体" w:cs="宋体" w:eastAsia="宋体" w:hint="default"/>
          <w:sz w:val="24"/>
          <w:szCs w:val="24"/>
        </w:rPr>
        <w:t>账龄超过一年的应付账款主要系未支付</w:t>
      </w:r>
      <w:r>
        <w:rPr>
          <w:rFonts w:ascii="宋体" w:hAnsi="宋体" w:cs="宋体" w:eastAsia="宋体" w:hint="default"/>
          <w:spacing w:val="-32"/>
          <w:sz w:val="24"/>
          <w:szCs w:val="24"/>
        </w:rPr>
        <w:t> </w:t>
      </w:r>
      <w:r>
        <w:rPr>
          <w:rFonts w:ascii="宋体" w:hAnsi="宋体" w:cs="宋体" w:eastAsia="宋体" w:hint="default"/>
          <w:spacing w:val="-32"/>
          <w:sz w:val="24"/>
          <w:szCs w:val="24"/>
        </w:rPr>
      </w:r>
      <w:r>
        <w:rPr>
          <w:rFonts w:ascii="宋体" w:hAnsi="宋体" w:cs="宋体" w:eastAsia="宋体" w:hint="default"/>
          <w:sz w:val="24"/>
          <w:szCs w:val="24"/>
        </w:rPr>
        <w:t>的定制软件外包费。</w:t>
      </w:r>
    </w:p>
    <w:p>
      <w:pPr>
        <w:spacing w:after="0" w:line="312" w:lineRule="exact"/>
        <w:jc w:val="left"/>
        <w:rPr>
          <w:rFonts w:ascii="宋体" w:hAnsi="宋体" w:cs="宋体" w:eastAsia="宋体" w:hint="default"/>
          <w:sz w:val="24"/>
          <w:szCs w:val="24"/>
        </w:rPr>
        <w:sectPr>
          <w:pgSz w:w="11910" w:h="16840"/>
          <w:pgMar w:header="884" w:footer="1007" w:top="1160" w:bottom="1200" w:left="1240" w:right="1260"/>
        </w:sectPr>
      </w:pPr>
    </w:p>
    <w:p>
      <w:pPr>
        <w:spacing w:line="240" w:lineRule="auto" w:before="4"/>
        <w:rPr>
          <w:rFonts w:ascii="宋体" w:hAnsi="宋体" w:cs="宋体" w:eastAsia="宋体" w:hint="default"/>
          <w:sz w:val="16"/>
          <w:szCs w:val="16"/>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、预收账款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526"/>
        <w:gridCol w:w="2552"/>
        <w:gridCol w:w="2672"/>
      </w:tblGrid>
      <w:tr>
        <w:trPr>
          <w:trHeight w:val="322" w:hRule="exact"/>
        </w:trPr>
        <w:tc>
          <w:tcPr>
            <w:tcW w:w="3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货款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186" w:right="0"/>
              <w:jc w:val="left"/>
              <w:rPr>
                <w:rFonts w:ascii="Calibri" w:hAnsi="Calibri" w:cs="Calibri" w:eastAsia="Calibri" w:hint="default"/>
                <w:sz w:val="21"/>
                <w:szCs w:val="21"/>
              </w:rPr>
            </w:pPr>
            <w:r>
              <w:rPr>
                <w:rFonts w:ascii="Calibri"/>
                <w:sz w:val="21"/>
              </w:rPr>
              <w:t>23,160,163.96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3"/>
              <w:jc w:val="center"/>
              <w:rPr>
                <w:rFonts w:ascii="Calibri" w:hAnsi="Calibri" w:cs="Calibri" w:eastAsia="Calibri" w:hint="default"/>
                <w:sz w:val="21"/>
                <w:szCs w:val="21"/>
              </w:rPr>
            </w:pPr>
            <w:r>
              <w:rPr>
                <w:rFonts w:ascii="Calibri"/>
                <w:sz w:val="21"/>
              </w:rPr>
              <w:t>43,568,410.34</w:t>
            </w:r>
          </w:p>
        </w:tc>
      </w:tr>
      <w:tr>
        <w:trPr>
          <w:trHeight w:val="324" w:hRule="exact"/>
        </w:trPr>
        <w:tc>
          <w:tcPr>
            <w:tcW w:w="3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left="648" w:right="0"/>
              <w:jc w:val="left"/>
              <w:rPr>
                <w:rFonts w:ascii="Calibri" w:hAnsi="Calibri" w:cs="Calibri" w:eastAsia="Calibri" w:hint="default"/>
                <w:sz w:val="21"/>
                <w:szCs w:val="21"/>
              </w:rPr>
            </w:pPr>
            <w:r>
              <w:rPr>
                <w:rFonts w:ascii="Calibri"/>
                <w:sz w:val="21"/>
              </w:rPr>
              <w:t>23,160,163.96</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
              <w:jc w:val="center"/>
              <w:rPr>
                <w:rFonts w:ascii="Calibri" w:hAnsi="Calibri" w:cs="Calibri" w:eastAsia="Calibri" w:hint="default"/>
                <w:sz w:val="21"/>
                <w:szCs w:val="21"/>
              </w:rPr>
            </w:pPr>
            <w:r>
              <w:rPr>
                <w:rFonts w:ascii="Calibri"/>
                <w:sz w:val="21"/>
              </w:rPr>
              <w:t>43,568,410.34</w:t>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）本报告期预收账款中预收持有公司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3502"/>
        <w:gridCol w:w="2564"/>
        <w:gridCol w:w="2672"/>
      </w:tblGrid>
      <w:tr>
        <w:trPr>
          <w:trHeight w:val="323" w:hRule="exact"/>
        </w:trPr>
        <w:tc>
          <w:tcPr>
            <w:tcW w:w="3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4"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3" w:hRule="exact"/>
        </w:trPr>
        <w:tc>
          <w:tcPr>
            <w:tcW w:w="3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18"/>
              <w:jc w:val="right"/>
              <w:rPr>
                <w:rFonts w:ascii="Calibri" w:hAnsi="Calibri" w:cs="Calibri" w:eastAsia="Calibri" w:hint="default"/>
                <w:sz w:val="21"/>
                <w:szCs w:val="21"/>
              </w:rPr>
            </w:pPr>
            <w:r>
              <w:rPr>
                <w:rFonts w:ascii="Calibri"/>
                <w:w w:val="100"/>
                <w:sz w:val="21"/>
              </w:rPr>
              <w:t>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w w:val="100"/>
                <w:sz w:val="21"/>
              </w:rPr>
              <w:t>0</w:t>
            </w:r>
          </w:p>
        </w:tc>
      </w:tr>
    </w:tbl>
    <w:p>
      <w:pPr>
        <w:spacing w:line="240" w:lineRule="auto" w:before="1"/>
        <w:rPr>
          <w:rFonts w:ascii="宋体" w:hAnsi="宋体" w:cs="宋体" w:eastAsia="宋体" w:hint="default"/>
          <w:sz w:val="18"/>
          <w:szCs w:val="18"/>
        </w:rPr>
      </w:pPr>
    </w:p>
    <w:p>
      <w:pPr>
        <w:spacing w:line="180" w:lineRule="auto" w:before="38"/>
        <w:ind w:left="558" w:right="0" w:firstLine="0"/>
        <w:jc w:val="left"/>
        <w:rPr>
          <w:rFonts w:ascii="Microsoft JhengHei" w:hAnsi="Microsoft JhengHei" w:cs="Microsoft JhengHei" w:eastAsia="Microsoft JhengHei" w:hint="default"/>
          <w:sz w:val="24"/>
          <w:szCs w:val="24"/>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）账龄超过一年的大额预收账款情况的说明：</w:t>
      </w:r>
      <w:r>
        <w:rPr>
          <w:rFonts w:ascii="Microsoft JhengHei" w:hAnsi="Microsoft JhengHei" w:cs="Microsoft JhengHei" w:eastAsia="Microsoft JhengHei" w:hint="default"/>
          <w:b/>
          <w:bCs/>
          <w:sz w:val="24"/>
          <w:szCs w:val="24"/>
        </w:rPr>
        <w:t>账龄超过一年的预收款项主要系提供的</w:t>
      </w:r>
      <w:r>
        <w:rPr>
          <w:rFonts w:ascii="Microsoft JhengHei" w:hAnsi="Microsoft JhengHei" w:cs="Microsoft JhengHei" w:eastAsia="Microsoft JhengHei" w:hint="default"/>
          <w:b/>
          <w:bCs/>
          <w:spacing w:val="13"/>
          <w:sz w:val="24"/>
          <w:szCs w:val="24"/>
        </w:rPr>
        <w:t> </w:t>
      </w:r>
      <w:r>
        <w:rPr>
          <w:rFonts w:ascii="Microsoft JhengHei" w:hAnsi="Microsoft JhengHei" w:cs="Microsoft JhengHei" w:eastAsia="Microsoft JhengHei" w:hint="default"/>
          <w:b/>
          <w:bCs/>
          <w:spacing w:val="13"/>
          <w:sz w:val="24"/>
          <w:szCs w:val="24"/>
        </w:rPr>
      </w:r>
      <w:r>
        <w:rPr>
          <w:rFonts w:ascii="Microsoft JhengHei" w:hAnsi="Microsoft JhengHei" w:cs="Microsoft JhengHei" w:eastAsia="Microsoft JhengHei" w:hint="default"/>
          <w:b/>
          <w:bCs/>
          <w:sz w:val="24"/>
          <w:szCs w:val="24"/>
        </w:rPr>
        <w:t>定制软件实际到款情况与完工进度存在差异所致。</w:t>
      </w:r>
      <w:r>
        <w:rPr>
          <w:rFonts w:ascii="Microsoft JhengHei" w:hAnsi="Microsoft JhengHei" w:cs="Microsoft JhengHei" w:eastAsia="Microsoft JhengHei" w:hint="default"/>
          <w:sz w:val="24"/>
          <w:szCs w:val="24"/>
        </w:rPr>
      </w:r>
    </w:p>
    <w:p>
      <w:pPr>
        <w:spacing w:line="240" w:lineRule="auto" w:before="0"/>
        <w:rPr>
          <w:rFonts w:ascii="Microsoft JhengHei" w:hAnsi="Microsoft JhengHei" w:cs="Microsoft JhengHei" w:eastAsia="Microsoft JhengHei" w:hint="default"/>
          <w:b/>
          <w:bCs/>
          <w:sz w:val="18"/>
          <w:szCs w:val="18"/>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852"/>
        <w:gridCol w:w="1555"/>
        <w:gridCol w:w="1426"/>
        <w:gridCol w:w="1429"/>
        <w:gridCol w:w="1488"/>
      </w:tblGrid>
      <w:tr>
        <w:trPr>
          <w:trHeight w:val="323" w:hRule="exact"/>
        </w:trPr>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46"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sz w:val="21"/>
                <w:szCs w:val="21"/>
              </w:rPr>
            </w:r>
          </w:p>
        </w:tc>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88"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88"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sz w:val="21"/>
                <w:szCs w:val="21"/>
              </w:rPr>
            </w:r>
          </w:p>
        </w:tc>
      </w:tr>
      <w:tr>
        <w:trPr>
          <w:trHeight w:val="322" w:hRule="exact"/>
        </w:trPr>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14,134,196.08</w:t>
            </w:r>
            <w:r>
              <w:rPr>
                <w:rFonts w:ascii="Arial Narrow"/>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97,408338.21</w:t>
            </w:r>
            <w:r>
              <w:rPr>
                <w:rFonts w:ascii="Arial Narrow"/>
                <w:sz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99,662,590.62</w:t>
            </w:r>
            <w:r>
              <w:rPr>
                <w:rFonts w:ascii="Arial Narrow"/>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11,879,943.67</w:t>
            </w:r>
            <w:r>
              <w:rPr>
                <w:rFonts w:ascii="Arial Narrow"/>
                <w:sz w:val="21"/>
              </w:rPr>
            </w:r>
          </w:p>
        </w:tc>
      </w:tr>
      <w:tr>
        <w:trPr>
          <w:trHeight w:val="322" w:hRule="exact"/>
        </w:trPr>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w w:val="100"/>
                <w:sz w:val="21"/>
              </w:rPr>
              <w:t>-</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6,368,106.51</w:t>
            </w:r>
            <w:r>
              <w:rPr>
                <w:rFonts w:ascii="Arial Narrow"/>
                <w:sz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6,368,106.51</w:t>
            </w:r>
            <w:r>
              <w:rPr>
                <w:rFonts w:ascii="Arial Narrow"/>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r>
      <w:tr>
        <w:trPr>
          <w:trHeight w:val="322" w:hRule="exact"/>
        </w:trPr>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804,497.49</w:t>
            </w:r>
            <w:r>
              <w:rPr>
                <w:rFonts w:ascii="Arial Narrow"/>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14,884,488.18</w:t>
            </w:r>
            <w:r>
              <w:rPr>
                <w:rFonts w:ascii="Arial Narrow"/>
                <w:sz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14,731,853.40</w:t>
            </w:r>
            <w:r>
              <w:rPr>
                <w:rFonts w:ascii="Arial Narrow"/>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957,132.27</w:t>
            </w:r>
            <w:r>
              <w:rPr>
                <w:rFonts w:ascii="Arial Narrow"/>
                <w:sz w:val="21"/>
              </w:rPr>
            </w:r>
          </w:p>
        </w:tc>
      </w:tr>
      <w:tr>
        <w:trPr>
          <w:trHeight w:val="322" w:hRule="exact"/>
        </w:trPr>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5" w:type="dxa"/>
            <w:tcBorders>
              <w:top w:val="single" w:sz="4" w:space="0" w:color="000000"/>
              <w:left w:val="single" w:sz="10" w:space="0" w:color="D2D2D2"/>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3,242,945.79</w:t>
            </w:r>
            <w:r>
              <w:rPr>
                <w:rFonts w:ascii="Arial Narrow"/>
                <w:sz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3,248,978.79</w:t>
            </w:r>
            <w:r>
              <w:rPr>
                <w:rFonts w:ascii="Arial Narrow"/>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6,033.00</w:t>
            </w:r>
            <w:r>
              <w:rPr>
                <w:rFonts w:ascii="Arial Narrow"/>
                <w:sz w:val="21"/>
              </w:rPr>
            </w:r>
          </w:p>
        </w:tc>
      </w:tr>
      <w:tr>
        <w:trPr>
          <w:trHeight w:val="322" w:hRule="exact"/>
        </w:trPr>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5" w:type="dxa"/>
            <w:tcBorders>
              <w:top w:val="single" w:sz="4" w:space="0" w:color="000000"/>
              <w:left w:val="single" w:sz="10" w:space="0" w:color="D2D2D2"/>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386,965.99</w:t>
            </w:r>
            <w:r>
              <w:rPr>
                <w:rFonts w:ascii="Arial Narrow"/>
                <w:sz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386,965.99</w:t>
            </w:r>
            <w:r>
              <w:rPr>
                <w:rFonts w:ascii="Arial Narrow"/>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r>
      <w:tr>
        <w:trPr>
          <w:trHeight w:val="324" w:hRule="exact"/>
        </w:trPr>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5" w:type="dxa"/>
            <w:tcBorders>
              <w:top w:val="single" w:sz="4" w:space="0" w:color="000000"/>
              <w:left w:val="single" w:sz="10" w:space="0" w:color="D2D2D2"/>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Arial Narrow" w:hAnsi="Arial Narrow" w:cs="Arial Narrow" w:eastAsia="Arial Narrow" w:hint="default"/>
                <w:sz w:val="21"/>
                <w:szCs w:val="21"/>
              </w:rPr>
            </w:pPr>
            <w:r>
              <w:rPr>
                <w:rFonts w:ascii="Arial Narrow"/>
                <w:spacing w:val="-1"/>
                <w:sz w:val="21"/>
              </w:rPr>
              <w:t>444,9705.33</w:t>
            </w:r>
            <w:r>
              <w:rPr>
                <w:rFonts w:ascii="Arial Narrow"/>
                <w:sz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444,9705.33</w:t>
            </w:r>
            <w:r>
              <w:rPr>
                <w:rFonts w:ascii="Arial Narrow"/>
                <w:sz w:val="21"/>
              </w:rPr>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5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14,938,693.57</w:t>
            </w:r>
            <w:r>
              <w:rPr>
                <w:rFonts w:ascii="Arial Narrow"/>
                <w:sz w:val="21"/>
              </w:rPr>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126,746,583.01</w:t>
            </w:r>
            <w:r>
              <w:rPr>
                <w:rFonts w:ascii="Arial Narrow"/>
                <w:sz w:val="21"/>
              </w:rPr>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Arial Narrow" w:hAnsi="Arial Narrow" w:cs="Arial Narrow" w:eastAsia="Arial Narrow" w:hint="default"/>
                <w:sz w:val="21"/>
                <w:szCs w:val="21"/>
              </w:rPr>
            </w:pPr>
            <w:r>
              <w:rPr>
                <w:rFonts w:ascii="Arial Narrow"/>
                <w:spacing w:val="-1"/>
                <w:sz w:val="21"/>
              </w:rPr>
              <w:t>128,842,167.64</w:t>
            </w:r>
            <w:r>
              <w:rPr>
                <w:rFonts w:ascii="Arial Narrow"/>
                <w:sz w:val="21"/>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12,843,108.94</w:t>
            </w:r>
            <w:r>
              <w:rPr>
                <w:rFonts w:ascii="Arial Narrow"/>
                <w:sz w:val="21"/>
              </w:rPr>
            </w:r>
          </w:p>
        </w:tc>
      </w:tr>
    </w:tbl>
    <w:p>
      <w:pPr>
        <w:spacing w:line="289"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应付职工薪酬中属于拖欠性质的金额</w:t>
      </w:r>
      <w:r>
        <w:rPr>
          <w:rFonts w:ascii="宋体" w:hAnsi="宋体" w:cs="宋体" w:eastAsia="宋体" w:hint="default"/>
          <w:spacing w:val="-53"/>
          <w:sz w:val="21"/>
          <w:szCs w:val="21"/>
        </w:rPr>
        <w:t> </w:t>
      </w:r>
      <w:r>
        <w:rPr>
          <w:rFonts w:ascii="Calibri" w:hAnsi="Calibri" w:cs="Calibri" w:eastAsia="Calibri" w:hint="default"/>
          <w:sz w:val="21"/>
          <w:szCs w:val="21"/>
        </w:rPr>
        <w:t>0</w:t>
      </w:r>
      <w:r>
        <w:rPr>
          <w:rFonts w:ascii="Calibri" w:hAnsi="Calibri" w:cs="Calibri" w:eastAsia="Calibri" w:hint="default"/>
          <w:spacing w:val="3"/>
          <w:sz w:val="21"/>
          <w:szCs w:val="21"/>
        </w:rPr>
        <w:t> </w:t>
      </w:r>
      <w:r>
        <w:rPr>
          <w:rFonts w:ascii="宋体" w:hAnsi="宋体" w:cs="宋体" w:eastAsia="宋体" w:hint="default"/>
          <w:sz w:val="21"/>
          <w:szCs w:val="21"/>
        </w:rPr>
        <w:t>元。</w:t>
      </w:r>
    </w:p>
    <w:p>
      <w:pPr>
        <w:spacing w:before="10"/>
        <w:ind w:left="558" w:right="0" w:firstLine="0"/>
        <w:jc w:val="left"/>
        <w:rPr>
          <w:rFonts w:ascii="宋体" w:hAnsi="宋体" w:cs="宋体" w:eastAsia="宋体" w:hint="default"/>
          <w:sz w:val="21"/>
          <w:szCs w:val="21"/>
        </w:rPr>
      </w:pPr>
      <w:r>
        <w:rPr>
          <w:rFonts w:ascii="宋体" w:hAnsi="宋体" w:cs="宋体" w:eastAsia="宋体" w:hint="default"/>
          <w:sz w:val="21"/>
          <w:szCs w:val="21"/>
        </w:rPr>
        <w:t>工会经费和职工教育经费金额</w:t>
      </w:r>
      <w:r>
        <w:rPr>
          <w:rFonts w:ascii="宋体" w:hAnsi="宋体" w:cs="宋体" w:eastAsia="宋体" w:hint="default"/>
          <w:spacing w:val="-55"/>
          <w:sz w:val="21"/>
          <w:szCs w:val="21"/>
        </w:rPr>
        <w:t> </w:t>
      </w:r>
      <w:r>
        <w:rPr>
          <w:rFonts w:ascii="Calibri" w:hAnsi="Calibri" w:cs="Calibri" w:eastAsia="Calibri" w:hint="default"/>
          <w:sz w:val="21"/>
          <w:szCs w:val="21"/>
        </w:rPr>
        <w:t>1,976,192.30</w:t>
      </w:r>
      <w:r>
        <w:rPr>
          <w:rFonts w:ascii="Calibri" w:hAnsi="Calibri" w:cs="Calibri" w:eastAsia="Calibri" w:hint="default"/>
          <w:spacing w:val="6"/>
          <w:sz w:val="21"/>
          <w:szCs w:val="21"/>
        </w:rPr>
        <w:t> </w:t>
      </w:r>
      <w:r>
        <w:rPr>
          <w:rFonts w:ascii="宋体" w:hAnsi="宋体" w:cs="宋体" w:eastAsia="宋体" w:hint="default"/>
          <w:spacing w:val="-4"/>
          <w:sz w:val="21"/>
          <w:szCs w:val="21"/>
        </w:rPr>
        <w:t>元，非货币性福利金额</w:t>
      </w:r>
      <w:r>
        <w:rPr>
          <w:rFonts w:ascii="宋体" w:hAnsi="宋体" w:cs="宋体" w:eastAsia="宋体" w:hint="default"/>
          <w:spacing w:val="-55"/>
          <w:sz w:val="21"/>
          <w:szCs w:val="21"/>
        </w:rPr>
        <w:t> </w:t>
      </w:r>
      <w:r>
        <w:rPr>
          <w:rFonts w:ascii="Calibri" w:hAnsi="Calibri" w:cs="Calibri" w:eastAsia="Calibri" w:hint="default"/>
          <w:sz w:val="21"/>
          <w:szCs w:val="21"/>
        </w:rPr>
        <w:t>2,473,513.03</w:t>
      </w:r>
      <w:r>
        <w:rPr>
          <w:rFonts w:ascii="Calibri" w:hAnsi="Calibri" w:cs="Calibri" w:eastAsia="Calibri" w:hint="default"/>
          <w:spacing w:val="7"/>
          <w:sz w:val="21"/>
          <w:szCs w:val="21"/>
        </w:rPr>
        <w:t> </w:t>
      </w:r>
      <w:r>
        <w:rPr>
          <w:rFonts w:ascii="宋体" w:hAnsi="宋体" w:cs="宋体" w:eastAsia="宋体" w:hint="default"/>
          <w:spacing w:val="-4"/>
          <w:sz w:val="21"/>
          <w:szCs w:val="21"/>
        </w:rPr>
        <w:t>元，因解除劳动</w:t>
      </w:r>
    </w:p>
    <w:p>
      <w:pPr>
        <w:spacing w:line="249" w:lineRule="auto" w:before="10"/>
        <w:ind w:left="558" w:right="3589" w:firstLine="0"/>
        <w:jc w:val="left"/>
        <w:rPr>
          <w:rFonts w:ascii="宋体" w:hAnsi="宋体" w:cs="宋体" w:eastAsia="宋体" w:hint="default"/>
          <w:sz w:val="21"/>
          <w:szCs w:val="21"/>
        </w:rPr>
      </w:pPr>
      <w:r>
        <w:rPr>
          <w:rFonts w:ascii="宋体" w:hAnsi="宋体" w:cs="宋体" w:eastAsia="宋体" w:hint="default"/>
          <w:sz w:val="21"/>
          <w:szCs w:val="21"/>
        </w:rPr>
        <w:t>关系给予补偿</w:t>
      </w:r>
      <w:r>
        <w:rPr>
          <w:rFonts w:ascii="宋体" w:hAnsi="宋体" w:cs="宋体" w:eastAsia="宋体" w:hint="default"/>
          <w:spacing w:val="-55"/>
          <w:sz w:val="21"/>
          <w:szCs w:val="21"/>
        </w:rPr>
        <w:t> </w:t>
      </w:r>
      <w:r>
        <w:rPr>
          <w:rFonts w:ascii="Calibri" w:hAnsi="Calibri" w:cs="Calibri" w:eastAsia="Calibri" w:hint="default"/>
          <w:sz w:val="21"/>
          <w:szCs w:val="21"/>
        </w:rPr>
        <w:t>0</w:t>
      </w:r>
      <w:r>
        <w:rPr>
          <w:rFonts w:ascii="Calibri" w:hAnsi="Calibri" w:cs="Calibri" w:eastAsia="Calibri" w:hint="default"/>
          <w:spacing w:val="6"/>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2"/>
          <w:sz w:val="21"/>
          <w:szCs w:val="21"/>
        </w:rPr>
        <w:t>应付职工薪酬预计发放时间、金额等安排：无</w:t>
      </w:r>
    </w:p>
    <w:p>
      <w:pPr>
        <w:spacing w:line="240" w:lineRule="auto" w:before="2"/>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759"/>
        <w:gridCol w:w="2561"/>
        <w:gridCol w:w="2429"/>
      </w:tblGrid>
      <w:tr>
        <w:trPr>
          <w:trHeight w:val="324" w:hRule="exact"/>
        </w:trPr>
        <w:tc>
          <w:tcPr>
            <w:tcW w:w="3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3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4,972,623.60</w:t>
            </w:r>
            <w:r>
              <w:rPr>
                <w:rFonts w:ascii="Arial Narrow"/>
                <w:sz w:val="21"/>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1,075,811.34</w:t>
            </w:r>
            <w:r>
              <w:rPr>
                <w:rFonts w:ascii="Arial Narrow"/>
                <w:sz w:val="21"/>
              </w:rPr>
            </w:r>
          </w:p>
        </w:tc>
      </w:tr>
      <w:tr>
        <w:trPr>
          <w:trHeight w:val="322" w:hRule="exact"/>
        </w:trPr>
        <w:tc>
          <w:tcPr>
            <w:tcW w:w="3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0</w:t>
            </w:r>
          </w:p>
        </w:tc>
      </w:tr>
      <w:tr>
        <w:trPr>
          <w:trHeight w:val="322" w:hRule="exact"/>
        </w:trPr>
        <w:tc>
          <w:tcPr>
            <w:tcW w:w="3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-2,122.22</w:t>
            </w:r>
            <w:r>
              <w:rPr>
                <w:rFonts w:ascii="Arial Narrow"/>
                <w:sz w:val="21"/>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6,239,094.00</w:t>
            </w:r>
            <w:r>
              <w:rPr>
                <w:rFonts w:ascii="Arial Narrow"/>
                <w:sz w:val="21"/>
              </w:rPr>
            </w:r>
          </w:p>
        </w:tc>
      </w:tr>
      <w:tr>
        <w:trPr>
          <w:trHeight w:val="322" w:hRule="exact"/>
        </w:trPr>
        <w:tc>
          <w:tcPr>
            <w:tcW w:w="3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317,164.15</w:t>
            </w:r>
            <w:r>
              <w:rPr>
                <w:rFonts w:ascii="Arial Narrow"/>
                <w:sz w:val="21"/>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6,410,162.18</w:t>
            </w:r>
            <w:r>
              <w:rPr>
                <w:rFonts w:ascii="Arial Narrow"/>
                <w:sz w:val="21"/>
              </w:rPr>
            </w:r>
          </w:p>
        </w:tc>
      </w:tr>
      <w:tr>
        <w:trPr>
          <w:trHeight w:val="323" w:hRule="exact"/>
        </w:trPr>
        <w:tc>
          <w:tcPr>
            <w:tcW w:w="3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242,898.11</w:t>
            </w:r>
            <w:r>
              <w:rPr>
                <w:rFonts w:ascii="Arial Narrow"/>
                <w:sz w:val="21"/>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303,507.77</w:t>
            </w:r>
            <w:r>
              <w:rPr>
                <w:rFonts w:ascii="Arial Narrow"/>
                <w:sz w:val="21"/>
              </w:rPr>
            </w:r>
          </w:p>
        </w:tc>
      </w:tr>
      <w:tr>
        <w:trPr>
          <w:trHeight w:val="323" w:hRule="exact"/>
        </w:trPr>
        <w:tc>
          <w:tcPr>
            <w:tcW w:w="3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19"/>
              <w:jc w:val="right"/>
              <w:rPr>
                <w:rFonts w:ascii="Arial Narrow" w:hAnsi="Arial Narrow" w:cs="Arial Narrow" w:eastAsia="Arial Narrow" w:hint="default"/>
                <w:sz w:val="21"/>
                <w:szCs w:val="21"/>
              </w:rPr>
            </w:pPr>
            <w:r>
              <w:rPr>
                <w:rFonts w:ascii="Arial Narrow"/>
                <w:spacing w:val="-1"/>
                <w:sz w:val="21"/>
              </w:rPr>
              <w:t>298,166.14</w:t>
            </w:r>
            <w:r>
              <w:rPr>
                <w:rFonts w:ascii="Arial Narrow"/>
                <w:sz w:val="21"/>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Arial Narrow" w:hAnsi="Arial Narrow" w:cs="Arial Narrow" w:eastAsia="Arial Narrow" w:hint="default"/>
                <w:sz w:val="21"/>
                <w:szCs w:val="21"/>
              </w:rPr>
            </w:pPr>
            <w:r>
              <w:rPr>
                <w:rFonts w:ascii="Arial Narrow"/>
                <w:spacing w:val="-1"/>
                <w:sz w:val="21"/>
              </w:rPr>
              <w:t>589,812.82</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84" w:footer="1007" w:top="1160" w:bottom="1200" w:left="1240" w:right="1260"/>
        </w:sectPr>
      </w:pPr>
    </w:p>
    <w:p>
      <w:pPr>
        <w:spacing w:line="240" w:lineRule="auto" w:before="13"/>
        <w:rPr>
          <w:rFonts w:ascii="宋体" w:hAnsi="宋体" w:cs="宋体" w:eastAsia="宋体" w:hint="default"/>
          <w:sz w:val="19"/>
          <w:szCs w:val="19"/>
        </w:rPr>
      </w:pPr>
    </w:p>
    <w:tbl>
      <w:tblPr>
        <w:tblW w:w="0" w:type="auto"/>
        <w:jc w:val="left"/>
        <w:tblInd w:w="524" w:type="dxa"/>
        <w:tblLayout w:type="fixed"/>
        <w:tblCellMar>
          <w:top w:w="0" w:type="dxa"/>
          <w:left w:w="0" w:type="dxa"/>
          <w:bottom w:w="0" w:type="dxa"/>
          <w:right w:w="0" w:type="dxa"/>
        </w:tblCellMar>
        <w:tblLook w:val="01E0"/>
      </w:tblPr>
      <w:tblGrid>
        <w:gridCol w:w="3771"/>
        <w:gridCol w:w="2549"/>
        <w:gridCol w:w="2429"/>
      </w:tblGrid>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336,638.57</w:t>
            </w:r>
            <w:r>
              <w:rPr>
                <w:rFonts w:ascii="Arial Narrow"/>
                <w:sz w:val="21"/>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252,776.93</w:t>
            </w:r>
            <w:r>
              <w:rPr>
                <w:rFonts w:ascii="Arial Narrow"/>
                <w:sz w:val="21"/>
              </w:rPr>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96,543.63</w:t>
            </w:r>
            <w:r>
              <w:rPr>
                <w:rFonts w:ascii="Arial Narrow"/>
                <w:sz w:val="21"/>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r>
      <w:tr>
        <w:trPr>
          <w:trHeight w:val="322" w:hRule="exact"/>
        </w:trPr>
        <w:tc>
          <w:tcPr>
            <w:tcW w:w="37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契税</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1,334,381.28</w:t>
            </w:r>
            <w:r>
              <w:rPr>
                <w:rFonts w:ascii="Arial Narrow"/>
                <w:sz w:val="21"/>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1,476,196.63</w:t>
            </w:r>
            <w:r>
              <w:rPr>
                <w:rFonts w:ascii="Arial Narrow"/>
                <w:sz w:val="21"/>
              </w:rPr>
            </w:r>
          </w:p>
        </w:tc>
      </w:tr>
      <w:tr>
        <w:trPr>
          <w:trHeight w:val="324" w:hRule="exact"/>
        </w:trPr>
        <w:tc>
          <w:tcPr>
            <w:tcW w:w="3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7,596,293.26</w:t>
            </w:r>
            <w:r>
              <w:rPr>
                <w:rFonts w:ascii="Arial Narrow"/>
                <w:sz w:val="21"/>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16,347,361.67</w:t>
            </w:r>
            <w:r>
              <w:rPr>
                <w:rFonts w:ascii="Arial Narrow"/>
                <w:sz w:val="21"/>
              </w:rPr>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应交税费说明：无</w:t>
      </w:r>
    </w:p>
    <w:p>
      <w:pPr>
        <w:spacing w:line="240" w:lineRule="auto" w:before="10"/>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、应付利息</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759"/>
        <w:gridCol w:w="2561"/>
        <w:gridCol w:w="2429"/>
      </w:tblGrid>
      <w:tr>
        <w:trPr>
          <w:trHeight w:val="324" w:hRule="exact"/>
        </w:trPr>
        <w:tc>
          <w:tcPr>
            <w:tcW w:w="3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3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分期付息到期还本的长期借款利息</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3,736.09</w:t>
            </w:r>
            <w:r>
              <w:rPr>
                <w:rFonts w:ascii="Arial Narrow"/>
                <w:sz w:val="21"/>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3,806.00</w:t>
            </w:r>
            <w:r>
              <w:rPr>
                <w:rFonts w:ascii="Arial Narrow"/>
                <w:sz w:val="21"/>
              </w:rPr>
            </w:r>
          </w:p>
        </w:tc>
      </w:tr>
      <w:tr>
        <w:trPr>
          <w:trHeight w:val="322" w:hRule="exact"/>
        </w:trPr>
        <w:tc>
          <w:tcPr>
            <w:tcW w:w="3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企业债券利息</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短期借款应付利息</w:t>
            </w:r>
          </w:p>
        </w:tc>
        <w:tc>
          <w:tcPr>
            <w:tcW w:w="2561" w:type="dxa"/>
            <w:tcBorders>
              <w:top w:val="single" w:sz="4" w:space="0" w:color="000000"/>
              <w:left w:val="single" w:sz="13" w:space="0" w:color="D2D2D2"/>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3,736.09</w:t>
            </w:r>
            <w:r>
              <w:rPr>
                <w:rFonts w:ascii="Arial Narrow"/>
                <w:sz w:val="21"/>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3,806.00</w:t>
            </w:r>
            <w:r>
              <w:rPr>
                <w:rFonts w:ascii="Arial Narrow"/>
                <w:sz w:val="21"/>
              </w:rPr>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应付利息说明：无</w:t>
      </w:r>
    </w:p>
    <w:p>
      <w:pPr>
        <w:spacing w:line="240" w:lineRule="auto" w:before="10"/>
        <w:rPr>
          <w:rFonts w:ascii="宋体" w:hAnsi="宋体" w:cs="宋体" w:eastAsia="宋体" w:hint="default"/>
          <w:sz w:val="25"/>
          <w:szCs w:val="25"/>
        </w:rPr>
      </w:pPr>
    </w:p>
    <w:p>
      <w:pPr>
        <w:spacing w:line="506" w:lineRule="auto" w:before="0"/>
        <w:ind w:left="558" w:right="75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、应付股利</w:t>
      </w:r>
      <w:r>
        <w:rPr>
          <w:rFonts w:ascii="宋体" w:hAnsi="宋体" w:cs="宋体" w:eastAsia="宋体" w:hint="default"/>
          <w:b/>
          <w:bCs/>
          <w:w w:val="100"/>
          <w:sz w:val="21"/>
          <w:szCs w:val="21"/>
        </w:rPr>
        <w:t> </w:t>
      </w:r>
      <w:r>
        <w:rPr>
          <w:rFonts w:ascii="宋体" w:hAnsi="宋体" w:cs="宋体" w:eastAsia="宋体" w:hint="default"/>
          <w:b/>
          <w:bCs/>
          <w:sz w:val="21"/>
          <w:szCs w:val="21"/>
        </w:rPr>
        <w:t>无</w:t>
      </w:r>
      <w:r>
        <w:rPr>
          <w:rFonts w:ascii="宋体" w:hAnsi="宋体" w:cs="宋体" w:eastAsia="宋体" w:hint="default"/>
          <w:sz w:val="21"/>
          <w:szCs w:val="21"/>
        </w:rPr>
      </w:r>
    </w:p>
    <w:p>
      <w:pPr>
        <w:spacing w:before="104"/>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38</w:t>
      </w:r>
      <w:r>
        <w:rPr>
          <w:rFonts w:ascii="宋体" w:hAnsi="宋体" w:cs="宋体" w:eastAsia="宋体" w:hint="default"/>
          <w:b/>
          <w:bCs/>
          <w:sz w:val="21"/>
          <w:szCs w:val="21"/>
        </w:rPr>
        <w:t>、其他应付款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404"/>
        <w:gridCol w:w="2796"/>
        <w:gridCol w:w="2549"/>
      </w:tblGrid>
      <w:tr>
        <w:trPr>
          <w:trHeight w:val="322"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员工报销款</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6,176,667.29</w:t>
            </w:r>
            <w:r>
              <w:rPr>
                <w:rFonts w:ascii="Arial Narrow"/>
                <w:sz w:val="21"/>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4,886,471.12</w:t>
            </w:r>
            <w:r>
              <w:rPr>
                <w:rFonts w:ascii="Arial Narrow"/>
                <w:sz w:val="21"/>
              </w:rPr>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单位往来款</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4,454,849.48</w:t>
            </w:r>
            <w:r>
              <w:rPr>
                <w:rFonts w:ascii="Arial Narrow"/>
                <w:sz w:val="21"/>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4,502,762.82</w:t>
            </w:r>
            <w:r>
              <w:rPr>
                <w:rFonts w:ascii="Arial Narrow"/>
                <w:sz w:val="21"/>
              </w:rPr>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待付购房尾款</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2,100,009.00</w:t>
            </w:r>
            <w:r>
              <w:rPr>
                <w:rFonts w:ascii="Arial Narrow"/>
                <w:sz w:val="21"/>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2,100,009.00</w:t>
            </w:r>
            <w:r>
              <w:rPr>
                <w:rFonts w:ascii="Arial Narrow"/>
                <w:sz w:val="21"/>
              </w:rPr>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押金、保证金</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1,583,020.92</w:t>
            </w:r>
            <w:r>
              <w:rPr>
                <w:rFonts w:ascii="Arial Narrow"/>
                <w:sz w:val="21"/>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1,081,380.00</w:t>
            </w:r>
            <w:r>
              <w:rPr>
                <w:rFonts w:ascii="Arial Narrow"/>
                <w:sz w:val="21"/>
              </w:rPr>
            </w:r>
          </w:p>
        </w:tc>
      </w:tr>
      <w:tr>
        <w:trPr>
          <w:trHeight w:val="324"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14,314,546.69</w:t>
            </w:r>
            <w:r>
              <w:rPr>
                <w:rFonts w:ascii="Arial Narrow"/>
                <w:sz w:val="21"/>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12,570,622.94</w:t>
            </w:r>
            <w:r>
              <w:rPr>
                <w:rFonts w:ascii="Arial Narrow"/>
                <w:sz w:val="21"/>
              </w:rPr>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）本报告期其他应付款中应付持有公司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％）以上表决权股份的股东单位款项</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392"/>
        <w:gridCol w:w="2808"/>
        <w:gridCol w:w="2549"/>
      </w:tblGrid>
      <w:tr>
        <w:trPr>
          <w:trHeight w:val="323"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3"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w w:val="100"/>
                <w:sz w:val="21"/>
              </w:rPr>
              <w:t>0</w:t>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0"/>
              <w:jc w:val="right"/>
              <w:rPr>
                <w:rFonts w:ascii="Calibri" w:hAnsi="Calibri" w:cs="Calibri" w:eastAsia="Calibri" w:hint="default"/>
                <w:sz w:val="21"/>
                <w:szCs w:val="21"/>
              </w:rPr>
            </w:pPr>
            <w:r>
              <w:rPr>
                <w:rFonts w:ascii="Calibri"/>
                <w:w w:val="100"/>
                <w:sz w:val="21"/>
              </w:rPr>
              <w:t>0</w:t>
            </w:r>
          </w:p>
        </w:tc>
      </w:tr>
    </w:tbl>
    <w:p>
      <w:pPr>
        <w:spacing w:line="310" w:lineRule="exact" w:before="112"/>
        <w:ind w:left="558" w:right="0" w:firstLine="0"/>
        <w:jc w:val="left"/>
        <w:rPr>
          <w:rFonts w:ascii="宋体" w:hAnsi="宋体" w:cs="宋体" w:eastAsia="宋体" w:hint="default"/>
          <w:sz w:val="24"/>
          <w:szCs w:val="24"/>
        </w:rPr>
      </w:pPr>
      <w:r>
        <w:rPr>
          <w:rFonts w:ascii="宋体" w:hAnsi="宋体" w:cs="宋体" w:eastAsia="宋体" w:hint="default"/>
          <w:spacing w:val="-4"/>
          <w:sz w:val="21"/>
          <w:szCs w:val="21"/>
        </w:rPr>
        <w:t>（</w:t>
      </w:r>
      <w:r>
        <w:rPr>
          <w:rFonts w:ascii="Calibri" w:hAnsi="Calibri" w:cs="Calibri" w:eastAsia="Calibri" w:hint="default"/>
          <w:spacing w:val="-4"/>
          <w:sz w:val="21"/>
          <w:szCs w:val="21"/>
        </w:rPr>
        <w:t>3</w:t>
      </w:r>
      <w:r>
        <w:rPr>
          <w:rFonts w:ascii="宋体" w:hAnsi="宋体" w:cs="宋体" w:eastAsia="宋体" w:hint="default"/>
          <w:spacing w:val="-4"/>
          <w:sz w:val="21"/>
          <w:szCs w:val="21"/>
        </w:rPr>
        <w:t>）账龄超过一年的大额其他应付款情况的说明：</w:t>
      </w:r>
      <w:r>
        <w:rPr>
          <w:rFonts w:ascii="宋体" w:hAnsi="宋体" w:cs="宋体" w:eastAsia="宋体" w:hint="default"/>
          <w:spacing w:val="-4"/>
          <w:sz w:val="24"/>
          <w:szCs w:val="24"/>
        </w:rPr>
        <w:t>账龄超过一年的其他应付款主要系购房</w:t>
      </w:r>
      <w:r>
        <w:rPr>
          <w:rFonts w:ascii="宋体" w:hAnsi="宋体" w:cs="宋体" w:eastAsia="宋体" w:hint="default"/>
          <w:spacing w:val="-81"/>
          <w:sz w:val="24"/>
          <w:szCs w:val="24"/>
        </w:rPr>
        <w:t> </w:t>
      </w:r>
      <w:r>
        <w:rPr>
          <w:rFonts w:ascii="宋体" w:hAnsi="宋体" w:cs="宋体" w:eastAsia="宋体" w:hint="default"/>
          <w:sz w:val="24"/>
          <w:szCs w:val="24"/>
        </w:rPr>
        <w:t>尾款和项目外包方的投标保证金。</w:t>
      </w:r>
    </w:p>
    <w:p>
      <w:pPr>
        <w:spacing w:after="0" w:line="310" w:lineRule="exact"/>
        <w:jc w:val="left"/>
        <w:rPr>
          <w:rFonts w:ascii="宋体" w:hAnsi="宋体" w:cs="宋体" w:eastAsia="宋体" w:hint="default"/>
          <w:sz w:val="24"/>
          <w:szCs w:val="24"/>
        </w:rPr>
        <w:sectPr>
          <w:pgSz w:w="11910" w:h="16840"/>
          <w:pgMar w:header="884" w:footer="1007" w:top="1160" w:bottom="1200" w:left="1240" w:right="1260"/>
        </w:sectPr>
      </w:pPr>
    </w:p>
    <w:p>
      <w:pPr>
        <w:spacing w:line="240" w:lineRule="auto" w:before="4"/>
        <w:rPr>
          <w:rFonts w:ascii="宋体" w:hAnsi="宋体" w:cs="宋体" w:eastAsia="宋体" w:hint="default"/>
          <w:sz w:val="16"/>
          <w:szCs w:val="16"/>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）金额较大的其他应付款说明内容：无</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506" w:lineRule="auto" w:before="0"/>
        <w:ind w:left="558" w:right="75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、预计负债</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before="104"/>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40</w:t>
      </w:r>
      <w:r>
        <w:rPr>
          <w:rFonts w:ascii="宋体" w:hAnsi="宋体" w:cs="宋体" w:eastAsia="宋体" w:hint="default"/>
          <w:b/>
          <w:bCs/>
          <w:sz w:val="21"/>
          <w:szCs w:val="21"/>
        </w:rPr>
        <w:t>、一年内到期的非流动负债</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）一年内到期的非流动负债情况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272"/>
        <w:gridCol w:w="2561"/>
        <w:gridCol w:w="2917"/>
      </w:tblGrid>
      <w:tr>
        <w:trPr>
          <w:trHeight w:val="322" w:hRule="exact"/>
        </w:trPr>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2"/>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3" w:hRule="exact"/>
        </w:trPr>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z w:val="21"/>
                <w:szCs w:val="21"/>
              </w:rPr>
              <w:t>年内到期的长期借款</w:t>
            </w:r>
          </w:p>
        </w:tc>
        <w:tc>
          <w:tcPr>
            <w:tcW w:w="25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3,437,247.65</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3,785,806.94</w:t>
            </w:r>
            <w:r>
              <w:rPr>
                <w:rFonts w:ascii="Arial Narrow"/>
                <w:sz w:val="21"/>
              </w:rPr>
            </w:r>
          </w:p>
        </w:tc>
      </w:tr>
      <w:tr>
        <w:trPr>
          <w:trHeight w:val="323" w:hRule="exact"/>
        </w:trPr>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z w:val="21"/>
                <w:szCs w:val="21"/>
              </w:rPr>
              <w:t>年内到期的应付债券</w:t>
            </w:r>
          </w:p>
        </w:tc>
        <w:tc>
          <w:tcPr>
            <w:tcW w:w="2561" w:type="dxa"/>
            <w:tcBorders>
              <w:top w:val="single" w:sz="4" w:space="0" w:color="000000"/>
              <w:left w:val="single" w:sz="10" w:space="0" w:color="D2D2D2"/>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3"/>
                <w:sz w:val="21"/>
                <w:szCs w:val="21"/>
              </w:rPr>
              <w:t> </w:t>
            </w:r>
            <w:r>
              <w:rPr>
                <w:rFonts w:ascii="宋体" w:hAnsi="宋体" w:cs="宋体" w:eastAsia="宋体" w:hint="default"/>
                <w:sz w:val="21"/>
                <w:szCs w:val="21"/>
              </w:rPr>
              <w:t>年内到期的长期应付款</w:t>
            </w:r>
          </w:p>
        </w:tc>
        <w:tc>
          <w:tcPr>
            <w:tcW w:w="2561" w:type="dxa"/>
            <w:tcBorders>
              <w:top w:val="single" w:sz="4" w:space="0" w:color="000000"/>
              <w:left w:val="single" w:sz="10" w:space="0" w:color="D2D2D2"/>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3,437,247.65</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3,785,806.94</w:t>
            </w:r>
            <w:r>
              <w:rPr>
                <w:rFonts w:ascii="Arial Narrow"/>
                <w:sz w:val="21"/>
              </w:rPr>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）一年内到期的长期借款</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一年内到期的长期借款</w:t>
      </w:r>
    </w:p>
    <w:p>
      <w:pPr>
        <w:spacing w:before="37"/>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272"/>
        <w:gridCol w:w="2561"/>
        <w:gridCol w:w="2917"/>
      </w:tblGrid>
      <w:tr>
        <w:trPr>
          <w:trHeight w:val="322" w:hRule="exact"/>
        </w:trPr>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2"/>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561" w:type="dxa"/>
            <w:tcBorders>
              <w:top w:val="single" w:sz="4" w:space="0" w:color="000000"/>
              <w:left w:val="single" w:sz="10" w:space="0" w:color="D2D2D2"/>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561" w:type="dxa"/>
            <w:tcBorders>
              <w:top w:val="single" w:sz="4" w:space="0" w:color="000000"/>
              <w:left w:val="single" w:sz="10" w:space="0" w:color="D2D2D2"/>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5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1,751,568.92</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1,904,379.54</w:t>
            </w:r>
            <w:r>
              <w:rPr>
                <w:rFonts w:ascii="Arial Narrow"/>
                <w:sz w:val="21"/>
              </w:rPr>
            </w:r>
          </w:p>
        </w:tc>
      </w:tr>
      <w:tr>
        <w:trPr>
          <w:trHeight w:val="323" w:hRule="exact"/>
        </w:trPr>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5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5"/>
              <w:ind w:right="17"/>
              <w:jc w:val="right"/>
              <w:rPr>
                <w:rFonts w:ascii="Arial Narrow" w:hAnsi="Arial Narrow" w:cs="Arial Narrow" w:eastAsia="Arial Narrow" w:hint="default"/>
                <w:sz w:val="21"/>
                <w:szCs w:val="21"/>
              </w:rPr>
            </w:pPr>
            <w:r>
              <w:rPr>
                <w:rFonts w:ascii="Arial Narrow"/>
                <w:spacing w:val="-1"/>
                <w:sz w:val="21"/>
              </w:rPr>
              <w:t>1,685,678.73</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Arial Narrow" w:hAnsi="Arial Narrow" w:cs="Arial Narrow" w:eastAsia="Arial Narrow" w:hint="default"/>
                <w:sz w:val="21"/>
                <w:szCs w:val="21"/>
              </w:rPr>
            </w:pPr>
            <w:r>
              <w:rPr>
                <w:rFonts w:ascii="Arial Narrow"/>
                <w:spacing w:val="-1"/>
                <w:sz w:val="21"/>
              </w:rPr>
              <w:t>1,881,427.40</w:t>
            </w:r>
            <w:r>
              <w:rPr>
                <w:rFonts w:ascii="Arial Narrow"/>
                <w:sz w:val="21"/>
              </w:rPr>
            </w:r>
          </w:p>
        </w:tc>
      </w:tr>
      <w:tr>
        <w:trPr>
          <w:trHeight w:val="322" w:hRule="exact"/>
        </w:trPr>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b/>
                <w:spacing w:val="-1"/>
                <w:sz w:val="21"/>
              </w:rPr>
              <w:t>3,437,247.65</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3,785,806.94</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84" w:footer="1007" w:top="1160" w:bottom="1200" w:left="1240" w:right="1260"/>
        </w:sectPr>
      </w:pPr>
    </w:p>
    <w:p>
      <w:pPr>
        <w:spacing w:line="247" w:lineRule="auto" w:before="0"/>
        <w:ind w:left="558" w:right="-10" w:firstLine="0"/>
        <w:jc w:val="left"/>
        <w:rPr>
          <w:rFonts w:ascii="宋体" w:hAnsi="宋体" w:cs="宋体" w:eastAsia="宋体" w:hint="default"/>
          <w:sz w:val="21"/>
          <w:szCs w:val="21"/>
        </w:rPr>
      </w:pPr>
      <w:r>
        <w:rPr>
          <w:rFonts w:ascii="宋体" w:hAnsi="宋体" w:cs="宋体" w:eastAsia="宋体" w:hint="default"/>
          <w:sz w:val="21"/>
          <w:szCs w:val="21"/>
        </w:rPr>
        <w:t>一年内到期的长期借款中属于逾期借款获得展期的金额</w:t>
      </w:r>
      <w:r>
        <w:rPr>
          <w:rFonts w:ascii="宋体" w:hAnsi="宋体" w:cs="宋体" w:eastAsia="宋体" w:hint="default"/>
          <w:spacing w:val="-55"/>
          <w:sz w:val="21"/>
          <w:szCs w:val="21"/>
        </w:rPr>
        <w:t> </w:t>
      </w:r>
      <w:r>
        <w:rPr>
          <w:rFonts w:ascii="Calibri" w:hAnsi="Calibri" w:cs="Calibri" w:eastAsia="Calibri" w:hint="default"/>
          <w:sz w:val="21"/>
          <w:szCs w:val="21"/>
        </w:rPr>
        <w:t>0</w:t>
      </w:r>
      <w:r>
        <w:rPr>
          <w:rFonts w:ascii="Calibri" w:hAnsi="Calibri" w:cs="Calibri" w:eastAsia="Calibri" w:hint="default"/>
          <w:spacing w:val="6"/>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sz w:val="21"/>
          <w:szCs w:val="21"/>
        </w:rPr>
        <w:t>金额前五名的一年内到期的长期借款</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6"/>
          <w:szCs w:val="26"/>
        </w:rPr>
      </w:pPr>
    </w:p>
    <w:p>
      <w:pPr>
        <w:spacing w:before="0"/>
        <w:ind w:left="558" w:right="0" w:firstLine="0"/>
        <w:jc w:val="left"/>
        <w:rPr>
          <w:rFonts w:ascii="宋体" w:hAnsi="宋体" w:cs="宋体" w:eastAsia="宋体" w:hint="default"/>
          <w:sz w:val="21"/>
          <w:szCs w:val="21"/>
        </w:rPr>
      </w:pPr>
      <w:r>
        <w:rPr/>
        <w:pict>
          <v:shape style="position:absolute;margin-left:301.010010pt;margin-top:32.789684pt;width:64.3500pt;height:15.65pt;mso-position-horizontal-relative:page;mso-position-vertical-relative:paragraph;z-index:-917776" type="#_x0000_t202" filled="false" stroked="false">
            <v:textbox inset="0,0,0,0">
              <w:txbxContent>
                <w:p>
                  <w:pPr>
                    <w:spacing w:line="257" w:lineRule="exact" w:before="0"/>
                    <w:ind w:left="0" w:right="0" w:firstLine="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xbxContent>
            </v:textbox>
            <w10:wrap type="none"/>
          </v:shape>
        </w:pict>
      </w: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440" w:bottom="280" w:left="1240" w:right="1260"/>
          <w:cols w:num="2" w:equalWidth="0">
            <w:col w:w="6233" w:space="1513"/>
            <w:col w:w="1664"/>
          </w:cols>
        </w:sectPr>
      </w:pPr>
    </w:p>
    <w:p>
      <w:pPr>
        <w:spacing w:line="240" w:lineRule="auto" w:before="2"/>
        <w:rPr>
          <w:rFonts w:ascii="宋体" w:hAnsi="宋体" w:cs="宋体" w:eastAsia="宋体" w:hint="default"/>
          <w:sz w:val="4"/>
          <w:szCs w:val="4"/>
        </w:rPr>
      </w:pPr>
    </w:p>
    <w:tbl>
      <w:tblPr>
        <w:tblW w:w="0" w:type="auto"/>
        <w:jc w:val="left"/>
        <w:tblInd w:w="524" w:type="dxa"/>
        <w:tblLayout w:type="fixed"/>
        <w:tblCellMar>
          <w:top w:w="0" w:type="dxa"/>
          <w:left w:w="0" w:type="dxa"/>
          <w:bottom w:w="0" w:type="dxa"/>
          <w:right w:w="0" w:type="dxa"/>
        </w:tblCellMar>
        <w:tblLook w:val="01E0"/>
      </w:tblPr>
      <w:tblGrid>
        <w:gridCol w:w="1306"/>
        <w:gridCol w:w="992"/>
        <w:gridCol w:w="994"/>
        <w:gridCol w:w="569"/>
        <w:gridCol w:w="550"/>
        <w:gridCol w:w="1157"/>
        <w:gridCol w:w="1063"/>
        <w:gridCol w:w="1061"/>
        <w:gridCol w:w="1058"/>
      </w:tblGrid>
      <w:tr>
        <w:trPr>
          <w:trHeight w:val="317"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3"/>
              <w:ind w:left="225" w:right="0"/>
              <w:jc w:val="left"/>
              <w:rPr>
                <w:rFonts w:ascii="宋体" w:hAnsi="宋体" w:cs="宋体" w:eastAsia="宋体" w:hint="default"/>
                <w:sz w:val="21"/>
                <w:szCs w:val="21"/>
              </w:rPr>
            </w:pPr>
            <w:r>
              <w:rPr>
                <w:rFonts w:ascii="宋体" w:hAnsi="宋体" w:cs="宋体" w:eastAsia="宋体" w:hint="default"/>
                <w:b/>
                <w:bCs/>
                <w:sz w:val="21"/>
                <w:szCs w:val="21"/>
              </w:rPr>
              <w:t>贷款单位</w:t>
            </w:r>
            <w:r>
              <w:rPr>
                <w:rFonts w:ascii="宋体" w:hAnsi="宋体" w:cs="宋体" w:eastAsia="宋体" w:hint="default"/>
                <w:sz w:val="21"/>
                <w:szCs w:val="21"/>
              </w:rPr>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383" w:right="68" w:hanging="317"/>
              <w:jc w:val="left"/>
              <w:rPr>
                <w:rFonts w:ascii="宋体" w:hAnsi="宋体" w:cs="宋体" w:eastAsia="宋体" w:hint="default"/>
                <w:sz w:val="21"/>
                <w:szCs w:val="21"/>
              </w:rPr>
            </w:pPr>
            <w:r>
              <w:rPr>
                <w:rFonts w:ascii="宋体" w:hAnsi="宋体" w:cs="宋体" w:eastAsia="宋体" w:hint="default"/>
                <w:b/>
                <w:bCs/>
                <w:sz w:val="21"/>
                <w:szCs w:val="21"/>
              </w:rPr>
              <w:t>借款起始</w:t>
            </w:r>
            <w:r>
              <w:rPr>
                <w:rFonts w:ascii="宋体" w:hAnsi="宋体" w:cs="宋体" w:eastAsia="宋体" w:hint="default"/>
                <w:b/>
                <w:bCs/>
                <w:w w:val="100"/>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383" w:right="67" w:hanging="315"/>
              <w:jc w:val="left"/>
              <w:rPr>
                <w:rFonts w:ascii="宋体" w:hAnsi="宋体" w:cs="宋体" w:eastAsia="宋体" w:hint="default"/>
                <w:sz w:val="21"/>
                <w:szCs w:val="21"/>
              </w:rPr>
            </w:pPr>
            <w:r>
              <w:rPr>
                <w:rFonts w:ascii="宋体" w:hAnsi="宋体" w:cs="宋体" w:eastAsia="宋体" w:hint="default"/>
                <w:b/>
                <w:bCs/>
                <w:sz w:val="21"/>
                <w:szCs w:val="21"/>
              </w:rPr>
              <w:t>借款终止</w:t>
            </w:r>
            <w:r>
              <w:rPr>
                <w:rFonts w:ascii="宋体" w:hAnsi="宋体" w:cs="宋体" w:eastAsia="宋体" w:hint="default"/>
                <w:b/>
                <w:bCs/>
                <w:w w:val="100"/>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3"/>
              <w:ind w:left="67" w:right="0"/>
              <w:jc w:val="left"/>
              <w:rPr>
                <w:rFonts w:ascii="宋体" w:hAnsi="宋体" w:cs="宋体" w:eastAsia="宋体" w:hint="default"/>
                <w:sz w:val="21"/>
                <w:szCs w:val="21"/>
              </w:rPr>
            </w:pPr>
            <w:r>
              <w:rPr>
                <w:rFonts w:ascii="宋体" w:hAnsi="宋体" w:cs="宋体" w:eastAsia="宋体" w:hint="default"/>
                <w:b/>
                <w:bCs/>
                <w:sz w:val="21"/>
                <w:szCs w:val="21"/>
              </w:rPr>
              <w:t>币种</w:t>
            </w:r>
            <w:r>
              <w:rPr>
                <w:rFonts w:ascii="宋体" w:hAnsi="宋体" w:cs="宋体" w:eastAsia="宋体" w:hint="default"/>
                <w:sz w:val="21"/>
                <w:szCs w:val="21"/>
              </w:rPr>
            </w:r>
          </w:p>
        </w:tc>
        <w:tc>
          <w:tcPr>
            <w:tcW w:w="550"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55" w:right="0"/>
              <w:jc w:val="left"/>
              <w:rPr>
                <w:rFonts w:ascii="宋体" w:hAnsi="宋体" w:cs="宋体" w:eastAsia="宋体" w:hint="default"/>
                <w:sz w:val="21"/>
                <w:szCs w:val="21"/>
              </w:rPr>
            </w:pPr>
            <w:r>
              <w:rPr>
                <w:rFonts w:ascii="宋体" w:hAnsi="宋体" w:cs="宋体" w:eastAsia="宋体" w:hint="default"/>
                <w:b/>
                <w:bCs/>
                <w:sz w:val="21"/>
                <w:szCs w:val="21"/>
              </w:rPr>
              <w:t>利率</w:t>
            </w:r>
            <w:r>
              <w:rPr>
                <w:rFonts w:ascii="宋体" w:hAnsi="宋体" w:cs="宋体" w:eastAsia="宋体" w:hint="default"/>
                <w:sz w:val="21"/>
                <w:szCs w:val="21"/>
              </w:rPr>
            </w:r>
          </w:p>
          <w:p>
            <w:pPr>
              <w:pStyle w:val="TableParagraph"/>
              <w:spacing w:line="240" w:lineRule="auto" w:before="37"/>
              <w:ind w:left="21" w:right="0"/>
              <w:jc w:val="left"/>
              <w:rPr>
                <w:rFonts w:ascii="Calibri" w:hAnsi="Calibri" w:cs="Calibri" w:eastAsia="Calibri" w:hint="default"/>
                <w:sz w:val="21"/>
                <w:szCs w:val="21"/>
              </w:rPr>
            </w:pP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Calibri" w:hAnsi="Calibri" w:cs="Calibri" w:eastAsia="Calibri" w:hint="default"/>
                <w:sz w:val="21"/>
                <w:szCs w:val="21"/>
              </w:rPr>
            </w:r>
          </w:p>
        </w:tc>
        <w:tc>
          <w:tcPr>
            <w:tcW w:w="22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17"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550" w:type="dxa"/>
            <w:vMerge/>
            <w:tcBorders>
              <w:left w:val="single" w:sz="4" w:space="0" w:color="000000"/>
              <w:bottom w:val="single" w:sz="4" w:space="0" w:color="000000"/>
              <w:right w:val="single" w:sz="4" w:space="0" w:color="000000"/>
            </w:tcBorders>
            <w:shd w:val="clear" w:color="auto" w:fill="D2D2D2"/>
          </w:tcPr>
          <w:p>
            <w:pP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51" w:right="0"/>
              <w:jc w:val="left"/>
              <w:rPr>
                <w:rFonts w:ascii="宋体" w:hAnsi="宋体" w:cs="宋体" w:eastAsia="宋体" w:hint="default"/>
                <w:sz w:val="21"/>
                <w:szCs w:val="21"/>
              </w:rPr>
            </w:pPr>
            <w:r>
              <w:rPr>
                <w:rFonts w:ascii="宋体" w:hAnsi="宋体" w:cs="宋体" w:eastAsia="宋体" w:hint="default"/>
                <w:b/>
                <w:bCs/>
                <w:sz w:val="21"/>
                <w:szCs w:val="21"/>
              </w:rPr>
              <w:t>外币金额</w:t>
            </w:r>
            <w:r>
              <w:rPr>
                <w:rFonts w:ascii="宋体" w:hAnsi="宋体" w:cs="宋体" w:eastAsia="宋体" w:hint="default"/>
                <w:sz w:val="21"/>
                <w:szCs w:val="21"/>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本币金额</w:t>
            </w:r>
            <w:r>
              <w:rPr>
                <w:rFonts w:ascii="宋体" w:hAnsi="宋体" w:cs="宋体" w:eastAsia="宋体" w:hint="default"/>
                <w:sz w:val="21"/>
                <w:szCs w:val="21"/>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外币金额</w:t>
            </w:r>
            <w:r>
              <w:rPr>
                <w:rFonts w:ascii="宋体" w:hAnsi="宋体" w:cs="宋体" w:eastAsia="宋体" w:hint="default"/>
                <w:sz w:val="21"/>
                <w:szCs w:val="21"/>
              </w:rPr>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本币金额</w:t>
            </w:r>
            <w:r>
              <w:rPr>
                <w:rFonts w:ascii="宋体" w:hAnsi="宋体" w:cs="宋体" w:eastAsia="宋体" w:hint="default"/>
                <w:sz w:val="21"/>
                <w:szCs w:val="21"/>
              </w:rPr>
            </w:r>
          </w:p>
        </w:tc>
      </w:tr>
      <w:tr>
        <w:trPr>
          <w:trHeight w:val="3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3" w:right="0"/>
              <w:jc w:val="left"/>
              <w:rPr>
                <w:rFonts w:ascii="宋体" w:hAnsi="宋体" w:cs="宋体" w:eastAsia="宋体" w:hint="default"/>
                <w:sz w:val="21"/>
                <w:szCs w:val="21"/>
              </w:rPr>
            </w:pPr>
            <w:r>
              <w:rPr>
                <w:rFonts w:ascii="宋体" w:hAnsi="宋体" w:cs="宋体" w:eastAsia="宋体" w:hint="default"/>
                <w:sz w:val="21"/>
                <w:szCs w:val="21"/>
              </w:rPr>
              <w:t>新银行东京</w:t>
            </w:r>
          </w:p>
        </w:tc>
        <w:tc>
          <w:tcPr>
            <w:tcW w:w="9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6"/>
              <w:ind w:right="73"/>
              <w:jc w:val="center"/>
              <w:rPr>
                <w:rFonts w:ascii="Arial Narrow" w:hAnsi="Arial Narrow" w:cs="Arial Narrow" w:eastAsia="Arial Narrow" w:hint="default"/>
                <w:sz w:val="21"/>
                <w:szCs w:val="21"/>
              </w:rPr>
            </w:pPr>
            <w:r>
              <w:rPr>
                <w:rFonts w:ascii="Arial Narrow"/>
                <w:sz w:val="21"/>
              </w:rPr>
              <w:t>2012.06.27</w:t>
            </w:r>
          </w:p>
        </w:tc>
        <w:tc>
          <w:tcPr>
            <w:tcW w:w="99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6"/>
              <w:ind w:right="75"/>
              <w:jc w:val="center"/>
              <w:rPr>
                <w:rFonts w:ascii="Arial Narrow" w:hAnsi="Arial Narrow" w:cs="Arial Narrow" w:eastAsia="Arial Narrow" w:hint="default"/>
                <w:sz w:val="21"/>
                <w:szCs w:val="21"/>
              </w:rPr>
            </w:pPr>
            <w:r>
              <w:rPr>
                <w:rFonts w:ascii="Arial Narrow"/>
                <w:sz w:val="21"/>
              </w:rPr>
              <w:t>2013.12.31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91"/>
              <w:jc w:val="center"/>
              <w:rPr>
                <w:rFonts w:ascii="宋体" w:hAnsi="宋体" w:cs="宋体" w:eastAsia="宋体" w:hint="default"/>
                <w:sz w:val="21"/>
                <w:szCs w:val="21"/>
              </w:rPr>
            </w:pPr>
            <w:r>
              <w:rPr>
                <w:rFonts w:ascii="宋体" w:hAnsi="宋体" w:cs="宋体" w:eastAsia="宋体" w:hint="default"/>
                <w:sz w:val="21"/>
                <w:szCs w:val="21"/>
              </w:rPr>
              <w:t>日元</w:t>
            </w:r>
          </w:p>
        </w:tc>
        <w:tc>
          <w:tcPr>
            <w:tcW w:w="55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6"/>
              <w:ind w:left="177" w:right="0"/>
              <w:jc w:val="left"/>
              <w:rPr>
                <w:rFonts w:ascii="Arial Narrow" w:hAnsi="Arial Narrow" w:cs="Arial Narrow" w:eastAsia="Arial Narrow" w:hint="default"/>
                <w:sz w:val="21"/>
                <w:szCs w:val="21"/>
              </w:rPr>
            </w:pPr>
            <w:r>
              <w:rPr>
                <w:rFonts w:ascii="Arial Narrow"/>
                <w:sz w:val="21"/>
              </w:rPr>
              <w:t>3.70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Arial Narrow" w:hAnsi="Arial Narrow" w:cs="Arial Narrow" w:eastAsia="Arial Narrow" w:hint="default"/>
                <w:sz w:val="21"/>
                <w:szCs w:val="21"/>
              </w:rPr>
            </w:pPr>
            <w:r>
              <w:rPr>
                <w:rFonts w:ascii="Arial Narrow"/>
                <w:spacing w:val="-1"/>
                <w:sz w:val="21"/>
              </w:rPr>
              <w:t>15,000,000.00</w:t>
            </w:r>
            <w:r>
              <w:rPr>
                <w:rFonts w:ascii="Arial Narrow"/>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Arial Narrow" w:hAnsi="Arial Narrow" w:cs="Arial Narrow" w:eastAsia="Arial Narrow" w:hint="default"/>
                <w:sz w:val="21"/>
                <w:szCs w:val="21"/>
              </w:rPr>
            </w:pPr>
            <w:r>
              <w:rPr>
                <w:rFonts w:ascii="Arial Narrow"/>
                <w:spacing w:val="-1"/>
                <w:sz w:val="21"/>
              </w:rPr>
              <w:t>1,095,735.00</w:t>
            </w:r>
            <w:r>
              <w:rPr>
                <w:rFonts w:ascii="Arial Narrow"/>
                <w:sz w:val="21"/>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Arial Narrow" w:hAnsi="Arial Narrow" w:cs="Arial Narrow" w:eastAsia="Arial Narrow" w:hint="default"/>
                <w:sz w:val="21"/>
                <w:szCs w:val="21"/>
              </w:rPr>
            </w:pPr>
            <w:r>
              <w:rPr>
                <w:rFonts w:ascii="Arial Narrow"/>
                <w:sz w:val="21"/>
              </w:rPr>
              <w:t>9,996,000.00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65" w:right="0"/>
              <w:jc w:val="left"/>
              <w:rPr>
                <w:rFonts w:ascii="Arial Narrow" w:hAnsi="Arial Narrow" w:cs="Arial Narrow" w:eastAsia="Arial Narrow" w:hint="default"/>
                <w:sz w:val="21"/>
                <w:szCs w:val="21"/>
              </w:rPr>
            </w:pPr>
            <w:r>
              <w:rPr>
                <w:rFonts w:ascii="Arial Narrow"/>
                <w:sz w:val="21"/>
              </w:rPr>
              <w:t>810,675.60</w:t>
            </w:r>
          </w:p>
        </w:tc>
      </w:tr>
      <w:tr>
        <w:trPr>
          <w:trHeight w:val="32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瑞穗银行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73"/>
              <w:jc w:val="center"/>
              <w:rPr>
                <w:rFonts w:ascii="Arial Narrow" w:hAnsi="Arial Narrow" w:cs="Arial Narrow" w:eastAsia="Arial Narrow" w:hint="default"/>
                <w:sz w:val="21"/>
                <w:szCs w:val="21"/>
              </w:rPr>
            </w:pPr>
            <w:r>
              <w:rPr>
                <w:rFonts w:ascii="Arial Narrow"/>
                <w:sz w:val="21"/>
              </w:rPr>
              <w:t>2011.03.31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75"/>
              <w:jc w:val="center"/>
              <w:rPr>
                <w:rFonts w:ascii="Arial Narrow" w:hAnsi="Arial Narrow" w:cs="Arial Narrow" w:eastAsia="Arial Narrow" w:hint="default"/>
                <w:sz w:val="21"/>
                <w:szCs w:val="21"/>
              </w:rPr>
            </w:pPr>
            <w:r>
              <w:rPr>
                <w:rFonts w:ascii="Arial Narrow"/>
                <w:sz w:val="21"/>
              </w:rPr>
              <w:t>2013.12.31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91"/>
              <w:jc w:val="center"/>
              <w:rPr>
                <w:rFonts w:ascii="宋体" w:hAnsi="宋体" w:cs="宋体" w:eastAsia="宋体" w:hint="default"/>
                <w:sz w:val="21"/>
                <w:szCs w:val="21"/>
              </w:rPr>
            </w:pPr>
            <w:r>
              <w:rPr>
                <w:rFonts w:ascii="宋体" w:hAnsi="宋体" w:cs="宋体" w:eastAsia="宋体" w:hint="default"/>
                <w:sz w:val="21"/>
                <w:szCs w:val="21"/>
              </w:rPr>
              <w:t>日元</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77" w:right="0"/>
              <w:jc w:val="left"/>
              <w:rPr>
                <w:rFonts w:ascii="Arial Narrow" w:hAnsi="Arial Narrow" w:cs="Arial Narrow" w:eastAsia="Arial Narrow" w:hint="default"/>
                <w:sz w:val="21"/>
                <w:szCs w:val="21"/>
              </w:rPr>
            </w:pPr>
            <w:r>
              <w:rPr>
                <w:rFonts w:ascii="Arial Narrow"/>
                <w:sz w:val="21"/>
              </w:rPr>
              <w:t>1.98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5,604,000.00</w:t>
            </w:r>
            <w:r>
              <w:rPr>
                <w:rFonts w:ascii="Arial Narrow"/>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Arial Narrow" w:hAnsi="Arial Narrow" w:cs="Arial Narrow" w:eastAsia="Arial Narrow" w:hint="default"/>
                <w:sz w:val="21"/>
                <w:szCs w:val="21"/>
              </w:rPr>
            </w:pPr>
            <w:r>
              <w:rPr>
                <w:rFonts w:ascii="Arial Narrow"/>
                <w:spacing w:val="-1"/>
                <w:sz w:val="21"/>
              </w:rPr>
              <w:t>409,366.60</w:t>
            </w:r>
            <w:r>
              <w:rPr>
                <w:rFonts w:ascii="Arial Narrow"/>
                <w:sz w:val="21"/>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
              <w:jc w:val="center"/>
              <w:rPr>
                <w:rFonts w:ascii="Arial Narrow" w:hAnsi="Arial Narrow" w:cs="Arial Narrow" w:eastAsia="Arial Narrow" w:hint="default"/>
                <w:sz w:val="21"/>
                <w:szCs w:val="21"/>
              </w:rPr>
            </w:pPr>
            <w:r>
              <w:rPr>
                <w:rFonts w:ascii="Arial Narrow"/>
                <w:sz w:val="21"/>
              </w:rPr>
              <w:t>5,604,000.00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65" w:right="0"/>
              <w:jc w:val="left"/>
              <w:rPr>
                <w:rFonts w:ascii="Arial Narrow" w:hAnsi="Arial Narrow" w:cs="Arial Narrow" w:eastAsia="Arial Narrow" w:hint="default"/>
                <w:sz w:val="21"/>
                <w:szCs w:val="21"/>
              </w:rPr>
            </w:pPr>
            <w:r>
              <w:rPr>
                <w:rFonts w:ascii="Arial Narrow"/>
                <w:sz w:val="21"/>
              </w:rPr>
              <w:t>454,484.40</w:t>
            </w:r>
          </w:p>
        </w:tc>
      </w:tr>
      <w:tr>
        <w:trPr>
          <w:trHeight w:val="32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瑞穗银行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3"/>
              <w:jc w:val="center"/>
              <w:rPr>
                <w:rFonts w:ascii="Arial Narrow" w:hAnsi="Arial Narrow" w:cs="Arial Narrow" w:eastAsia="Arial Narrow" w:hint="default"/>
                <w:sz w:val="21"/>
                <w:szCs w:val="21"/>
              </w:rPr>
            </w:pPr>
            <w:r>
              <w:rPr>
                <w:rFonts w:ascii="Arial Narrow"/>
                <w:sz w:val="21"/>
              </w:rPr>
              <w:t>2012.03.30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5"/>
              <w:jc w:val="center"/>
              <w:rPr>
                <w:rFonts w:ascii="Arial Narrow" w:hAnsi="Arial Narrow" w:cs="Arial Narrow" w:eastAsia="Arial Narrow" w:hint="default"/>
                <w:sz w:val="21"/>
                <w:szCs w:val="21"/>
              </w:rPr>
            </w:pPr>
            <w:r>
              <w:rPr>
                <w:rFonts w:ascii="Arial Narrow"/>
                <w:sz w:val="21"/>
              </w:rPr>
              <w:t>2013.12.31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1"/>
              <w:jc w:val="center"/>
              <w:rPr>
                <w:rFonts w:ascii="宋体" w:hAnsi="宋体" w:cs="宋体" w:eastAsia="宋体" w:hint="default"/>
                <w:sz w:val="21"/>
                <w:szCs w:val="21"/>
              </w:rPr>
            </w:pPr>
            <w:r>
              <w:rPr>
                <w:rFonts w:ascii="宋体" w:hAnsi="宋体" w:cs="宋体" w:eastAsia="宋体" w:hint="default"/>
                <w:sz w:val="21"/>
                <w:szCs w:val="21"/>
              </w:rPr>
              <w:t>日元</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7" w:right="0"/>
              <w:jc w:val="left"/>
              <w:rPr>
                <w:rFonts w:ascii="Arial Narrow" w:hAnsi="Arial Narrow" w:cs="Arial Narrow" w:eastAsia="Arial Narrow" w:hint="default"/>
                <w:sz w:val="21"/>
                <w:szCs w:val="21"/>
              </w:rPr>
            </w:pPr>
            <w:r>
              <w:rPr>
                <w:rFonts w:ascii="Arial Narrow"/>
                <w:sz w:val="21"/>
              </w:rPr>
              <w:t>1.98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4,284,000.00</w:t>
            </w:r>
            <w:r>
              <w:rPr>
                <w:rFonts w:ascii="Arial Narrow"/>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312,941.92</w:t>
            </w:r>
            <w:r>
              <w:rPr>
                <w:rFonts w:ascii="Arial Narrow"/>
                <w:sz w:val="21"/>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Arial Narrow" w:hAnsi="Arial Narrow" w:cs="Arial Narrow" w:eastAsia="Arial Narrow" w:hint="default"/>
                <w:sz w:val="21"/>
                <w:szCs w:val="21"/>
              </w:rPr>
            </w:pPr>
            <w:r>
              <w:rPr>
                <w:rFonts w:ascii="Arial Narrow"/>
                <w:sz w:val="21"/>
              </w:rPr>
              <w:t>5,006,000.00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5" w:right="0"/>
              <w:jc w:val="left"/>
              <w:rPr>
                <w:rFonts w:ascii="Arial Narrow" w:hAnsi="Arial Narrow" w:cs="Arial Narrow" w:eastAsia="Arial Narrow" w:hint="default"/>
                <w:sz w:val="21"/>
                <w:szCs w:val="21"/>
              </w:rPr>
            </w:pPr>
            <w:r>
              <w:rPr>
                <w:rFonts w:ascii="Arial Narrow"/>
                <w:sz w:val="21"/>
              </w:rPr>
              <w:t>405,986.60</w:t>
            </w:r>
          </w:p>
        </w:tc>
      </w:tr>
      <w:tr>
        <w:trPr>
          <w:trHeight w:val="63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16"/>
              <w:jc w:val="left"/>
              <w:rPr>
                <w:rFonts w:ascii="宋体" w:hAnsi="宋体" w:cs="宋体" w:eastAsia="宋体" w:hint="default"/>
                <w:sz w:val="21"/>
                <w:szCs w:val="21"/>
              </w:rPr>
            </w:pPr>
            <w:r>
              <w:rPr>
                <w:rFonts w:ascii="宋体" w:hAnsi="宋体" w:cs="宋体" w:eastAsia="宋体" w:hint="default"/>
                <w:sz w:val="21"/>
                <w:szCs w:val="21"/>
              </w:rPr>
              <w:t>日本政策金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融公库</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3"/>
              <w:jc w:val="center"/>
              <w:rPr>
                <w:rFonts w:ascii="Arial Narrow" w:hAnsi="Arial Narrow" w:cs="Arial Narrow" w:eastAsia="Arial Narrow" w:hint="default"/>
                <w:sz w:val="21"/>
                <w:szCs w:val="21"/>
              </w:rPr>
            </w:pPr>
            <w:r>
              <w:rPr>
                <w:rFonts w:ascii="Arial Narrow"/>
                <w:sz w:val="21"/>
              </w:rPr>
              <w:t>2012.11.22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75"/>
              <w:jc w:val="center"/>
              <w:rPr>
                <w:rFonts w:ascii="Arial Narrow" w:hAnsi="Arial Narrow" w:cs="Arial Narrow" w:eastAsia="Arial Narrow" w:hint="default"/>
                <w:sz w:val="21"/>
                <w:szCs w:val="21"/>
              </w:rPr>
            </w:pPr>
            <w:r>
              <w:rPr>
                <w:rFonts w:ascii="Arial Narrow"/>
                <w:sz w:val="21"/>
              </w:rPr>
              <w:t>2013.12.31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91"/>
              <w:jc w:val="center"/>
              <w:rPr>
                <w:rFonts w:ascii="宋体" w:hAnsi="宋体" w:cs="宋体" w:eastAsia="宋体" w:hint="default"/>
                <w:sz w:val="21"/>
                <w:szCs w:val="21"/>
              </w:rPr>
            </w:pPr>
            <w:r>
              <w:rPr>
                <w:rFonts w:ascii="宋体" w:hAnsi="宋体" w:cs="宋体" w:eastAsia="宋体" w:hint="default"/>
                <w:sz w:val="21"/>
                <w:szCs w:val="21"/>
              </w:rPr>
              <w:t>日元</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7" w:right="0"/>
              <w:jc w:val="left"/>
              <w:rPr>
                <w:rFonts w:ascii="Arial Narrow" w:hAnsi="Arial Narrow" w:cs="Arial Narrow" w:eastAsia="Arial Narrow" w:hint="default"/>
                <w:sz w:val="21"/>
                <w:szCs w:val="21"/>
              </w:rPr>
            </w:pPr>
            <w:r>
              <w:rPr>
                <w:rFonts w:ascii="Arial Narrow"/>
                <w:sz w:val="21"/>
              </w:rPr>
              <w:t>2.00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Arial Narrow" w:hAnsi="Arial Narrow" w:cs="Arial Narrow" w:eastAsia="Arial Narrow" w:hint="default"/>
                <w:sz w:val="21"/>
                <w:szCs w:val="21"/>
              </w:rPr>
            </w:pPr>
            <w:r>
              <w:rPr>
                <w:rFonts w:ascii="Arial Narrow"/>
                <w:spacing w:val="-1"/>
                <w:sz w:val="21"/>
              </w:rPr>
              <w:t>4,140,000.00</w:t>
            </w:r>
            <w:r>
              <w:rPr>
                <w:rFonts w:ascii="Arial Narrow"/>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spacing w:val="-1"/>
                <w:sz w:val="21"/>
              </w:rPr>
              <w:t>302,422.86</w:t>
            </w:r>
            <w:r>
              <w:rPr>
                <w:rFonts w:ascii="Arial Narrow"/>
                <w:sz w:val="21"/>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4,140,000.00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65" w:right="0"/>
              <w:jc w:val="left"/>
              <w:rPr>
                <w:rFonts w:ascii="Arial Narrow" w:hAnsi="Arial Narrow" w:cs="Arial Narrow" w:eastAsia="Arial Narrow" w:hint="default"/>
                <w:sz w:val="21"/>
                <w:szCs w:val="21"/>
              </w:rPr>
            </w:pPr>
            <w:r>
              <w:rPr>
                <w:rFonts w:ascii="Arial Narrow"/>
                <w:sz w:val="21"/>
              </w:rPr>
              <w:t>335,754.00</w:t>
            </w:r>
          </w:p>
        </w:tc>
      </w:tr>
      <w:tr>
        <w:trPr>
          <w:trHeight w:val="32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瑞穗银行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3"/>
              <w:jc w:val="center"/>
              <w:rPr>
                <w:rFonts w:ascii="Arial Narrow" w:hAnsi="Arial Narrow" w:cs="Arial Narrow" w:eastAsia="Arial Narrow" w:hint="default"/>
                <w:sz w:val="21"/>
                <w:szCs w:val="21"/>
              </w:rPr>
            </w:pPr>
            <w:r>
              <w:rPr>
                <w:rFonts w:ascii="Arial Narrow"/>
                <w:sz w:val="21"/>
              </w:rPr>
              <w:t>2011.07.29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75"/>
              <w:jc w:val="center"/>
              <w:rPr>
                <w:rFonts w:ascii="Arial Narrow" w:hAnsi="Arial Narrow" w:cs="Arial Narrow" w:eastAsia="Arial Narrow" w:hint="default"/>
                <w:sz w:val="21"/>
                <w:szCs w:val="21"/>
              </w:rPr>
            </w:pPr>
            <w:r>
              <w:rPr>
                <w:rFonts w:ascii="Arial Narrow"/>
                <w:sz w:val="21"/>
              </w:rPr>
              <w:t>2013.12.31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1"/>
              <w:jc w:val="center"/>
              <w:rPr>
                <w:rFonts w:ascii="宋体" w:hAnsi="宋体" w:cs="宋体" w:eastAsia="宋体" w:hint="default"/>
                <w:sz w:val="21"/>
                <w:szCs w:val="21"/>
              </w:rPr>
            </w:pPr>
            <w:r>
              <w:rPr>
                <w:rFonts w:ascii="宋体" w:hAnsi="宋体" w:cs="宋体" w:eastAsia="宋体" w:hint="default"/>
                <w:sz w:val="21"/>
                <w:szCs w:val="21"/>
              </w:rPr>
              <w:t>日元</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77" w:right="0"/>
              <w:jc w:val="left"/>
              <w:rPr>
                <w:rFonts w:ascii="Arial Narrow" w:hAnsi="Arial Narrow" w:cs="Arial Narrow" w:eastAsia="Arial Narrow" w:hint="default"/>
                <w:sz w:val="21"/>
                <w:szCs w:val="21"/>
              </w:rPr>
            </w:pPr>
            <w:r>
              <w:rPr>
                <w:rFonts w:ascii="Arial Narrow"/>
                <w:sz w:val="21"/>
              </w:rPr>
              <w:t>2.00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3,000,000.00</w:t>
            </w:r>
            <w:r>
              <w:rPr>
                <w:rFonts w:ascii="Arial Narrow"/>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219,147.00</w:t>
            </w:r>
            <w:r>
              <w:rPr>
                <w:rFonts w:ascii="Arial Narrow"/>
                <w:sz w:val="21"/>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
              <w:jc w:val="center"/>
              <w:rPr>
                <w:rFonts w:ascii="Arial Narrow" w:hAnsi="Arial Narrow" w:cs="Arial Narrow" w:eastAsia="Arial Narrow" w:hint="default"/>
                <w:sz w:val="21"/>
                <w:szCs w:val="21"/>
              </w:rPr>
            </w:pPr>
            <w:r>
              <w:rPr>
                <w:rFonts w:ascii="Arial Narrow"/>
                <w:sz w:val="21"/>
              </w:rPr>
              <w:t>3,996,000.00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65" w:right="0"/>
              <w:jc w:val="left"/>
              <w:rPr>
                <w:rFonts w:ascii="Arial Narrow" w:hAnsi="Arial Narrow" w:cs="Arial Narrow" w:eastAsia="Arial Narrow" w:hint="default"/>
                <w:sz w:val="21"/>
                <w:szCs w:val="21"/>
              </w:rPr>
            </w:pPr>
            <w:r>
              <w:rPr>
                <w:rFonts w:ascii="Arial Narrow"/>
                <w:sz w:val="21"/>
              </w:rPr>
              <w:t>324,075.60</w:t>
            </w:r>
          </w:p>
        </w:tc>
      </w:tr>
      <w:tr>
        <w:trPr>
          <w:trHeight w:val="63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Calibri" w:hAnsi="Calibri" w:cs="Calibri" w:eastAsia="Calibri" w:hint="default"/>
                <w:sz w:val="21"/>
                <w:szCs w:val="21"/>
              </w:rPr>
            </w:pPr>
            <w:r>
              <w:rPr>
                <w:rFonts w:ascii="Calibri"/>
                <w:sz w:val="21"/>
              </w:rPr>
              <w:t>--</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01" w:right="0"/>
              <w:jc w:val="left"/>
              <w:rPr>
                <w:rFonts w:ascii="Calibri" w:hAnsi="Calibri" w:cs="Calibri" w:eastAsia="Calibri" w:hint="default"/>
                <w:sz w:val="21"/>
                <w:szCs w:val="21"/>
              </w:rPr>
            </w:pPr>
            <w:r>
              <w:rPr>
                <w:rFonts w:ascii="Calibri"/>
                <w:sz w:val="21"/>
              </w:rPr>
              <w:t>--</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Calibri" w:hAnsi="Calibri" w:cs="Calibri" w:eastAsia="Calibri" w:hint="default"/>
                <w:sz w:val="21"/>
                <w:szCs w:val="21"/>
              </w:rPr>
            </w:pPr>
            <w:r>
              <w:rPr>
                <w:rFonts w:ascii="Calibri"/>
                <w:sz w:val="21"/>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Arial Narrow" w:hAnsi="Arial Narrow" w:cs="Arial Narrow" w:eastAsia="Arial Narrow" w:hint="default"/>
                <w:sz w:val="21"/>
                <w:szCs w:val="21"/>
              </w:rPr>
            </w:pPr>
            <w:r>
              <w:rPr>
                <w:rFonts w:ascii="Arial Narrow"/>
                <w:b/>
                <w:spacing w:val="-1"/>
                <w:sz w:val="21"/>
              </w:rPr>
              <w:t>2,339,613.38</w:t>
            </w:r>
            <w:r>
              <w:rPr>
                <w:rFonts w:ascii="Arial Narrow"/>
                <w:sz w:val="21"/>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center"/>
              <w:rPr>
                <w:rFonts w:ascii="Calibri" w:hAnsi="Calibri" w:cs="Calibri" w:eastAsia="Calibri" w:hint="default"/>
                <w:sz w:val="21"/>
                <w:szCs w:val="21"/>
              </w:rPr>
            </w:pPr>
            <w:r>
              <w:rPr>
                <w:rFonts w:ascii="Calibri"/>
                <w:sz w:val="21"/>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b/>
                <w:spacing w:val="-1"/>
                <w:sz w:val="21"/>
              </w:rPr>
              <w:t>2,330,976.2</w:t>
            </w:r>
            <w:r>
              <w:rPr>
                <w:rFonts w:ascii="Arial Narrow"/>
                <w:sz w:val="21"/>
              </w:rPr>
            </w:r>
          </w:p>
          <w:p>
            <w:pPr>
              <w:pStyle w:val="TableParagraph"/>
              <w:spacing w:line="240" w:lineRule="auto" w:before="71"/>
              <w:ind w:right="19"/>
              <w:jc w:val="right"/>
              <w:rPr>
                <w:rFonts w:ascii="Arial Narrow" w:hAnsi="Arial Narrow" w:cs="Arial Narrow" w:eastAsia="Arial Narrow" w:hint="default"/>
                <w:sz w:val="21"/>
                <w:szCs w:val="21"/>
              </w:rPr>
            </w:pPr>
            <w:r>
              <w:rPr>
                <w:rFonts w:ascii="Arial Narrow"/>
                <w:b/>
                <w:w w:val="100"/>
                <w:sz w:val="21"/>
              </w:rPr>
              <w:t>0</w:t>
            </w:r>
            <w:r>
              <w:rPr>
                <w:rFonts w:ascii="Arial Narrow"/>
                <w:w w:val="100"/>
                <w:sz w:val="21"/>
              </w:rPr>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一年内到期的长期借款中的逾期借款</w:t>
      </w:r>
    </w:p>
    <w:p>
      <w:pPr>
        <w:spacing w:before="37"/>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253"/>
        <w:gridCol w:w="1249"/>
        <w:gridCol w:w="1248"/>
        <w:gridCol w:w="1253"/>
        <w:gridCol w:w="1248"/>
        <w:gridCol w:w="1251"/>
        <w:gridCol w:w="1248"/>
      </w:tblGrid>
      <w:tr>
        <w:trPr>
          <w:trHeight w:val="63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199" w:right="0"/>
              <w:jc w:val="left"/>
              <w:rPr>
                <w:rFonts w:ascii="宋体" w:hAnsi="宋体" w:cs="宋体" w:eastAsia="宋体" w:hint="default"/>
                <w:sz w:val="21"/>
                <w:szCs w:val="21"/>
              </w:rPr>
            </w:pPr>
            <w:r>
              <w:rPr>
                <w:rFonts w:ascii="宋体" w:hAnsi="宋体" w:cs="宋体" w:eastAsia="宋体" w:hint="default"/>
                <w:b/>
                <w:bCs/>
                <w:sz w:val="21"/>
                <w:szCs w:val="21"/>
              </w:rPr>
              <w:t>贷款单位</w:t>
            </w:r>
            <w:r>
              <w:rPr>
                <w:rFonts w:ascii="宋体" w:hAnsi="宋体" w:cs="宋体" w:eastAsia="宋体" w:hint="default"/>
                <w:sz w:val="21"/>
                <w:szCs w:val="21"/>
              </w:rPr>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196" w:right="0"/>
              <w:jc w:val="left"/>
              <w:rPr>
                <w:rFonts w:ascii="宋体" w:hAnsi="宋体" w:cs="宋体" w:eastAsia="宋体" w:hint="default"/>
                <w:sz w:val="21"/>
                <w:szCs w:val="21"/>
              </w:rPr>
            </w:pPr>
            <w:r>
              <w:rPr>
                <w:rFonts w:ascii="宋体" w:hAnsi="宋体" w:cs="宋体" w:eastAsia="宋体" w:hint="default"/>
                <w:b/>
                <w:bCs/>
                <w:sz w:val="21"/>
                <w:szCs w:val="21"/>
              </w:rPr>
              <w:t>借款金额</w:t>
            </w:r>
            <w:r>
              <w:rPr>
                <w:rFonts w:ascii="宋体" w:hAnsi="宋体" w:cs="宋体" w:eastAsia="宋体" w:hint="default"/>
                <w:sz w:val="21"/>
                <w:szCs w:val="21"/>
              </w:rPr>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196" w:right="0"/>
              <w:jc w:val="left"/>
              <w:rPr>
                <w:rFonts w:ascii="宋体" w:hAnsi="宋体" w:cs="宋体" w:eastAsia="宋体" w:hint="default"/>
                <w:sz w:val="21"/>
                <w:szCs w:val="21"/>
              </w:rPr>
            </w:pPr>
            <w:r>
              <w:rPr>
                <w:rFonts w:ascii="宋体" w:hAnsi="宋体" w:cs="宋体" w:eastAsia="宋体" w:hint="default"/>
                <w:b/>
                <w:bCs/>
                <w:sz w:val="21"/>
                <w:szCs w:val="21"/>
              </w:rPr>
              <w:t>逾期时间</w:t>
            </w:r>
            <w:r>
              <w:rPr>
                <w:rFonts w:ascii="宋体" w:hAnsi="宋体" w:cs="宋体" w:eastAsia="宋体" w:hint="default"/>
                <w:sz w:val="21"/>
                <w:szCs w:val="21"/>
              </w:rPr>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163" w:right="0"/>
              <w:jc w:val="left"/>
              <w:rPr>
                <w:rFonts w:ascii="Calibri" w:hAnsi="Calibri" w:cs="Calibri" w:eastAsia="Calibri" w:hint="default"/>
                <w:sz w:val="21"/>
                <w:szCs w:val="21"/>
              </w:rPr>
            </w:pPr>
            <w:r>
              <w:rPr>
                <w:rFonts w:ascii="宋体" w:hAnsi="宋体" w:cs="宋体" w:eastAsia="宋体" w:hint="default"/>
                <w:b/>
                <w:bCs/>
                <w:sz w:val="21"/>
                <w:szCs w:val="21"/>
              </w:rPr>
              <w:t>年利率</w:t>
            </w:r>
            <w:r>
              <w:rPr>
                <w:rFonts w:ascii="Calibri" w:hAnsi="Calibri" w:cs="Calibri" w:eastAsia="Calibri" w:hint="default"/>
                <w:b/>
                <w:bCs/>
                <w:sz w:val="21"/>
                <w:szCs w:val="21"/>
              </w:rPr>
              <w:t>(%)</w:t>
            </w:r>
            <w:r>
              <w:rPr>
                <w:rFonts w:ascii="Calibri" w:hAnsi="Calibri" w:cs="Calibri" w:eastAsia="Calibri" w:hint="default"/>
                <w:sz w:val="21"/>
                <w:szCs w:val="21"/>
              </w:rPr>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11" w:right="89" w:hanging="420"/>
              <w:jc w:val="left"/>
              <w:rPr>
                <w:rFonts w:ascii="宋体" w:hAnsi="宋体" w:cs="宋体" w:eastAsia="宋体" w:hint="default"/>
                <w:sz w:val="21"/>
                <w:szCs w:val="21"/>
              </w:rPr>
            </w:pPr>
            <w:r>
              <w:rPr>
                <w:rFonts w:ascii="宋体" w:hAnsi="宋体" w:cs="宋体" w:eastAsia="宋体" w:hint="default"/>
                <w:b/>
                <w:bCs/>
                <w:sz w:val="21"/>
                <w:szCs w:val="21"/>
              </w:rPr>
              <w:t>借款资金用</w:t>
            </w:r>
            <w:r>
              <w:rPr>
                <w:rFonts w:ascii="宋体" w:hAnsi="宋体" w:cs="宋体" w:eastAsia="宋体" w:hint="default"/>
                <w:b/>
                <w:bCs/>
                <w:w w:val="100"/>
                <w:sz w:val="21"/>
                <w:szCs w:val="21"/>
              </w:rPr>
              <w:t> </w:t>
            </w:r>
            <w:r>
              <w:rPr>
                <w:rFonts w:ascii="宋体" w:hAnsi="宋体" w:cs="宋体" w:eastAsia="宋体" w:hint="default"/>
                <w:b/>
                <w:bCs/>
                <w:sz w:val="21"/>
                <w:szCs w:val="21"/>
              </w:rPr>
              <w:t>途</w:t>
            </w:r>
            <w:r>
              <w:rPr>
                <w:rFonts w:ascii="宋体" w:hAnsi="宋体" w:cs="宋体" w:eastAsia="宋体" w:hint="default"/>
                <w:sz w:val="21"/>
                <w:szCs w:val="21"/>
              </w:rPr>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08" w:right="89" w:hanging="315"/>
              <w:jc w:val="left"/>
              <w:rPr>
                <w:rFonts w:ascii="宋体" w:hAnsi="宋体" w:cs="宋体" w:eastAsia="宋体" w:hint="default"/>
                <w:sz w:val="21"/>
                <w:szCs w:val="21"/>
              </w:rPr>
            </w:pPr>
            <w:r>
              <w:rPr>
                <w:rFonts w:ascii="宋体" w:hAnsi="宋体" w:cs="宋体" w:eastAsia="宋体" w:hint="default"/>
                <w:b/>
                <w:bCs/>
                <w:sz w:val="21"/>
                <w:szCs w:val="21"/>
              </w:rPr>
              <w:t>逾期未偿还</w:t>
            </w:r>
            <w:r>
              <w:rPr>
                <w:rFonts w:ascii="宋体" w:hAnsi="宋体" w:cs="宋体" w:eastAsia="宋体" w:hint="default"/>
                <w:b/>
                <w:bCs/>
                <w:w w:val="100"/>
                <w:sz w:val="21"/>
                <w:szCs w:val="21"/>
              </w:rPr>
              <w:t> </w:t>
            </w:r>
            <w:r>
              <w:rPr>
                <w:rFonts w:ascii="宋体" w:hAnsi="宋体" w:cs="宋体" w:eastAsia="宋体" w:hint="default"/>
                <w:b/>
                <w:bCs/>
                <w:sz w:val="21"/>
                <w:szCs w:val="21"/>
              </w:rPr>
              <w:t>原因</w:t>
            </w:r>
            <w:r>
              <w:rPr>
                <w:rFonts w:ascii="宋体" w:hAnsi="宋体" w:cs="宋体" w:eastAsia="宋体" w:hint="default"/>
                <w:sz w:val="21"/>
                <w:szCs w:val="21"/>
              </w:rPr>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91" w:right="0"/>
              <w:jc w:val="left"/>
              <w:rPr>
                <w:rFonts w:ascii="宋体" w:hAnsi="宋体" w:cs="宋体" w:eastAsia="宋体" w:hint="default"/>
                <w:sz w:val="21"/>
                <w:szCs w:val="21"/>
              </w:rPr>
            </w:pPr>
            <w:r>
              <w:rPr>
                <w:rFonts w:ascii="宋体" w:hAnsi="宋体" w:cs="宋体" w:eastAsia="宋体" w:hint="default"/>
                <w:b/>
                <w:bCs/>
                <w:sz w:val="21"/>
                <w:szCs w:val="21"/>
              </w:rPr>
              <w:t>预期还款期</w:t>
            </w:r>
            <w:r>
              <w:rPr>
                <w:rFonts w:ascii="宋体" w:hAnsi="宋体" w:cs="宋体" w:eastAsia="宋体" w:hint="default"/>
                <w:sz w:val="21"/>
                <w:szCs w:val="21"/>
              </w:rPr>
            </w:r>
          </w:p>
        </w:tc>
      </w:tr>
    </w:tbl>
    <w:p>
      <w:pPr>
        <w:spacing w:after="0" w:line="240" w:lineRule="auto"/>
        <w:jc w:val="left"/>
        <w:rPr>
          <w:rFonts w:ascii="宋体" w:hAnsi="宋体" w:cs="宋体" w:eastAsia="宋体" w:hint="default"/>
          <w:sz w:val="21"/>
          <w:szCs w:val="21"/>
        </w:rPr>
        <w:sectPr>
          <w:type w:val="continuous"/>
          <w:pgSz w:w="11910" w:h="16840"/>
          <w:pgMar w:top="440" w:bottom="280" w:left="1240" w:right="1260"/>
        </w:sectPr>
      </w:pPr>
    </w:p>
    <w:p>
      <w:pPr>
        <w:spacing w:line="240" w:lineRule="auto" w:before="13"/>
        <w:rPr>
          <w:rFonts w:ascii="宋体" w:hAnsi="宋体" w:cs="宋体" w:eastAsia="宋体" w:hint="default"/>
          <w:sz w:val="19"/>
          <w:szCs w:val="19"/>
        </w:rPr>
      </w:pPr>
    </w:p>
    <w:tbl>
      <w:tblPr>
        <w:tblW w:w="0" w:type="auto"/>
        <w:jc w:val="left"/>
        <w:tblInd w:w="524" w:type="dxa"/>
        <w:tblLayout w:type="fixed"/>
        <w:tblCellMar>
          <w:top w:w="0" w:type="dxa"/>
          <w:left w:w="0" w:type="dxa"/>
          <w:bottom w:w="0" w:type="dxa"/>
          <w:right w:w="0" w:type="dxa"/>
        </w:tblCellMar>
        <w:tblLook w:val="01E0"/>
      </w:tblPr>
      <w:tblGrid>
        <w:gridCol w:w="1253"/>
        <w:gridCol w:w="1249"/>
        <w:gridCol w:w="1248"/>
        <w:gridCol w:w="1253"/>
        <w:gridCol w:w="1248"/>
        <w:gridCol w:w="1251"/>
        <w:gridCol w:w="1248"/>
      </w:tblGrid>
      <w:tr>
        <w:trPr>
          <w:trHeight w:val="322" w:hRule="exact"/>
        </w:trPr>
        <w:tc>
          <w:tcPr>
            <w:tcW w:w="1253"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25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r>
    </w:tbl>
    <w:p>
      <w:pPr>
        <w:spacing w:line="289"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资产负债表日后已偿还的金额</w:t>
      </w:r>
      <w:r>
        <w:rPr>
          <w:rFonts w:ascii="宋体" w:hAnsi="宋体" w:cs="宋体" w:eastAsia="宋体" w:hint="default"/>
          <w:spacing w:val="-54"/>
          <w:sz w:val="21"/>
          <w:szCs w:val="21"/>
        </w:rPr>
        <w:t> </w:t>
      </w:r>
      <w:r>
        <w:rPr>
          <w:rFonts w:ascii="Calibri" w:hAnsi="Calibri" w:cs="Calibri" w:eastAsia="Calibri" w:hint="default"/>
          <w:sz w:val="21"/>
          <w:szCs w:val="21"/>
        </w:rPr>
        <w:t>0</w:t>
      </w:r>
      <w:r>
        <w:rPr>
          <w:rFonts w:ascii="Calibri" w:hAnsi="Calibri" w:cs="Calibri" w:eastAsia="Calibri" w:hint="default"/>
          <w:spacing w:val="7"/>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312" w:lineRule="exact" w:before="133"/>
        <w:ind w:left="546" w:right="0" w:hanging="48"/>
        <w:jc w:val="left"/>
        <w:rPr>
          <w:rFonts w:ascii="宋体" w:hAnsi="宋体" w:cs="宋体" w:eastAsia="宋体" w:hint="default"/>
          <w:sz w:val="24"/>
          <w:szCs w:val="24"/>
        </w:rPr>
      </w:pPr>
      <w:r>
        <w:rPr>
          <w:rFonts w:ascii="宋体" w:hAnsi="宋体" w:cs="宋体" w:eastAsia="宋体" w:hint="default"/>
          <w:sz w:val="21"/>
          <w:szCs w:val="21"/>
        </w:rPr>
        <w:t>一年内到期的长期借款说明：</w:t>
      </w:r>
      <w:r>
        <w:rPr>
          <w:rFonts w:ascii="宋体" w:hAnsi="宋体" w:cs="宋体" w:eastAsia="宋体" w:hint="default"/>
          <w:sz w:val="24"/>
          <w:szCs w:val="24"/>
        </w:rPr>
        <w:t>保证借款为本公司之子公司日本超图株式会社借款，由东</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京中小企业经友会协同组合提供担保。</w:t>
      </w:r>
    </w:p>
    <w:p>
      <w:pPr>
        <w:spacing w:line="240" w:lineRule="auto" w:before="9"/>
        <w:rPr>
          <w:rFonts w:ascii="宋体" w:hAnsi="宋体" w:cs="宋体" w:eastAsia="宋体" w:hint="default"/>
          <w:sz w:val="22"/>
          <w:szCs w:val="22"/>
        </w:rPr>
      </w:pPr>
    </w:p>
    <w:p>
      <w:pPr>
        <w:spacing w:line="506" w:lineRule="auto" w:before="0"/>
        <w:ind w:left="558" w:right="6206"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）一年内到期的应付债券</w:t>
      </w:r>
      <w:r>
        <w:rPr>
          <w:rFonts w:ascii="宋体" w:hAnsi="宋体" w:cs="宋体" w:eastAsia="宋体" w:hint="default"/>
          <w:b/>
          <w:bCs/>
          <w:spacing w:val="-95"/>
          <w:sz w:val="21"/>
          <w:szCs w:val="21"/>
        </w:rPr>
        <w:t> </w:t>
      </w:r>
      <w:r>
        <w:rPr>
          <w:rFonts w:ascii="宋体" w:hAnsi="宋体" w:cs="宋体" w:eastAsia="宋体" w:hint="default"/>
          <w:b/>
          <w:bCs/>
          <w:spacing w:val="-95"/>
          <w:sz w:val="21"/>
          <w:szCs w:val="21"/>
        </w:rPr>
      </w:r>
      <w:r>
        <w:rPr>
          <w:rFonts w:ascii="宋体" w:hAnsi="宋体" w:cs="宋体" w:eastAsia="宋体" w:hint="default"/>
          <w:sz w:val="21"/>
          <w:szCs w:val="21"/>
        </w:rPr>
        <w:t>无</w:t>
      </w:r>
    </w:p>
    <w:p>
      <w:pPr>
        <w:spacing w:line="506" w:lineRule="auto" w:before="104"/>
        <w:ind w:left="558" w:right="5996"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）一年内到期的长期应付款</w:t>
      </w:r>
      <w:r>
        <w:rPr>
          <w:rFonts w:ascii="宋体" w:hAnsi="宋体" w:cs="宋体" w:eastAsia="宋体" w:hint="default"/>
          <w:b/>
          <w:bCs/>
          <w:spacing w:val="-94"/>
          <w:sz w:val="21"/>
          <w:szCs w:val="21"/>
        </w:rPr>
        <w:t> </w:t>
      </w:r>
      <w:r>
        <w:rPr>
          <w:rFonts w:ascii="宋体" w:hAnsi="宋体" w:cs="宋体" w:eastAsia="宋体" w:hint="default"/>
          <w:b/>
          <w:bCs/>
          <w:spacing w:val="-94"/>
          <w:sz w:val="21"/>
          <w:szCs w:val="21"/>
        </w:rPr>
      </w:r>
      <w:r>
        <w:rPr>
          <w:rFonts w:ascii="宋体" w:hAnsi="宋体" w:cs="宋体" w:eastAsia="宋体" w:hint="default"/>
          <w:sz w:val="21"/>
          <w:szCs w:val="21"/>
        </w:rPr>
        <w:t>无</w:t>
      </w:r>
    </w:p>
    <w:p>
      <w:pPr>
        <w:spacing w:before="104"/>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、其他流动负债</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5559"/>
        <w:gridCol w:w="1561"/>
        <w:gridCol w:w="1630"/>
      </w:tblGrid>
      <w:tr>
        <w:trPr>
          <w:trHeight w:val="323"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44" w:right="0"/>
              <w:jc w:val="left"/>
              <w:rPr>
                <w:rFonts w:ascii="宋体" w:hAnsi="宋体" w:cs="宋体" w:eastAsia="宋体" w:hint="default"/>
                <w:sz w:val="21"/>
                <w:szCs w:val="21"/>
              </w:rPr>
            </w:pPr>
            <w:r>
              <w:rPr>
                <w:rFonts w:ascii="宋体" w:hAnsi="宋体" w:cs="宋体" w:eastAsia="宋体" w:hint="default"/>
                <w:b/>
                <w:bCs/>
                <w:sz w:val="21"/>
                <w:szCs w:val="21"/>
              </w:rPr>
              <w:t>期末账面余额</w:t>
            </w:r>
            <w:r>
              <w:rPr>
                <w:rFonts w:ascii="宋体" w:hAnsi="宋体" w:cs="宋体" w:eastAsia="宋体" w:hint="default"/>
                <w:sz w:val="21"/>
                <w:szCs w:val="21"/>
              </w:rPr>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77" w:right="0"/>
              <w:jc w:val="left"/>
              <w:rPr>
                <w:rFonts w:ascii="宋体" w:hAnsi="宋体" w:cs="宋体" w:eastAsia="宋体" w:hint="default"/>
                <w:sz w:val="21"/>
                <w:szCs w:val="21"/>
              </w:rPr>
            </w:pPr>
            <w:r>
              <w:rPr>
                <w:rFonts w:ascii="宋体" w:hAnsi="宋体" w:cs="宋体" w:eastAsia="宋体" w:hint="default"/>
                <w:b/>
                <w:bCs/>
                <w:sz w:val="21"/>
                <w:szCs w:val="21"/>
              </w:rPr>
              <w:t>期初账面余额</w:t>
            </w:r>
            <w:r>
              <w:rPr>
                <w:rFonts w:ascii="宋体" w:hAnsi="宋体" w:cs="宋体" w:eastAsia="宋体" w:hint="default"/>
                <w:sz w:val="21"/>
                <w:szCs w:val="21"/>
              </w:rPr>
            </w:r>
          </w:p>
        </w:tc>
      </w:tr>
      <w:tr>
        <w:trPr>
          <w:trHeight w:val="322" w:hRule="exact"/>
        </w:trPr>
        <w:tc>
          <w:tcPr>
            <w:tcW w:w="55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地理信息拓扑与网络分析工具集研发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Arial Narrow" w:hAnsi="Arial Narrow" w:cs="Arial Narrow" w:eastAsia="Arial Narrow" w:hint="default"/>
                <w:sz w:val="21"/>
                <w:szCs w:val="21"/>
              </w:rPr>
            </w:pPr>
            <w:r>
              <w:rPr>
                <w:rFonts w:ascii="Arial Narrow"/>
                <w:spacing w:val="-1"/>
                <w:sz w:val="21"/>
              </w:rPr>
              <w:t>366,666.66</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r>
      <w:tr>
        <w:trPr>
          <w:trHeight w:val="322" w:hRule="exact"/>
        </w:trPr>
        <w:tc>
          <w:tcPr>
            <w:tcW w:w="555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企业级服务式地理信息开发平台软件研发及产业化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Arial Narrow" w:hAnsi="Arial Narrow" w:cs="Arial Narrow" w:eastAsia="Arial Narrow" w:hint="default"/>
                <w:sz w:val="21"/>
                <w:szCs w:val="21"/>
              </w:rPr>
            </w:pPr>
            <w:r>
              <w:rPr>
                <w:rFonts w:ascii="Arial Narrow"/>
                <w:spacing w:val="-1"/>
                <w:sz w:val="21"/>
              </w:rPr>
              <w:t>100,000.00</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r>
      <w:tr>
        <w:trPr>
          <w:trHeight w:val="322" w:hRule="exact"/>
        </w:trPr>
        <w:tc>
          <w:tcPr>
            <w:tcW w:w="555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宋体" w:hAnsi="宋体" w:cs="宋体" w:eastAsia="宋体" w:hint="default"/>
                <w:sz w:val="21"/>
                <w:szCs w:val="21"/>
              </w:rPr>
              <w:t>面向服务支持多类型移动终端的</w:t>
            </w:r>
            <w:r>
              <w:rPr>
                <w:rFonts w:ascii="宋体" w:hAnsi="宋体" w:cs="宋体" w:eastAsia="宋体" w:hint="default"/>
                <w:spacing w:val="-52"/>
                <w:sz w:val="21"/>
                <w:szCs w:val="21"/>
              </w:rPr>
              <w:t> </w:t>
            </w:r>
            <w:r>
              <w:rPr>
                <w:rFonts w:ascii="Calibri" w:hAnsi="Calibri" w:cs="Calibri" w:eastAsia="Calibri" w:hint="default"/>
                <w:sz w:val="21"/>
                <w:szCs w:val="21"/>
              </w:rPr>
              <w:t>GIS</w:t>
            </w:r>
            <w:r>
              <w:rPr>
                <w:rFonts w:ascii="Calibri" w:hAnsi="Calibri" w:cs="Calibri" w:eastAsia="Calibri" w:hint="default"/>
                <w:spacing w:val="2"/>
                <w:sz w:val="21"/>
                <w:szCs w:val="21"/>
              </w:rPr>
              <w:t> </w:t>
            </w:r>
            <w:r>
              <w:rPr>
                <w:rFonts w:ascii="宋体" w:hAnsi="宋体" w:cs="宋体" w:eastAsia="宋体" w:hint="default"/>
                <w:sz w:val="21"/>
                <w:szCs w:val="21"/>
              </w:rPr>
              <w:t>关键技术与系统平台</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w w:val="100"/>
                <w:sz w:val="21"/>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611,111.11</w:t>
            </w:r>
            <w:r>
              <w:rPr>
                <w:rFonts w:ascii="Arial Narrow"/>
                <w:sz w:val="21"/>
              </w:rPr>
            </w:r>
          </w:p>
        </w:tc>
      </w:tr>
      <w:tr>
        <w:trPr>
          <w:trHeight w:val="322" w:hRule="exact"/>
        </w:trPr>
        <w:tc>
          <w:tcPr>
            <w:tcW w:w="5559"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3" w:right="0"/>
              <w:jc w:val="left"/>
              <w:rPr>
                <w:rFonts w:ascii="宋体" w:hAnsi="宋体" w:cs="宋体" w:eastAsia="宋体" w:hint="default"/>
                <w:sz w:val="21"/>
                <w:szCs w:val="21"/>
              </w:rPr>
            </w:pPr>
            <w:r>
              <w:rPr>
                <w:rFonts w:ascii="宋体" w:hAnsi="宋体" w:cs="宋体" w:eastAsia="宋体" w:hint="default"/>
                <w:sz w:val="21"/>
                <w:szCs w:val="21"/>
              </w:rPr>
              <w:t>面向服务支持多类型移动终端的</w:t>
            </w:r>
            <w:r>
              <w:rPr>
                <w:rFonts w:ascii="宋体" w:hAnsi="宋体" w:cs="宋体" w:eastAsia="宋体" w:hint="default"/>
                <w:spacing w:val="-53"/>
                <w:sz w:val="21"/>
                <w:szCs w:val="21"/>
              </w:rPr>
              <w:t> </w:t>
            </w:r>
            <w:r>
              <w:rPr>
                <w:rFonts w:ascii="Calibri" w:hAnsi="Calibri" w:cs="Calibri" w:eastAsia="Calibri" w:hint="default"/>
                <w:sz w:val="21"/>
                <w:szCs w:val="21"/>
              </w:rPr>
              <w:t>GIS</w:t>
            </w:r>
            <w:r>
              <w:rPr>
                <w:rFonts w:ascii="Calibri" w:hAnsi="Calibri" w:cs="Calibri" w:eastAsia="Calibri" w:hint="default"/>
                <w:spacing w:val="1"/>
                <w:sz w:val="21"/>
                <w:szCs w:val="21"/>
              </w:rPr>
              <w:t> </w:t>
            </w:r>
            <w:r>
              <w:rPr>
                <w:rFonts w:ascii="宋体" w:hAnsi="宋体" w:cs="宋体" w:eastAsia="宋体" w:hint="default"/>
                <w:sz w:val="21"/>
                <w:szCs w:val="21"/>
              </w:rPr>
              <w:t>关键技术研发</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w w:val="100"/>
                <w:sz w:val="21"/>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Narrow" w:hAnsi="Arial Narrow" w:cs="Arial Narrow" w:eastAsia="Arial Narrow" w:hint="default"/>
                <w:sz w:val="21"/>
                <w:szCs w:val="21"/>
              </w:rPr>
            </w:pPr>
            <w:r>
              <w:rPr>
                <w:rFonts w:ascii="Arial Narrow"/>
                <w:spacing w:val="-1"/>
                <w:sz w:val="21"/>
              </w:rPr>
              <w:t>375,000.00</w:t>
            </w:r>
            <w:r>
              <w:rPr>
                <w:rFonts w:ascii="Arial Narrow"/>
                <w:sz w:val="21"/>
              </w:rPr>
            </w:r>
          </w:p>
        </w:tc>
      </w:tr>
      <w:tr>
        <w:trPr>
          <w:trHeight w:val="323" w:hRule="exact"/>
        </w:trPr>
        <w:tc>
          <w:tcPr>
            <w:tcW w:w="5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Arial Narrow" w:hAnsi="Arial Narrow" w:cs="Arial Narrow" w:eastAsia="Arial Narrow" w:hint="default"/>
                <w:sz w:val="21"/>
                <w:szCs w:val="21"/>
              </w:rPr>
            </w:pPr>
            <w:r>
              <w:rPr>
                <w:rFonts w:ascii="Arial Narrow"/>
                <w:spacing w:val="-1"/>
                <w:sz w:val="21"/>
              </w:rPr>
              <w:t>466,666.66</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986,111.11</w:t>
            </w:r>
            <w:r>
              <w:rPr>
                <w:rFonts w:ascii="Arial Narrow"/>
                <w:sz w:val="21"/>
              </w:rPr>
            </w:r>
          </w:p>
        </w:tc>
      </w:tr>
    </w:tbl>
    <w:p>
      <w:pPr>
        <w:pStyle w:val="BodyText"/>
        <w:spacing w:line="216" w:lineRule="auto"/>
        <w:ind w:right="142"/>
        <w:jc w:val="left"/>
      </w:pPr>
      <w:r>
        <w:rPr>
          <w:spacing w:val="-3"/>
        </w:rPr>
        <w:t>其他流动负债说明：（</w:t>
      </w:r>
      <w:r>
        <w:rPr>
          <w:rFonts w:ascii="Calibri" w:hAnsi="Calibri" w:cs="Calibri" w:eastAsia="Calibri" w:hint="default"/>
          <w:spacing w:val="-3"/>
        </w:rPr>
        <w:t>1</w:t>
      </w:r>
      <w:r>
        <w:rPr>
          <w:spacing w:val="-3"/>
        </w:rPr>
        <w:t>）本公司因承担地理信息拓扑与网络分析工具集研发项目收</w:t>
      </w:r>
      <w:r>
        <w:rPr>
          <w:spacing w:val="-85"/>
        </w:rPr>
        <w:t> </w:t>
      </w:r>
      <w:r>
        <w:rPr>
          <w:spacing w:val="-85"/>
        </w:rPr>
      </w:r>
      <w:r>
        <w:rPr/>
        <w:t>到中国科学院地理科学与资源研究所专项拨款 </w:t>
      </w:r>
      <w:r>
        <w:rPr>
          <w:rFonts w:ascii="Calibri" w:hAnsi="Calibri" w:cs="Calibri" w:eastAsia="Calibri" w:hint="default"/>
        </w:rPr>
        <w:t>1,100,000.00</w:t>
      </w:r>
      <w:r>
        <w:rPr>
          <w:rFonts w:ascii="Calibri" w:hAnsi="Calibri" w:cs="Calibri" w:eastAsia="Calibri" w:hint="default"/>
          <w:spacing w:val="37"/>
        </w:rPr>
        <w:t> </w:t>
      </w:r>
      <w:r>
        <w:rPr/>
        <w:t>元，计入递延收益，在</w:t>
      </w:r>
    </w:p>
    <w:p>
      <w:pPr>
        <w:pStyle w:val="BodyText"/>
        <w:spacing w:line="318" w:lineRule="exact"/>
        <w:ind w:right="0"/>
        <w:jc w:val="left"/>
      </w:pPr>
      <w:r>
        <w:rPr/>
        <w:t>项目研发期间</w:t>
      </w:r>
      <w:r>
        <w:rPr>
          <w:spacing w:val="-62"/>
        </w:rPr>
        <w:t> </w:t>
      </w:r>
      <w:r>
        <w:rPr>
          <w:rFonts w:ascii="Calibri" w:hAnsi="Calibri" w:cs="Calibri" w:eastAsia="Calibri" w:hint="default"/>
        </w:rPr>
        <w:t>2010</w:t>
      </w:r>
      <w:r>
        <w:rPr>
          <w:rFonts w:ascii="Calibri" w:hAnsi="Calibri" w:cs="Calibri" w:eastAsia="Calibri" w:hint="default"/>
          <w:spacing w:val="6"/>
        </w:rPr>
        <w:t> </w:t>
      </w:r>
      <w:r>
        <w:rPr/>
        <w:t>年</w:t>
      </w:r>
      <w:r>
        <w:rPr>
          <w:spacing w:val="-64"/>
        </w:rPr>
        <w:t> </w:t>
      </w:r>
      <w:r>
        <w:rPr>
          <w:rFonts w:ascii="Calibri" w:hAnsi="Calibri" w:cs="Calibri" w:eastAsia="Calibri" w:hint="default"/>
        </w:rPr>
        <w:t>12</w:t>
      </w:r>
      <w:r>
        <w:rPr>
          <w:rFonts w:ascii="Calibri" w:hAnsi="Calibri" w:cs="Calibri" w:eastAsia="Calibri" w:hint="default"/>
          <w:spacing w:val="5"/>
        </w:rPr>
        <w:t> </w:t>
      </w:r>
      <w:r>
        <w:rPr/>
        <w:t>月至</w:t>
      </w:r>
      <w:r>
        <w:rPr>
          <w:spacing w:val="-61"/>
        </w:rPr>
        <w:t> </w:t>
      </w:r>
      <w:r>
        <w:rPr>
          <w:rFonts w:ascii="Calibri" w:hAnsi="Calibri" w:cs="Calibri" w:eastAsia="Calibri" w:hint="default"/>
        </w:rPr>
        <w:t>2013</w:t>
      </w:r>
      <w:r>
        <w:rPr>
          <w:rFonts w:ascii="Calibri" w:hAnsi="Calibri" w:cs="Calibri" w:eastAsia="Calibri" w:hint="default"/>
          <w:spacing w:val="5"/>
        </w:rPr>
        <w:t> </w:t>
      </w:r>
      <w:r>
        <w:rPr/>
        <w:t>年</w:t>
      </w:r>
      <w:r>
        <w:rPr>
          <w:spacing w:val="-64"/>
        </w:rPr>
        <w:t> </w:t>
      </w:r>
      <w:r>
        <w:rPr>
          <w:rFonts w:ascii="Calibri" w:hAnsi="Calibri" w:cs="Calibri" w:eastAsia="Calibri" w:hint="default"/>
        </w:rPr>
        <w:t>12</w:t>
      </w:r>
      <w:r>
        <w:rPr>
          <w:rFonts w:ascii="Calibri" w:hAnsi="Calibri" w:cs="Calibri" w:eastAsia="Calibri" w:hint="default"/>
          <w:spacing w:val="5"/>
        </w:rPr>
        <w:t> </w:t>
      </w:r>
      <w:r>
        <w:rPr/>
        <w:t>月分期计入营业外收入。</w:t>
      </w:r>
    </w:p>
    <w:p>
      <w:pPr>
        <w:spacing w:line="240" w:lineRule="auto" w:before="9"/>
        <w:rPr>
          <w:rFonts w:ascii="宋体" w:hAnsi="宋体" w:cs="宋体" w:eastAsia="宋体" w:hint="default"/>
          <w:sz w:val="23"/>
          <w:szCs w:val="23"/>
        </w:rPr>
      </w:pPr>
    </w:p>
    <w:p>
      <w:pPr>
        <w:pStyle w:val="BodyText"/>
        <w:spacing w:line="312" w:lineRule="exact"/>
        <w:ind w:right="140"/>
        <w:jc w:val="left"/>
      </w:pPr>
      <w:r>
        <w:rPr>
          <w:spacing w:val="-2"/>
        </w:rPr>
        <w:t>（</w:t>
      </w:r>
      <w:r>
        <w:rPr>
          <w:rFonts w:ascii="Calibri" w:hAnsi="Calibri" w:cs="Calibri" w:eastAsia="Calibri" w:hint="default"/>
          <w:spacing w:val="-2"/>
        </w:rPr>
        <w:t>2</w:t>
      </w:r>
      <w:r>
        <w:rPr>
          <w:spacing w:val="-2"/>
        </w:rPr>
        <w:t>）本公司因承担企业级服务式地理信息开发平台软件研发及产业化项目收到北京</w:t>
      </w:r>
      <w:r>
        <w:rPr/>
        <w:t> 市朝阳区科学技术委员会专项拨款 </w:t>
      </w:r>
      <w:r>
        <w:rPr>
          <w:rFonts w:ascii="Calibri" w:hAnsi="Calibri" w:cs="Calibri" w:eastAsia="Calibri" w:hint="default"/>
        </w:rPr>
        <w:t>400,000.00</w:t>
      </w:r>
      <w:r>
        <w:rPr>
          <w:rFonts w:ascii="Calibri" w:hAnsi="Calibri" w:cs="Calibri" w:eastAsia="Calibri" w:hint="default"/>
          <w:spacing w:val="-20"/>
        </w:rPr>
        <w:t> </w:t>
      </w:r>
      <w:r>
        <w:rPr/>
        <w:t>元，计入递延收益，在项目研发期间</w:t>
      </w:r>
    </w:p>
    <w:p>
      <w:pPr>
        <w:pStyle w:val="BodyText"/>
        <w:spacing w:line="314" w:lineRule="exact"/>
        <w:ind w:right="0"/>
        <w:jc w:val="left"/>
      </w:pPr>
      <w:r>
        <w:rPr>
          <w:rFonts w:ascii="Calibri" w:hAnsi="Calibri" w:cs="Calibri" w:eastAsia="Calibri" w:hint="default"/>
        </w:rPr>
        <w:t>2012</w:t>
      </w:r>
      <w:r>
        <w:rPr>
          <w:rFonts w:ascii="Calibri" w:hAnsi="Calibri" w:cs="Calibri" w:eastAsia="Calibri" w:hint="default"/>
          <w:spacing w:val="5"/>
        </w:rPr>
        <w:t> </w:t>
      </w:r>
      <w:r>
        <w:rPr/>
        <w:t>年</w:t>
      </w:r>
      <w:r>
        <w:rPr>
          <w:spacing w:val="-61"/>
        </w:rPr>
        <w:t> </w:t>
      </w:r>
      <w:r>
        <w:rPr>
          <w:rFonts w:ascii="Calibri" w:hAnsi="Calibri" w:cs="Calibri" w:eastAsia="Calibri" w:hint="default"/>
        </w:rPr>
        <w:t>1</w:t>
      </w:r>
      <w:r>
        <w:rPr>
          <w:rFonts w:ascii="Calibri" w:hAnsi="Calibri" w:cs="Calibri" w:eastAsia="Calibri" w:hint="default"/>
          <w:spacing w:val="5"/>
        </w:rPr>
        <w:t> </w:t>
      </w:r>
      <w:r>
        <w:rPr/>
        <w:t>月至</w:t>
      </w:r>
      <w:r>
        <w:rPr>
          <w:spacing w:val="-64"/>
        </w:rPr>
        <w:t> </w:t>
      </w:r>
      <w:r>
        <w:rPr>
          <w:rFonts w:ascii="Calibri" w:hAnsi="Calibri" w:cs="Calibri" w:eastAsia="Calibri" w:hint="default"/>
        </w:rPr>
        <w:t>2013</w:t>
      </w:r>
      <w:r>
        <w:rPr>
          <w:rFonts w:ascii="Calibri" w:hAnsi="Calibri" w:cs="Calibri" w:eastAsia="Calibri" w:hint="default"/>
          <w:spacing w:val="6"/>
        </w:rPr>
        <w:t> </w:t>
      </w:r>
      <w:r>
        <w:rPr/>
        <w:t>年</w:t>
      </w:r>
      <w:r>
        <w:rPr>
          <w:spacing w:val="-64"/>
        </w:rPr>
        <w:t> </w:t>
      </w:r>
      <w:r>
        <w:rPr>
          <w:rFonts w:ascii="Calibri" w:hAnsi="Calibri" w:cs="Calibri" w:eastAsia="Calibri" w:hint="default"/>
        </w:rPr>
        <w:t>4</w:t>
      </w:r>
      <w:r>
        <w:rPr>
          <w:rFonts w:ascii="Calibri" w:hAnsi="Calibri" w:cs="Calibri" w:eastAsia="Calibri" w:hint="default"/>
          <w:spacing w:val="5"/>
        </w:rPr>
        <w:t> </w:t>
      </w:r>
      <w:r>
        <w:rPr/>
        <w:t>月分期计入营业外收入。</w:t>
      </w:r>
    </w:p>
    <w:p>
      <w:pPr>
        <w:spacing w:line="240" w:lineRule="auto" w:before="8"/>
        <w:rPr>
          <w:rFonts w:ascii="宋体" w:hAnsi="宋体" w:cs="宋体" w:eastAsia="宋体" w:hint="default"/>
          <w:sz w:val="22"/>
          <w:szCs w:val="22"/>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、长期借款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3260"/>
        <w:gridCol w:w="2684"/>
        <w:gridCol w:w="2794"/>
      </w:tblGrid>
      <w:tr>
        <w:trPr>
          <w:trHeight w:val="322"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2684" w:type="dxa"/>
            <w:tcBorders>
              <w:top w:val="single" w:sz="4" w:space="0" w:color="000000"/>
              <w:left w:val="single" w:sz="10" w:space="0" w:color="D2D2D2"/>
              <w:bottom w:val="single" w:sz="4" w:space="0" w:color="000000"/>
              <w:right w:val="single" w:sz="4" w:space="0" w:color="000000"/>
            </w:tcBorders>
          </w:tcPr>
          <w:p>
            <w:pPr/>
          </w:p>
        </w:tc>
        <w:tc>
          <w:tcPr>
            <w:tcW w:w="279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2684" w:type="dxa"/>
            <w:tcBorders>
              <w:top w:val="single" w:sz="4" w:space="0" w:color="000000"/>
              <w:left w:val="single" w:sz="10" w:space="0" w:color="D2D2D2"/>
              <w:bottom w:val="single" w:sz="4" w:space="0" w:color="000000"/>
              <w:right w:val="single" w:sz="4" w:space="0" w:color="000000"/>
            </w:tcBorders>
          </w:tcPr>
          <w:p>
            <w:pPr/>
          </w:p>
        </w:tc>
        <w:tc>
          <w:tcPr>
            <w:tcW w:w="2794"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6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10,033,380.96</w:t>
            </w:r>
            <w:r>
              <w:rPr>
                <w:rFonts w:ascii="Arial Narrow"/>
                <w:sz w:val="21"/>
              </w:rPr>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10,893,374.83</w:t>
            </w:r>
            <w:r>
              <w:rPr>
                <w:rFonts w:ascii="Arial Narrow"/>
                <w:sz w:val="21"/>
              </w:rPr>
            </w:r>
          </w:p>
        </w:tc>
      </w:tr>
      <w:tr>
        <w:trPr>
          <w:trHeight w:val="323"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26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5"/>
              <w:ind w:right="20"/>
              <w:jc w:val="right"/>
              <w:rPr>
                <w:rFonts w:ascii="Arial Narrow" w:hAnsi="Arial Narrow" w:cs="Arial Narrow" w:eastAsia="Arial Narrow" w:hint="default"/>
                <w:sz w:val="21"/>
                <w:szCs w:val="21"/>
              </w:rPr>
            </w:pPr>
            <w:r>
              <w:rPr>
                <w:rFonts w:ascii="Arial Narrow"/>
                <w:spacing w:val="-1"/>
                <w:sz w:val="21"/>
              </w:rPr>
              <w:t>3,718,632.40</w:t>
            </w:r>
            <w:r>
              <w:rPr>
                <w:rFonts w:ascii="Arial Narrow"/>
                <w:sz w:val="21"/>
              </w:rPr>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Arial Narrow" w:hAnsi="Arial Narrow" w:cs="Arial Narrow" w:eastAsia="Arial Narrow" w:hint="default"/>
                <w:sz w:val="21"/>
                <w:szCs w:val="21"/>
              </w:rPr>
            </w:pPr>
            <w:r>
              <w:rPr>
                <w:rFonts w:ascii="Arial Narrow"/>
                <w:spacing w:val="-1"/>
                <w:sz w:val="21"/>
              </w:rPr>
              <w:t>4,110,543.35</w:t>
            </w:r>
            <w:r>
              <w:rPr>
                <w:rFonts w:ascii="Arial Narrow"/>
                <w:sz w:val="21"/>
              </w:rPr>
            </w:r>
          </w:p>
        </w:tc>
      </w:tr>
      <w:tr>
        <w:trPr>
          <w:trHeight w:val="322" w:hRule="exact"/>
        </w:trPr>
        <w:tc>
          <w:tcPr>
            <w:tcW w:w="3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8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10,314,765.71</w:t>
            </w:r>
            <w:r>
              <w:rPr>
                <w:rFonts w:ascii="Arial Narrow"/>
                <w:sz w:val="21"/>
              </w:rPr>
            </w:r>
          </w:p>
        </w:tc>
        <w:tc>
          <w:tcPr>
            <w:tcW w:w="2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11,218,111.24</w:t>
            </w:r>
            <w:r>
              <w:rPr>
                <w:rFonts w:ascii="Arial Narrow"/>
                <w:sz w:val="21"/>
              </w:rPr>
            </w:r>
          </w:p>
        </w:tc>
      </w:tr>
    </w:tbl>
    <w:p>
      <w:pPr>
        <w:spacing w:line="274" w:lineRule="exact" w:before="0"/>
        <w:ind w:left="558" w:right="0" w:firstLine="0"/>
        <w:jc w:val="left"/>
        <w:rPr>
          <w:rFonts w:ascii="宋体" w:hAnsi="宋体" w:cs="宋体" w:eastAsia="宋体" w:hint="default"/>
          <w:sz w:val="24"/>
          <w:szCs w:val="24"/>
        </w:rPr>
      </w:pPr>
      <w:r>
        <w:rPr>
          <w:rFonts w:ascii="宋体" w:hAnsi="宋体" w:cs="宋体" w:eastAsia="宋体" w:hint="default"/>
          <w:sz w:val="21"/>
          <w:szCs w:val="21"/>
        </w:rPr>
        <w:t>长期借款分类的说明：</w:t>
      </w:r>
      <w:r>
        <w:rPr>
          <w:rFonts w:ascii="宋体" w:hAnsi="宋体" w:cs="宋体" w:eastAsia="宋体" w:hint="default"/>
          <w:sz w:val="24"/>
          <w:szCs w:val="24"/>
        </w:rPr>
        <w:t>本公司保证借款由东京中小企业经友会协同组合提供担保。</w:t>
      </w:r>
    </w:p>
    <w:p>
      <w:pPr>
        <w:spacing w:after="0" w:line="274" w:lineRule="exact"/>
        <w:jc w:val="left"/>
        <w:rPr>
          <w:rFonts w:ascii="宋体" w:hAnsi="宋体" w:cs="宋体" w:eastAsia="宋体" w:hint="default"/>
          <w:sz w:val="24"/>
          <w:szCs w:val="24"/>
        </w:rPr>
        <w:sectPr>
          <w:pgSz w:w="11910" w:h="16840"/>
          <w:pgMar w:header="884" w:footer="1007" w:top="1160" w:bottom="1200" w:left="1240" w:right="1260"/>
        </w:sectPr>
      </w:pPr>
    </w:p>
    <w:p>
      <w:pPr>
        <w:spacing w:line="240" w:lineRule="auto" w:before="4"/>
        <w:rPr>
          <w:rFonts w:ascii="宋体" w:hAnsi="宋体" w:cs="宋体" w:eastAsia="宋体" w:hint="default"/>
          <w:sz w:val="16"/>
          <w:szCs w:val="16"/>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）金额前五名的长期借款</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2"/>
        <w:rPr>
          <w:rFonts w:ascii="宋体" w:hAnsi="宋体" w:cs="宋体" w:eastAsia="宋体" w:hint="default"/>
          <w:sz w:val="4"/>
          <w:szCs w:val="4"/>
        </w:rPr>
      </w:pPr>
    </w:p>
    <w:tbl>
      <w:tblPr>
        <w:tblW w:w="0" w:type="auto"/>
        <w:jc w:val="left"/>
        <w:tblInd w:w="524" w:type="dxa"/>
        <w:tblLayout w:type="fixed"/>
        <w:tblCellMar>
          <w:top w:w="0" w:type="dxa"/>
          <w:left w:w="0" w:type="dxa"/>
          <w:bottom w:w="0" w:type="dxa"/>
          <w:right w:w="0" w:type="dxa"/>
        </w:tblCellMar>
        <w:tblLook w:val="01E0"/>
      </w:tblPr>
      <w:tblGrid>
        <w:gridCol w:w="1306"/>
        <w:gridCol w:w="850"/>
        <w:gridCol w:w="850"/>
        <w:gridCol w:w="672"/>
        <w:gridCol w:w="631"/>
        <w:gridCol w:w="1157"/>
        <w:gridCol w:w="1063"/>
        <w:gridCol w:w="1157"/>
        <w:gridCol w:w="1063"/>
      </w:tblGrid>
      <w:tr>
        <w:trPr>
          <w:trHeight w:val="317"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3"/>
              <w:ind w:left="225" w:right="0"/>
              <w:jc w:val="left"/>
              <w:rPr>
                <w:rFonts w:ascii="宋体" w:hAnsi="宋体" w:cs="宋体" w:eastAsia="宋体" w:hint="default"/>
                <w:sz w:val="21"/>
                <w:szCs w:val="21"/>
              </w:rPr>
            </w:pPr>
            <w:r>
              <w:rPr>
                <w:rFonts w:ascii="宋体" w:hAnsi="宋体" w:cs="宋体" w:eastAsia="宋体" w:hint="default"/>
                <w:b/>
                <w:bCs/>
                <w:sz w:val="21"/>
                <w:szCs w:val="21"/>
              </w:rPr>
              <w:t>贷款单位</w:t>
            </w:r>
            <w:r>
              <w:rPr>
                <w:rFonts w:ascii="宋体" w:hAnsi="宋体" w:cs="宋体" w:eastAsia="宋体" w:hint="default"/>
                <w:sz w:val="21"/>
                <w:szCs w:val="21"/>
              </w:rPr>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06" w:right="104" w:hanging="106"/>
              <w:jc w:val="left"/>
              <w:rPr>
                <w:rFonts w:ascii="宋体" w:hAnsi="宋体" w:cs="宋体" w:eastAsia="宋体" w:hint="default"/>
                <w:sz w:val="21"/>
                <w:szCs w:val="21"/>
              </w:rPr>
            </w:pPr>
            <w:r>
              <w:rPr>
                <w:rFonts w:ascii="宋体" w:hAnsi="宋体" w:cs="宋体" w:eastAsia="宋体" w:hint="default"/>
                <w:b/>
                <w:bCs/>
                <w:sz w:val="21"/>
                <w:szCs w:val="21"/>
              </w:rPr>
              <w:t>借款起</w:t>
            </w:r>
            <w:r>
              <w:rPr>
                <w:rFonts w:ascii="宋体" w:hAnsi="宋体" w:cs="宋体" w:eastAsia="宋体" w:hint="default"/>
                <w:b/>
                <w:bCs/>
                <w:w w:val="100"/>
                <w:sz w:val="21"/>
                <w:szCs w:val="21"/>
              </w:rPr>
              <w:t> </w:t>
            </w:r>
            <w:r>
              <w:rPr>
                <w:rFonts w:ascii="宋体" w:hAnsi="宋体" w:cs="宋体" w:eastAsia="宋体" w:hint="default"/>
                <w:b/>
                <w:bCs/>
                <w:sz w:val="21"/>
                <w:szCs w:val="21"/>
              </w:rPr>
              <w:t>始日</w:t>
            </w:r>
            <w:r>
              <w:rPr>
                <w:rFonts w:ascii="宋体" w:hAnsi="宋体" w:cs="宋体" w:eastAsia="宋体" w:hint="default"/>
                <w:sz w:val="21"/>
                <w:szCs w:val="21"/>
              </w:rPr>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08" w:right="101" w:hanging="106"/>
              <w:jc w:val="left"/>
              <w:rPr>
                <w:rFonts w:ascii="宋体" w:hAnsi="宋体" w:cs="宋体" w:eastAsia="宋体" w:hint="default"/>
                <w:sz w:val="21"/>
                <w:szCs w:val="21"/>
              </w:rPr>
            </w:pPr>
            <w:r>
              <w:rPr>
                <w:rFonts w:ascii="宋体" w:hAnsi="宋体" w:cs="宋体" w:eastAsia="宋体" w:hint="default"/>
                <w:b/>
                <w:bCs/>
                <w:sz w:val="21"/>
                <w:szCs w:val="21"/>
              </w:rPr>
              <w:t>借款终</w:t>
            </w:r>
            <w:r>
              <w:rPr>
                <w:rFonts w:ascii="宋体" w:hAnsi="宋体" w:cs="宋体" w:eastAsia="宋体" w:hint="default"/>
                <w:b/>
                <w:bCs/>
                <w:w w:val="100"/>
                <w:sz w:val="21"/>
                <w:szCs w:val="21"/>
              </w:rPr>
              <w:t> </w:t>
            </w:r>
            <w:r>
              <w:rPr>
                <w:rFonts w:ascii="宋体" w:hAnsi="宋体" w:cs="宋体" w:eastAsia="宋体" w:hint="default"/>
                <w:b/>
                <w:bCs/>
                <w:sz w:val="21"/>
                <w:szCs w:val="21"/>
              </w:rPr>
              <w:t>止日</w:t>
            </w:r>
            <w:r>
              <w:rPr>
                <w:rFonts w:ascii="宋体" w:hAnsi="宋体" w:cs="宋体" w:eastAsia="宋体" w:hint="default"/>
                <w:sz w:val="21"/>
                <w:szCs w:val="21"/>
              </w:rPr>
            </w:r>
          </w:p>
        </w:tc>
        <w:tc>
          <w:tcPr>
            <w:tcW w:w="6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3"/>
              <w:ind w:left="119" w:right="0"/>
              <w:jc w:val="left"/>
              <w:rPr>
                <w:rFonts w:ascii="宋体" w:hAnsi="宋体" w:cs="宋体" w:eastAsia="宋体" w:hint="default"/>
                <w:sz w:val="21"/>
                <w:szCs w:val="21"/>
              </w:rPr>
            </w:pPr>
            <w:r>
              <w:rPr>
                <w:rFonts w:ascii="宋体" w:hAnsi="宋体" w:cs="宋体" w:eastAsia="宋体" w:hint="default"/>
                <w:b/>
                <w:bCs/>
                <w:sz w:val="21"/>
                <w:szCs w:val="21"/>
              </w:rPr>
              <w:t>币种</w:t>
            </w:r>
            <w:r>
              <w:rPr>
                <w:rFonts w:ascii="宋体" w:hAnsi="宋体" w:cs="宋体" w:eastAsia="宋体" w:hint="default"/>
                <w:sz w:val="21"/>
                <w:szCs w:val="21"/>
              </w:rPr>
            </w:r>
          </w:p>
        </w:tc>
        <w:tc>
          <w:tcPr>
            <w:tcW w:w="631"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98" w:right="0"/>
              <w:jc w:val="left"/>
              <w:rPr>
                <w:rFonts w:ascii="宋体" w:hAnsi="宋体" w:cs="宋体" w:eastAsia="宋体" w:hint="default"/>
                <w:sz w:val="21"/>
                <w:szCs w:val="21"/>
              </w:rPr>
            </w:pPr>
            <w:r>
              <w:rPr>
                <w:rFonts w:ascii="宋体" w:hAnsi="宋体" w:cs="宋体" w:eastAsia="宋体" w:hint="default"/>
                <w:b/>
                <w:bCs/>
                <w:sz w:val="21"/>
                <w:szCs w:val="21"/>
              </w:rPr>
              <w:t>利率</w:t>
            </w:r>
            <w:r>
              <w:rPr>
                <w:rFonts w:ascii="宋体" w:hAnsi="宋体" w:cs="宋体" w:eastAsia="宋体" w:hint="default"/>
                <w:sz w:val="21"/>
                <w:szCs w:val="21"/>
              </w:rPr>
            </w:r>
          </w:p>
          <w:p>
            <w:pPr>
              <w:pStyle w:val="TableParagraph"/>
              <w:spacing w:line="240" w:lineRule="auto" w:before="37"/>
              <w:ind w:left="21" w:right="0"/>
              <w:jc w:val="left"/>
              <w:rPr>
                <w:rFonts w:ascii="宋体" w:hAnsi="宋体" w:cs="宋体" w:eastAsia="宋体" w:hint="default"/>
                <w:sz w:val="21"/>
                <w:szCs w:val="21"/>
              </w:rPr>
            </w:pPr>
            <w:r>
              <w:rPr>
                <w:rFonts w:ascii="宋体" w:hAnsi="宋体" w:cs="宋体" w:eastAsia="宋体" w:hint="default"/>
                <w:b/>
                <w:bCs/>
                <w:sz w:val="21"/>
                <w:szCs w:val="21"/>
              </w:rPr>
              <w:t>（</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22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2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17"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672" w:type="dxa"/>
            <w:vMerge/>
            <w:tcBorders>
              <w:left w:val="single" w:sz="4" w:space="0" w:color="000000"/>
              <w:bottom w:val="single" w:sz="4" w:space="0" w:color="000000"/>
              <w:right w:val="single" w:sz="4" w:space="0" w:color="000000"/>
            </w:tcBorders>
            <w:shd w:val="clear" w:color="auto" w:fill="D2D2D2"/>
          </w:tcPr>
          <w:p>
            <w:pPr/>
          </w:p>
        </w:tc>
        <w:tc>
          <w:tcPr>
            <w:tcW w:w="631" w:type="dxa"/>
            <w:vMerge/>
            <w:tcBorders>
              <w:left w:val="single" w:sz="4" w:space="0" w:color="000000"/>
              <w:bottom w:val="single" w:sz="4" w:space="0" w:color="000000"/>
              <w:right w:val="single" w:sz="4" w:space="0" w:color="000000"/>
            </w:tcBorders>
            <w:shd w:val="clear" w:color="auto" w:fill="D2D2D2"/>
          </w:tcPr>
          <w:p>
            <w:pP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外币金额</w:t>
            </w:r>
            <w:r>
              <w:rPr>
                <w:rFonts w:ascii="宋体" w:hAnsi="宋体" w:cs="宋体" w:eastAsia="宋体" w:hint="default"/>
                <w:sz w:val="21"/>
                <w:szCs w:val="21"/>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本币金额</w:t>
            </w:r>
            <w:r>
              <w:rPr>
                <w:rFonts w:ascii="宋体" w:hAnsi="宋体" w:cs="宋体" w:eastAsia="宋体" w:hint="default"/>
                <w:sz w:val="21"/>
                <w:szCs w:val="21"/>
              </w:rPr>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51" w:right="0"/>
              <w:jc w:val="left"/>
              <w:rPr>
                <w:rFonts w:ascii="宋体" w:hAnsi="宋体" w:cs="宋体" w:eastAsia="宋体" w:hint="default"/>
                <w:sz w:val="21"/>
                <w:szCs w:val="21"/>
              </w:rPr>
            </w:pPr>
            <w:r>
              <w:rPr>
                <w:rFonts w:ascii="宋体" w:hAnsi="宋体" w:cs="宋体" w:eastAsia="宋体" w:hint="default"/>
                <w:b/>
                <w:bCs/>
                <w:sz w:val="21"/>
                <w:szCs w:val="21"/>
              </w:rPr>
              <w:t>外币金额</w:t>
            </w:r>
            <w:r>
              <w:rPr>
                <w:rFonts w:ascii="宋体" w:hAnsi="宋体" w:cs="宋体" w:eastAsia="宋体" w:hint="default"/>
                <w:sz w:val="21"/>
                <w:szCs w:val="21"/>
              </w:rPr>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本币金额</w:t>
            </w:r>
            <w:r>
              <w:rPr>
                <w:rFonts w:ascii="宋体" w:hAnsi="宋体" w:cs="宋体" w:eastAsia="宋体" w:hint="default"/>
                <w:sz w:val="21"/>
                <w:szCs w:val="21"/>
              </w:rPr>
            </w:r>
          </w:p>
        </w:tc>
      </w:tr>
      <w:tr>
        <w:trPr>
          <w:trHeight w:val="32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23" w:right="0"/>
              <w:jc w:val="left"/>
              <w:rPr>
                <w:rFonts w:ascii="宋体" w:hAnsi="宋体" w:cs="宋体" w:eastAsia="宋体" w:hint="default"/>
                <w:sz w:val="21"/>
                <w:szCs w:val="21"/>
              </w:rPr>
            </w:pPr>
            <w:r>
              <w:rPr>
                <w:rFonts w:ascii="宋体" w:hAnsi="宋体" w:cs="宋体" w:eastAsia="宋体" w:hint="default"/>
                <w:sz w:val="21"/>
                <w:szCs w:val="21"/>
              </w:rPr>
              <w:t>瑞穗银行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7"/>
              <w:jc w:val="center"/>
              <w:rPr>
                <w:rFonts w:ascii="Arial Narrow" w:hAnsi="Arial Narrow" w:cs="Arial Narrow" w:eastAsia="Arial Narrow" w:hint="default"/>
                <w:sz w:val="21"/>
                <w:szCs w:val="21"/>
              </w:rPr>
            </w:pPr>
            <w:r>
              <w:rPr>
                <w:rFonts w:ascii="Arial Narrow"/>
                <w:sz w:val="21"/>
              </w:rPr>
              <w:t>2011.3.31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2"/>
              <w:jc w:val="center"/>
              <w:rPr>
                <w:rFonts w:ascii="Arial Narrow" w:hAnsi="Arial Narrow" w:cs="Arial Narrow" w:eastAsia="Arial Narrow" w:hint="default"/>
                <w:sz w:val="21"/>
                <w:szCs w:val="21"/>
              </w:rPr>
            </w:pPr>
            <w:r>
              <w:rPr>
                <w:rFonts w:ascii="Arial Narrow"/>
                <w:sz w:val="21"/>
              </w:rPr>
              <w:t>2021.3.31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215"/>
              <w:jc w:val="right"/>
              <w:rPr>
                <w:rFonts w:ascii="宋体" w:hAnsi="宋体" w:cs="宋体" w:eastAsia="宋体" w:hint="default"/>
                <w:sz w:val="21"/>
                <w:szCs w:val="21"/>
              </w:rPr>
            </w:pPr>
            <w:r>
              <w:rPr>
                <w:rFonts w:ascii="宋体" w:hAnsi="宋体" w:cs="宋体" w:eastAsia="宋体" w:hint="default"/>
                <w:sz w:val="21"/>
                <w:szCs w:val="21"/>
              </w:rPr>
              <w:t>日元</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41" w:right="0"/>
              <w:jc w:val="center"/>
              <w:rPr>
                <w:rFonts w:ascii="Arial Narrow" w:hAnsi="Arial Narrow" w:cs="Arial Narrow" w:eastAsia="Arial Narrow" w:hint="default"/>
                <w:sz w:val="21"/>
                <w:szCs w:val="21"/>
              </w:rPr>
            </w:pPr>
            <w:r>
              <w:rPr>
                <w:rFonts w:ascii="Arial Narrow"/>
                <w:sz w:val="21"/>
              </w:rPr>
              <w:t>1.975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Arial Narrow" w:hAnsi="Arial Narrow" w:cs="Arial Narrow" w:eastAsia="Arial Narrow" w:hint="default"/>
                <w:sz w:val="21"/>
                <w:szCs w:val="21"/>
              </w:rPr>
            </w:pPr>
            <w:r>
              <w:rPr>
                <w:rFonts w:ascii="Arial Narrow"/>
                <w:sz w:val="21"/>
              </w:rPr>
              <w:t>40,589,000.00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 w:right="0"/>
              <w:jc w:val="center"/>
              <w:rPr>
                <w:rFonts w:ascii="Arial Narrow" w:hAnsi="Arial Narrow" w:cs="Arial Narrow" w:eastAsia="Arial Narrow" w:hint="default"/>
                <w:sz w:val="21"/>
                <w:szCs w:val="21"/>
              </w:rPr>
            </w:pPr>
            <w:r>
              <w:rPr>
                <w:rFonts w:ascii="Arial Narrow"/>
                <w:sz w:val="21"/>
              </w:rPr>
              <w:t>2,964,985.86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Arial Narrow" w:hAnsi="Arial Narrow" w:cs="Arial Narrow" w:eastAsia="Arial Narrow" w:hint="default"/>
                <w:sz w:val="21"/>
                <w:szCs w:val="21"/>
              </w:rPr>
            </w:pPr>
            <w:r>
              <w:rPr>
                <w:rFonts w:ascii="Arial Narrow"/>
                <w:spacing w:val="-1"/>
                <w:sz w:val="21"/>
              </w:rPr>
              <w:t>46,193,000.00</w:t>
            </w:r>
            <w:r>
              <w:rPr>
                <w:rFonts w:ascii="Arial Narrow"/>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20"/>
              <w:jc w:val="right"/>
              <w:rPr>
                <w:rFonts w:ascii="Arial Narrow" w:hAnsi="Arial Narrow" w:cs="Arial Narrow" w:eastAsia="Arial Narrow" w:hint="default"/>
                <w:sz w:val="21"/>
                <w:szCs w:val="21"/>
              </w:rPr>
            </w:pPr>
            <w:r>
              <w:rPr>
                <w:rFonts w:ascii="Arial Narrow"/>
                <w:spacing w:val="-1"/>
                <w:sz w:val="21"/>
              </w:rPr>
              <w:t>3,746,252.30</w:t>
            </w:r>
            <w:r>
              <w:rPr>
                <w:rFonts w:ascii="Arial Narrow"/>
                <w:sz w:val="21"/>
              </w:rPr>
            </w:r>
          </w:p>
        </w:tc>
      </w:tr>
      <w:tr>
        <w:trPr>
          <w:trHeight w:val="32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瑞穗银行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7"/>
              <w:jc w:val="center"/>
              <w:rPr>
                <w:rFonts w:ascii="Arial Narrow" w:hAnsi="Arial Narrow" w:cs="Arial Narrow" w:eastAsia="Arial Narrow" w:hint="default"/>
                <w:sz w:val="21"/>
                <w:szCs w:val="21"/>
              </w:rPr>
            </w:pPr>
            <w:r>
              <w:rPr>
                <w:rFonts w:ascii="Arial Narrow"/>
                <w:sz w:val="21"/>
              </w:rPr>
              <w:t>2011.7.29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center"/>
              <w:rPr>
                <w:rFonts w:ascii="Arial Narrow" w:hAnsi="Arial Narrow" w:cs="Arial Narrow" w:eastAsia="Arial Narrow" w:hint="default"/>
                <w:sz w:val="21"/>
                <w:szCs w:val="21"/>
              </w:rPr>
            </w:pPr>
            <w:r>
              <w:rPr>
                <w:rFonts w:ascii="Arial Narrow"/>
                <w:sz w:val="21"/>
              </w:rPr>
              <w:t>2021.7.29</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5"/>
              <w:jc w:val="right"/>
              <w:rPr>
                <w:rFonts w:ascii="宋体" w:hAnsi="宋体" w:cs="宋体" w:eastAsia="宋体" w:hint="default"/>
                <w:sz w:val="21"/>
                <w:szCs w:val="21"/>
              </w:rPr>
            </w:pPr>
            <w:r>
              <w:rPr>
                <w:rFonts w:ascii="宋体" w:hAnsi="宋体" w:cs="宋体" w:eastAsia="宋体" w:hint="default"/>
                <w:sz w:val="21"/>
                <w:szCs w:val="21"/>
              </w:rPr>
              <w:t>日元</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1" w:right="0"/>
              <w:jc w:val="center"/>
              <w:rPr>
                <w:rFonts w:ascii="Arial Narrow" w:hAnsi="Arial Narrow" w:cs="Arial Narrow" w:eastAsia="Arial Narrow" w:hint="default"/>
                <w:sz w:val="21"/>
                <w:szCs w:val="21"/>
              </w:rPr>
            </w:pPr>
            <w:r>
              <w:rPr>
                <w:rFonts w:ascii="Arial Narrow"/>
                <w:sz w:val="21"/>
              </w:rPr>
              <w:t>2.000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22,750,000.00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Arial Narrow" w:hAnsi="Arial Narrow" w:cs="Arial Narrow" w:eastAsia="Arial Narrow" w:hint="default"/>
                <w:sz w:val="21"/>
                <w:szCs w:val="21"/>
              </w:rPr>
            </w:pPr>
            <w:r>
              <w:rPr>
                <w:rFonts w:ascii="Arial Narrow"/>
                <w:sz w:val="21"/>
              </w:rPr>
              <w:t>1,661,864.75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25,750,000.00</w:t>
            </w:r>
            <w:r>
              <w:rPr>
                <w:rFonts w:ascii="Arial Narrow"/>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2,088,325.00</w:t>
            </w:r>
            <w:r>
              <w:rPr>
                <w:rFonts w:ascii="Arial Narrow"/>
                <w:sz w:val="21"/>
              </w:rPr>
            </w:r>
          </w:p>
        </w:tc>
      </w:tr>
      <w:tr>
        <w:trPr>
          <w:trHeight w:val="32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瑞穗银行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7"/>
              <w:jc w:val="center"/>
              <w:rPr>
                <w:rFonts w:ascii="Arial Narrow" w:hAnsi="Arial Narrow" w:cs="Arial Narrow" w:eastAsia="Arial Narrow" w:hint="default"/>
                <w:sz w:val="21"/>
                <w:szCs w:val="21"/>
              </w:rPr>
            </w:pPr>
            <w:r>
              <w:rPr>
                <w:rFonts w:ascii="Arial Narrow"/>
                <w:sz w:val="21"/>
              </w:rPr>
              <w:t>2011.3.31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center"/>
              <w:rPr>
                <w:rFonts w:ascii="Arial Narrow" w:hAnsi="Arial Narrow" w:cs="Arial Narrow" w:eastAsia="Arial Narrow" w:hint="default"/>
                <w:sz w:val="21"/>
                <w:szCs w:val="21"/>
              </w:rPr>
            </w:pPr>
            <w:r>
              <w:rPr>
                <w:rFonts w:ascii="Arial Narrow"/>
                <w:sz w:val="21"/>
              </w:rPr>
              <w:t>2018.3.31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5"/>
              <w:jc w:val="right"/>
              <w:rPr>
                <w:rFonts w:ascii="宋体" w:hAnsi="宋体" w:cs="宋体" w:eastAsia="宋体" w:hint="default"/>
                <w:sz w:val="21"/>
                <w:szCs w:val="21"/>
              </w:rPr>
            </w:pPr>
            <w:r>
              <w:rPr>
                <w:rFonts w:ascii="宋体" w:hAnsi="宋体" w:cs="宋体" w:eastAsia="宋体" w:hint="default"/>
                <w:sz w:val="21"/>
                <w:szCs w:val="21"/>
              </w:rPr>
              <w:t>日元</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1" w:right="0"/>
              <w:jc w:val="center"/>
              <w:rPr>
                <w:rFonts w:ascii="Arial Narrow" w:hAnsi="Arial Narrow" w:cs="Arial Narrow" w:eastAsia="Arial Narrow" w:hint="default"/>
                <w:sz w:val="21"/>
                <w:szCs w:val="21"/>
              </w:rPr>
            </w:pPr>
            <w:r>
              <w:rPr>
                <w:rFonts w:ascii="Arial Narrow"/>
                <w:sz w:val="21"/>
              </w:rPr>
              <w:t>1.975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22,503,000.00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Arial Narrow" w:hAnsi="Arial Narrow" w:cs="Arial Narrow" w:eastAsia="Arial Narrow" w:hint="default"/>
                <w:sz w:val="21"/>
                <w:szCs w:val="21"/>
              </w:rPr>
            </w:pPr>
            <w:r>
              <w:rPr>
                <w:rFonts w:ascii="Arial Narrow"/>
                <w:sz w:val="21"/>
              </w:rPr>
              <w:t>1,643,821.65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15,002,000.00</w:t>
            </w:r>
            <w:r>
              <w:rPr>
                <w:rFonts w:ascii="Arial Narrow"/>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1,216,662.20</w:t>
            </w:r>
            <w:r>
              <w:rPr>
                <w:rFonts w:ascii="Arial Narrow"/>
                <w:sz w:val="21"/>
              </w:rPr>
            </w:r>
          </w:p>
        </w:tc>
      </w:tr>
      <w:tr>
        <w:trPr>
          <w:trHeight w:val="636"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216"/>
              <w:jc w:val="left"/>
              <w:rPr>
                <w:rFonts w:ascii="宋体" w:hAnsi="宋体" w:cs="宋体" w:eastAsia="宋体" w:hint="default"/>
                <w:sz w:val="21"/>
                <w:szCs w:val="21"/>
              </w:rPr>
            </w:pPr>
            <w:r>
              <w:rPr>
                <w:rFonts w:ascii="宋体" w:hAnsi="宋体" w:cs="宋体" w:eastAsia="宋体" w:hint="default"/>
                <w:sz w:val="21"/>
                <w:szCs w:val="21"/>
              </w:rPr>
              <w:t>日本政策金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融公库</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7"/>
              <w:jc w:val="center"/>
              <w:rPr>
                <w:rFonts w:ascii="Arial Narrow" w:hAnsi="Arial Narrow" w:cs="Arial Narrow" w:eastAsia="Arial Narrow" w:hint="default"/>
                <w:sz w:val="21"/>
                <w:szCs w:val="21"/>
              </w:rPr>
            </w:pPr>
            <w:r>
              <w:rPr>
                <w:rFonts w:ascii="Arial Narrow"/>
                <w:sz w:val="21"/>
              </w:rPr>
              <w:t>2011.7.19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2"/>
              <w:jc w:val="center"/>
              <w:rPr>
                <w:rFonts w:ascii="Arial Narrow" w:hAnsi="Arial Narrow" w:cs="Arial Narrow" w:eastAsia="Arial Narrow" w:hint="default"/>
                <w:sz w:val="21"/>
                <w:szCs w:val="21"/>
              </w:rPr>
            </w:pPr>
            <w:r>
              <w:rPr>
                <w:rFonts w:ascii="Arial Narrow"/>
                <w:sz w:val="21"/>
              </w:rPr>
              <w:t>2016.5.31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215"/>
              <w:jc w:val="right"/>
              <w:rPr>
                <w:rFonts w:ascii="宋体" w:hAnsi="宋体" w:cs="宋体" w:eastAsia="宋体" w:hint="default"/>
                <w:sz w:val="21"/>
                <w:szCs w:val="21"/>
              </w:rPr>
            </w:pPr>
            <w:r>
              <w:rPr>
                <w:rFonts w:ascii="宋体" w:hAnsi="宋体" w:cs="宋体" w:eastAsia="宋体" w:hint="default"/>
                <w:sz w:val="21"/>
                <w:szCs w:val="21"/>
              </w:rPr>
              <w:t>日元</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41" w:right="0"/>
              <w:jc w:val="center"/>
              <w:rPr>
                <w:rFonts w:ascii="Arial Narrow" w:hAnsi="Arial Narrow" w:cs="Arial Narrow" w:eastAsia="Arial Narrow" w:hint="default"/>
                <w:sz w:val="21"/>
                <w:szCs w:val="21"/>
              </w:rPr>
            </w:pPr>
            <w:r>
              <w:rPr>
                <w:rFonts w:ascii="Arial Narrow"/>
                <w:sz w:val="21"/>
              </w:rPr>
              <w:t>2.400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15,870,000.00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1,159,287.63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Arial Narrow" w:hAnsi="Arial Narrow" w:cs="Arial Narrow" w:eastAsia="Arial Narrow" w:hint="default"/>
                <w:sz w:val="21"/>
                <w:szCs w:val="21"/>
              </w:rPr>
            </w:pPr>
            <w:r>
              <w:rPr>
                <w:rFonts w:ascii="Arial Narrow"/>
                <w:spacing w:val="-1"/>
                <w:sz w:val="21"/>
              </w:rPr>
              <w:t>14,490,000.00</w:t>
            </w:r>
            <w:r>
              <w:rPr>
                <w:rFonts w:ascii="Arial Narrow"/>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20"/>
              <w:jc w:val="right"/>
              <w:rPr>
                <w:rFonts w:ascii="Arial Narrow" w:hAnsi="Arial Narrow" w:cs="Arial Narrow" w:eastAsia="Arial Narrow" w:hint="default"/>
                <w:sz w:val="21"/>
                <w:szCs w:val="21"/>
              </w:rPr>
            </w:pPr>
            <w:r>
              <w:rPr>
                <w:rFonts w:ascii="Arial Narrow"/>
                <w:spacing w:val="-1"/>
                <w:sz w:val="21"/>
              </w:rPr>
              <w:t>1,175,139.00</w:t>
            </w:r>
            <w:r>
              <w:rPr>
                <w:rFonts w:ascii="Arial Narrow"/>
                <w:sz w:val="21"/>
              </w:rPr>
            </w:r>
          </w:p>
        </w:tc>
      </w:tr>
      <w:tr>
        <w:trPr>
          <w:trHeight w:val="322"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瑞穗银行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7"/>
              <w:jc w:val="center"/>
              <w:rPr>
                <w:rFonts w:ascii="Arial Narrow" w:hAnsi="Arial Narrow" w:cs="Arial Narrow" w:eastAsia="Arial Narrow" w:hint="default"/>
                <w:sz w:val="21"/>
                <w:szCs w:val="21"/>
              </w:rPr>
            </w:pPr>
            <w:r>
              <w:rPr>
                <w:rFonts w:ascii="Arial Narrow"/>
                <w:sz w:val="21"/>
              </w:rPr>
              <w:t>2011.3.31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center"/>
              <w:rPr>
                <w:rFonts w:ascii="Arial Narrow" w:hAnsi="Arial Narrow" w:cs="Arial Narrow" w:eastAsia="Arial Narrow" w:hint="default"/>
                <w:sz w:val="21"/>
                <w:szCs w:val="21"/>
              </w:rPr>
            </w:pPr>
            <w:r>
              <w:rPr>
                <w:rFonts w:ascii="Arial Narrow"/>
                <w:sz w:val="21"/>
              </w:rPr>
              <w:t>2018.3.31</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15"/>
              <w:jc w:val="right"/>
              <w:rPr>
                <w:rFonts w:ascii="宋体" w:hAnsi="宋体" w:cs="宋体" w:eastAsia="宋体" w:hint="default"/>
                <w:sz w:val="21"/>
                <w:szCs w:val="21"/>
              </w:rPr>
            </w:pPr>
            <w:r>
              <w:rPr>
                <w:rFonts w:ascii="宋体" w:hAnsi="宋体" w:cs="宋体" w:eastAsia="宋体" w:hint="default"/>
                <w:sz w:val="21"/>
                <w:szCs w:val="21"/>
              </w:rPr>
              <w:t>日元</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1" w:right="0"/>
              <w:jc w:val="center"/>
              <w:rPr>
                <w:rFonts w:ascii="Arial Narrow" w:hAnsi="Arial Narrow" w:cs="Arial Narrow" w:eastAsia="Arial Narrow" w:hint="default"/>
                <w:sz w:val="21"/>
                <w:szCs w:val="21"/>
              </w:rPr>
            </w:pPr>
            <w:r>
              <w:rPr>
                <w:rFonts w:ascii="Arial Narrow"/>
                <w:sz w:val="21"/>
              </w:rPr>
              <w:t>0.100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12,840,000.00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46" w:right="0"/>
              <w:jc w:val="center"/>
              <w:rPr>
                <w:rFonts w:ascii="Arial Narrow" w:hAnsi="Arial Narrow" w:cs="Arial Narrow" w:eastAsia="Arial Narrow" w:hint="default"/>
                <w:sz w:val="21"/>
                <w:szCs w:val="21"/>
              </w:rPr>
            </w:pPr>
            <w:r>
              <w:rPr>
                <w:rFonts w:ascii="Arial Narrow"/>
                <w:sz w:val="21"/>
              </w:rPr>
              <w:t>937,949.16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7,501,000.00</w:t>
            </w:r>
            <w:r>
              <w:rPr>
                <w:rFonts w:ascii="Arial Narrow"/>
                <w:sz w:val="21"/>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608,331.10</w:t>
            </w:r>
            <w:r>
              <w:rPr>
                <w:rFonts w:ascii="Arial Narrow"/>
                <w:sz w:val="21"/>
              </w:rPr>
            </w:r>
          </w:p>
        </w:tc>
      </w:tr>
      <w:tr>
        <w:trPr>
          <w:trHeight w:val="3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
              <w:jc w:val="center"/>
              <w:rPr>
                <w:rFonts w:ascii="Calibri" w:hAnsi="Calibri" w:cs="Calibri" w:eastAsia="Calibri" w:hint="default"/>
                <w:sz w:val="21"/>
                <w:szCs w:val="21"/>
              </w:rPr>
            </w:pPr>
            <w:r>
              <w:rPr>
                <w:rFonts w:ascii="Calibri"/>
                <w:sz w:val="21"/>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64"/>
              <w:jc w:val="right"/>
              <w:rPr>
                <w:rFonts w:ascii="Calibri" w:hAnsi="Calibri" w:cs="Calibri" w:eastAsia="Calibri" w:hint="default"/>
                <w:sz w:val="21"/>
                <w:szCs w:val="21"/>
              </w:rPr>
            </w:pPr>
            <w:r>
              <w:rPr>
                <w:rFonts w:ascii="Calibri"/>
                <w:sz w:val="21"/>
              </w:rPr>
              <w:t>--</w:t>
            </w:r>
          </w:p>
        </w:tc>
        <w:tc>
          <w:tcPr>
            <w:tcW w:w="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063"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33"/>
              <w:ind w:left="7" w:right="0"/>
              <w:jc w:val="center"/>
              <w:rPr>
                <w:rFonts w:ascii="Arial Narrow" w:hAnsi="Arial Narrow" w:cs="Arial Narrow" w:eastAsia="Arial Narrow" w:hint="default"/>
                <w:sz w:val="21"/>
                <w:szCs w:val="21"/>
              </w:rPr>
            </w:pPr>
            <w:r>
              <w:rPr>
                <w:rFonts w:ascii="Arial Narrow"/>
                <w:b/>
                <w:sz w:val="21"/>
              </w:rPr>
              <w:t>8,367,909.05</w:t>
            </w:r>
            <w:r>
              <w:rPr>
                <w:rFonts w:ascii="Arial Narrow"/>
                <w:sz w:val="21"/>
              </w:rPr>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3"/>
              <w:jc w:val="center"/>
              <w:rPr>
                <w:rFonts w:ascii="Calibri" w:hAnsi="Calibri" w:cs="Calibri" w:eastAsia="Calibri" w:hint="default"/>
                <w:sz w:val="21"/>
                <w:szCs w:val="21"/>
              </w:rPr>
            </w:pPr>
            <w:r>
              <w:rPr>
                <w:rFonts w:ascii="Calibri"/>
                <w:sz w:val="21"/>
              </w:rPr>
              <w:t>--</w:t>
            </w:r>
          </w:p>
        </w:tc>
        <w:tc>
          <w:tcPr>
            <w:tcW w:w="106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8,834,709.60</w:t>
            </w:r>
            <w:r>
              <w:rPr>
                <w:rFonts w:ascii="Arial Narrow"/>
                <w:sz w:val="21"/>
              </w:rPr>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长期借款说明：无</w:t>
      </w:r>
    </w:p>
    <w:p>
      <w:pPr>
        <w:spacing w:line="240" w:lineRule="auto" w:before="10"/>
        <w:rPr>
          <w:rFonts w:ascii="宋体" w:hAnsi="宋体" w:cs="宋体" w:eastAsia="宋体" w:hint="default"/>
          <w:sz w:val="25"/>
          <w:szCs w:val="25"/>
        </w:rPr>
      </w:pPr>
    </w:p>
    <w:p>
      <w:pPr>
        <w:spacing w:line="506" w:lineRule="auto" w:before="0"/>
        <w:ind w:left="558" w:right="75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、应付债券</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516" w:lineRule="auto" w:before="104"/>
        <w:ind w:left="558" w:right="73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44</w:t>
      </w:r>
      <w:r>
        <w:rPr>
          <w:rFonts w:ascii="宋体" w:hAnsi="宋体" w:cs="宋体" w:eastAsia="宋体" w:hint="default"/>
          <w:b/>
          <w:bCs/>
          <w:sz w:val="21"/>
          <w:szCs w:val="21"/>
        </w:rPr>
        <w:t>、长期应付款</w:t>
      </w:r>
      <w:r>
        <w:rPr>
          <w:rFonts w:ascii="宋体" w:hAnsi="宋体" w:cs="宋体" w:eastAsia="宋体" w:hint="default"/>
          <w:b/>
          <w:bCs/>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、专项应付款</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before="95"/>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、其他非流动负债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4565"/>
        <w:gridCol w:w="2268"/>
        <w:gridCol w:w="1916"/>
      </w:tblGrid>
      <w:tr>
        <w:trPr>
          <w:trHeight w:val="322" w:hRule="exact"/>
        </w:trPr>
        <w:tc>
          <w:tcPr>
            <w:tcW w:w="4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97"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2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4" w:hRule="exact"/>
        </w:trPr>
        <w:tc>
          <w:tcPr>
            <w:tcW w:w="456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卫星及应用产业发展项目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3,000,000.00</w:t>
            </w:r>
            <w:r>
              <w:rPr>
                <w:rFonts w:ascii="Arial Narrow"/>
                <w:sz w:val="21"/>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w w:val="100"/>
                <w:sz w:val="21"/>
              </w:rPr>
              <w:t>-</w:t>
            </w:r>
          </w:p>
        </w:tc>
      </w:tr>
      <w:tr>
        <w:trPr>
          <w:trHeight w:val="634" w:hRule="exact"/>
        </w:trPr>
        <w:tc>
          <w:tcPr>
            <w:tcW w:w="456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23" w:right="201"/>
              <w:jc w:val="left"/>
              <w:rPr>
                <w:rFonts w:ascii="宋体" w:hAnsi="宋体" w:cs="宋体" w:eastAsia="宋体" w:hint="default"/>
                <w:sz w:val="21"/>
                <w:szCs w:val="21"/>
              </w:rPr>
            </w:pPr>
            <w:r>
              <w:rPr>
                <w:rFonts w:ascii="Calibri" w:hAnsi="Calibri" w:cs="Calibri" w:eastAsia="Calibri" w:hint="default"/>
                <w:sz w:val="21"/>
                <w:szCs w:val="21"/>
              </w:rPr>
              <w:t>GIS</w:t>
            </w:r>
            <w:r>
              <w:rPr>
                <w:rFonts w:ascii="Calibri" w:hAnsi="Calibri" w:cs="Calibri" w:eastAsia="Calibri" w:hint="default"/>
                <w:spacing w:val="2"/>
                <w:sz w:val="21"/>
                <w:szCs w:val="21"/>
              </w:rPr>
              <w:t> </w:t>
            </w:r>
            <w:r>
              <w:rPr>
                <w:rFonts w:ascii="宋体" w:hAnsi="宋体" w:cs="宋体" w:eastAsia="宋体" w:hint="default"/>
                <w:sz w:val="21"/>
                <w:szCs w:val="21"/>
              </w:rPr>
              <w:t>云计算服务平台关键技术北京市工程试验室</w:t>
            </w:r>
            <w:r>
              <w:rPr>
                <w:rFonts w:ascii="宋体" w:hAnsi="宋体" w:cs="宋体" w:eastAsia="宋体" w:hint="default"/>
                <w:w w:val="100"/>
                <w:sz w:val="21"/>
                <w:szCs w:val="21"/>
              </w:rPr>
              <w:t> </w:t>
            </w:r>
            <w:r>
              <w:rPr>
                <w:rFonts w:ascii="宋体" w:hAnsi="宋体" w:cs="宋体" w:eastAsia="宋体" w:hint="default"/>
                <w:sz w:val="21"/>
                <w:szCs w:val="21"/>
              </w:rPr>
              <w:t>创新能力建设项目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0"/>
              <w:jc w:val="right"/>
              <w:rPr>
                <w:rFonts w:ascii="Arial Narrow" w:hAnsi="Arial Narrow" w:cs="Arial Narrow" w:eastAsia="Arial Narrow" w:hint="default"/>
                <w:sz w:val="21"/>
                <w:szCs w:val="21"/>
              </w:rPr>
            </w:pPr>
            <w:r>
              <w:rPr>
                <w:rFonts w:ascii="Arial Narrow"/>
                <w:spacing w:val="-1"/>
                <w:sz w:val="21"/>
              </w:rPr>
              <w:t>2,854,620.00</w:t>
            </w:r>
            <w:r>
              <w:rPr>
                <w:rFonts w:ascii="Arial Narrow"/>
                <w:sz w:val="21"/>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r>
      <w:tr>
        <w:trPr>
          <w:trHeight w:val="322" w:hRule="exact"/>
        </w:trPr>
        <w:tc>
          <w:tcPr>
            <w:tcW w:w="4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5,854,620.00</w:t>
            </w:r>
            <w:r>
              <w:rPr>
                <w:rFonts w:ascii="Arial Narrow"/>
                <w:sz w:val="21"/>
              </w:rPr>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2" w:lineRule="exact" w:before="110"/>
        <w:ind w:right="154"/>
        <w:jc w:val="both"/>
      </w:pPr>
      <w:r>
        <w:rPr>
          <w:spacing w:val="-2"/>
        </w:rPr>
        <w:t>其他非流动负债说明：（</w:t>
      </w:r>
      <w:r>
        <w:rPr>
          <w:rFonts w:ascii="宋体" w:hAnsi="宋体" w:cs="宋体" w:eastAsia="宋体" w:hint="default"/>
          <w:spacing w:val="-2"/>
        </w:rPr>
        <w:t>1</w:t>
      </w:r>
      <w:r>
        <w:rPr>
          <w:spacing w:val="-2"/>
        </w:rPr>
        <w:t>）本公司申报卫星及应用产业发展专项中央补助资金收到</w:t>
      </w:r>
      <w:r>
        <w:rPr>
          <w:spacing w:val="-116"/>
        </w:rPr>
        <w:t> </w:t>
      </w:r>
      <w:r>
        <w:rPr>
          <w:spacing w:val="-116"/>
        </w:rPr>
      </w:r>
      <w:r>
        <w:rPr>
          <w:spacing w:val="-5"/>
        </w:rPr>
        <w:t>北京市朝阳区财政局专项拨款</w:t>
      </w:r>
      <w:r>
        <w:rPr>
          <w:rFonts w:ascii="宋体" w:hAnsi="宋体" w:cs="宋体" w:eastAsia="宋体" w:hint="default"/>
          <w:spacing w:val="-5"/>
        </w:rPr>
        <w:t>3,600,000.00</w:t>
      </w:r>
      <w:r>
        <w:rPr>
          <w:spacing w:val="-5"/>
        </w:rPr>
        <w:t>元，计入递延收益，在项目研发期间</w:t>
      </w:r>
      <w:r>
        <w:rPr>
          <w:rFonts w:ascii="宋体" w:hAnsi="宋体" w:cs="宋体" w:eastAsia="宋体" w:hint="default"/>
          <w:spacing w:val="-5"/>
        </w:rPr>
        <w:t>2012</w:t>
      </w:r>
      <w:r>
        <w:rPr>
          <w:rFonts w:ascii="宋体" w:hAnsi="宋体" w:cs="宋体" w:eastAsia="宋体" w:hint="default"/>
          <w:spacing w:val="-86"/>
        </w:rPr>
        <w:t> </w:t>
      </w:r>
      <w:r>
        <w:rPr/>
        <w:t>年</w:t>
      </w:r>
      <w:r>
        <w:rPr>
          <w:rFonts w:ascii="宋体" w:hAnsi="宋体" w:cs="宋体" w:eastAsia="宋体" w:hint="default"/>
        </w:rPr>
        <w:t>7</w:t>
      </w:r>
      <w:r>
        <w:rPr/>
        <w:t>月至</w:t>
      </w:r>
      <w:r>
        <w:rPr>
          <w:rFonts w:ascii="宋体" w:hAnsi="宋体" w:cs="宋体" w:eastAsia="宋体" w:hint="default"/>
        </w:rPr>
        <w:t>2015</w:t>
      </w:r>
      <w:r>
        <w:rPr/>
        <w:t>年</w:t>
      </w:r>
      <w:r>
        <w:rPr>
          <w:rFonts w:ascii="宋体" w:hAnsi="宋体" w:cs="宋体" w:eastAsia="宋体" w:hint="default"/>
        </w:rPr>
        <w:t>6</w:t>
      </w:r>
      <w:r>
        <w:rPr/>
        <w:t>月分期计入营业外收入。</w:t>
      </w:r>
    </w:p>
    <w:p>
      <w:pPr>
        <w:spacing w:line="240" w:lineRule="auto" w:before="7"/>
        <w:rPr>
          <w:rFonts w:ascii="宋体" w:hAnsi="宋体" w:cs="宋体" w:eastAsia="宋体" w:hint="default"/>
          <w:sz w:val="16"/>
          <w:szCs w:val="16"/>
        </w:rPr>
      </w:pPr>
    </w:p>
    <w:p>
      <w:pPr>
        <w:pStyle w:val="BodyText"/>
        <w:spacing w:line="312" w:lineRule="exact"/>
        <w:ind w:right="156"/>
        <w:jc w:val="both"/>
      </w:pPr>
      <w:r>
        <w:rPr/>
        <w:t>（</w:t>
      </w:r>
      <w:r>
        <w:rPr>
          <w:rFonts w:ascii="宋体" w:hAnsi="宋体" w:cs="宋体" w:eastAsia="宋体" w:hint="default"/>
        </w:rPr>
        <w:t>2</w:t>
      </w:r>
      <w:r>
        <w:rPr/>
        <w:t>）本公司因承担</w:t>
      </w:r>
      <w:r>
        <w:rPr>
          <w:rFonts w:ascii="宋体" w:hAnsi="宋体" w:cs="宋体" w:eastAsia="宋体" w:hint="default"/>
        </w:rPr>
        <w:t>GIS</w:t>
      </w:r>
      <w:r>
        <w:rPr/>
        <w:t>云计算服务平台关键技术北京市工程试验室创新能力建设项</w:t>
      </w:r>
      <w:r>
        <w:rPr>
          <w:spacing w:val="-77"/>
        </w:rPr>
        <w:t> </w:t>
      </w:r>
      <w:r>
        <w:rPr>
          <w:spacing w:val="-77"/>
        </w:rPr>
      </w:r>
      <w:r>
        <w:rPr/>
        <w:t>目收到北京市朝阳区财政局专项拨款</w:t>
      </w:r>
      <w:r>
        <w:rPr>
          <w:rFonts w:ascii="宋体" w:hAnsi="宋体" w:cs="宋体" w:eastAsia="宋体" w:hint="default"/>
        </w:rPr>
        <w:t>4,850,000.00</w:t>
      </w:r>
      <w:r>
        <w:rPr/>
        <w:t>元，该项资金用于购买项目的相</w:t>
      </w:r>
      <w:r>
        <w:rPr>
          <w:spacing w:val="-75"/>
        </w:rPr>
        <w:t> </w:t>
      </w:r>
      <w:r>
        <w:rPr>
          <w:spacing w:val="-75"/>
        </w:rPr>
      </w:r>
      <w:r>
        <w:rPr/>
        <w:t>关资产，包括固定资产、软件等，在实际收到资金时计入递延收益并在相关资产使</w:t>
      </w:r>
      <w:r>
        <w:rPr>
          <w:spacing w:val="-77"/>
        </w:rPr>
        <w:t> </w:t>
      </w:r>
      <w:r>
        <w:rPr>
          <w:spacing w:val="-77"/>
        </w:rPr>
      </w:r>
      <w:r>
        <w:rPr/>
        <w:t>用期限内平均分配计入营业外收入。</w:t>
      </w:r>
    </w:p>
    <w:p>
      <w:pPr>
        <w:spacing w:after="0" w:line="312" w:lineRule="exact"/>
        <w:jc w:val="both"/>
        <w:sectPr>
          <w:pgSz w:w="11910" w:h="16840"/>
          <w:pgMar w:header="884" w:footer="1007" w:top="1160" w:bottom="1200" w:left="1240" w:right="1260"/>
        </w:sectPr>
      </w:pPr>
    </w:p>
    <w:p>
      <w:pPr>
        <w:spacing w:line="240" w:lineRule="auto" w:before="4"/>
        <w:rPr>
          <w:rFonts w:ascii="宋体" w:hAnsi="宋体" w:cs="宋体" w:eastAsia="宋体" w:hint="default"/>
          <w:sz w:val="16"/>
          <w:szCs w:val="16"/>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984"/>
        <w:gridCol w:w="1384"/>
        <w:gridCol w:w="997"/>
        <w:gridCol w:w="1007"/>
        <w:gridCol w:w="975"/>
        <w:gridCol w:w="1009"/>
        <w:gridCol w:w="997"/>
        <w:gridCol w:w="1385"/>
      </w:tblGrid>
      <w:tr>
        <w:trPr>
          <w:trHeight w:val="319" w:hRule="exact"/>
        </w:trPr>
        <w:tc>
          <w:tcPr>
            <w:tcW w:w="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4" w:type="dxa"/>
            <w:tcBorders>
              <w:top w:val="single" w:sz="4" w:space="0" w:color="000000"/>
              <w:left w:val="single" w:sz="4" w:space="0" w:color="000000"/>
              <w:bottom w:val="nil" w:sz="6" w:space="0" w:color="auto"/>
              <w:right w:val="single" w:sz="4" w:space="0" w:color="000000"/>
            </w:tcBorders>
            <w:shd w:val="clear" w:color="auto" w:fill="D2D2D2"/>
          </w:tcPr>
          <w:p>
            <w:pPr/>
          </w:p>
        </w:tc>
        <w:tc>
          <w:tcPr>
            <w:tcW w:w="498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325" w:right="0"/>
              <w:jc w:val="left"/>
              <w:rPr>
                <w:rFonts w:ascii="宋体" w:hAnsi="宋体" w:cs="宋体" w:eastAsia="宋体" w:hint="default"/>
                <w:sz w:val="21"/>
                <w:szCs w:val="21"/>
              </w:rPr>
            </w:pPr>
            <w:r>
              <w:rPr>
                <w:rFonts w:ascii="宋体" w:hAnsi="宋体" w:cs="宋体" w:eastAsia="宋体" w:hint="default"/>
                <w:b/>
                <w:bCs/>
                <w:sz w:val="21"/>
                <w:szCs w:val="21"/>
              </w:rPr>
              <w:t>本期变动增减（＋、－）</w:t>
            </w:r>
            <w:r>
              <w:rPr>
                <w:rFonts w:ascii="宋体" w:hAnsi="宋体" w:cs="宋体" w:eastAsia="宋体" w:hint="default"/>
                <w:sz w:val="21"/>
                <w:szCs w:val="21"/>
              </w:rPr>
            </w:r>
          </w:p>
        </w:tc>
        <w:tc>
          <w:tcPr>
            <w:tcW w:w="13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3" w:hRule="exact"/>
        </w:trPr>
        <w:tc>
          <w:tcPr>
            <w:tcW w:w="984" w:type="dxa"/>
            <w:vMerge w:val="restart"/>
            <w:tcBorders>
              <w:top w:val="nil" w:sz="6" w:space="0" w:color="auto"/>
              <w:left w:val="single" w:sz="4" w:space="0" w:color="000000"/>
              <w:right w:val="single" w:sz="4" w:space="0" w:color="000000"/>
            </w:tcBorders>
            <w:shd w:val="clear" w:color="auto" w:fill="D2D2D2"/>
          </w:tcPr>
          <w:p>
            <w:pPr/>
          </w:p>
        </w:tc>
        <w:tc>
          <w:tcPr>
            <w:tcW w:w="1384"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left="369"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9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7"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375" w:right="59" w:hanging="318"/>
              <w:jc w:val="left"/>
              <w:rPr>
                <w:rFonts w:ascii="宋体" w:hAnsi="宋体" w:cs="宋体" w:eastAsia="宋体" w:hint="default"/>
                <w:sz w:val="21"/>
                <w:szCs w:val="21"/>
              </w:rPr>
            </w:pPr>
            <w:r>
              <w:rPr>
                <w:rFonts w:ascii="宋体" w:hAnsi="宋体" w:cs="宋体" w:eastAsia="宋体" w:hint="default"/>
                <w:b/>
                <w:bCs/>
                <w:sz w:val="21"/>
                <w:szCs w:val="21"/>
              </w:rPr>
              <w:t>公积金转</w:t>
            </w:r>
            <w:r>
              <w:rPr>
                <w:rFonts w:ascii="宋体" w:hAnsi="宋体" w:cs="宋体" w:eastAsia="宋体" w:hint="default"/>
                <w:b/>
                <w:bCs/>
                <w:w w:val="100"/>
                <w:sz w:val="21"/>
                <w:szCs w:val="21"/>
              </w:rPr>
              <w:t> </w:t>
            </w:r>
            <w:r>
              <w:rPr>
                <w:rFonts w:ascii="宋体" w:hAnsi="宋体" w:cs="宋体" w:eastAsia="宋体" w:hint="default"/>
                <w:b/>
                <w:bCs/>
                <w:sz w:val="21"/>
                <w:szCs w:val="21"/>
              </w:rPr>
              <w:t>股</w:t>
            </w:r>
            <w:r>
              <w:rPr>
                <w:rFonts w:ascii="宋体" w:hAnsi="宋体" w:cs="宋体" w:eastAsia="宋体" w:hint="default"/>
                <w:sz w:val="21"/>
                <w:szCs w:val="21"/>
              </w:rPr>
            </w:r>
          </w:p>
        </w:tc>
        <w:tc>
          <w:tcPr>
            <w:tcW w:w="1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5" w:type="dxa"/>
            <w:vMerge w:val="restart"/>
            <w:tcBorders>
              <w:top w:val="nil" w:sz="6" w:space="0" w:color="auto"/>
              <w:left w:val="single" w:sz="4" w:space="0" w:color="000000"/>
              <w:right w:val="single" w:sz="4" w:space="0" w:color="000000"/>
            </w:tcBorders>
            <w:shd w:val="clear" w:color="auto" w:fill="D2D2D2"/>
          </w:tcPr>
          <w:p>
            <w:pPr>
              <w:pStyle w:val="TableParagraph"/>
              <w:spacing w:line="265" w:lineRule="exact"/>
              <w:ind w:left="369"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151" w:hRule="exact"/>
        </w:trPr>
        <w:tc>
          <w:tcPr>
            <w:tcW w:w="984" w:type="dxa"/>
            <w:vMerge/>
            <w:tcBorders>
              <w:left w:val="single" w:sz="4" w:space="0" w:color="000000"/>
              <w:bottom w:val="nil" w:sz="6" w:space="0" w:color="auto"/>
              <w:right w:val="single" w:sz="4" w:space="0" w:color="000000"/>
            </w:tcBorders>
            <w:shd w:val="clear" w:color="auto" w:fill="D2D2D2"/>
          </w:tcPr>
          <w:p>
            <w:pPr/>
          </w:p>
        </w:tc>
        <w:tc>
          <w:tcPr>
            <w:tcW w:w="1384" w:type="dxa"/>
            <w:vMerge/>
            <w:tcBorders>
              <w:left w:val="single" w:sz="4" w:space="0" w:color="000000"/>
              <w:bottom w:val="nil" w:sz="6" w:space="0" w:color="auto"/>
              <w:right w:val="single" w:sz="4" w:space="0" w:color="000000"/>
            </w:tcBorders>
            <w:shd w:val="clear" w:color="auto" w:fill="D2D2D2"/>
          </w:tcPr>
          <w:p>
            <w:pPr/>
          </w:p>
        </w:tc>
        <w:tc>
          <w:tcPr>
            <w:tcW w:w="997"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70" w:right="0"/>
              <w:jc w:val="left"/>
              <w:rPr>
                <w:rFonts w:ascii="宋体" w:hAnsi="宋体" w:cs="宋体" w:eastAsia="宋体" w:hint="default"/>
                <w:sz w:val="21"/>
                <w:szCs w:val="21"/>
              </w:rPr>
            </w:pPr>
            <w:r>
              <w:rPr>
                <w:rFonts w:ascii="宋体" w:hAnsi="宋体" w:cs="宋体" w:eastAsia="宋体" w:hint="default"/>
                <w:b/>
                <w:bCs/>
                <w:sz w:val="21"/>
                <w:szCs w:val="21"/>
              </w:rPr>
              <w:t>发行新股</w:t>
            </w:r>
            <w:r>
              <w:rPr>
                <w:rFonts w:ascii="宋体" w:hAnsi="宋体" w:cs="宋体" w:eastAsia="宋体" w:hint="default"/>
                <w:sz w:val="21"/>
                <w:szCs w:val="21"/>
              </w:rPr>
            </w:r>
          </w:p>
        </w:tc>
        <w:tc>
          <w:tcPr>
            <w:tcW w:w="1007"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送股</w:t>
            </w:r>
            <w:r>
              <w:rPr>
                <w:rFonts w:ascii="宋体" w:hAnsi="宋体" w:cs="宋体" w:eastAsia="宋体" w:hint="default"/>
                <w:sz w:val="21"/>
                <w:szCs w:val="21"/>
              </w:rPr>
            </w:r>
          </w:p>
        </w:tc>
        <w:tc>
          <w:tcPr>
            <w:tcW w:w="975" w:type="dxa"/>
            <w:vMerge/>
            <w:tcBorders>
              <w:left w:val="single" w:sz="4" w:space="0" w:color="000000"/>
              <w:right w:val="single" w:sz="4" w:space="0" w:color="000000"/>
            </w:tcBorders>
            <w:shd w:val="clear" w:color="auto" w:fill="D2D2D2"/>
          </w:tcPr>
          <w:p>
            <w:pPr/>
          </w:p>
        </w:tc>
        <w:tc>
          <w:tcPr>
            <w:tcW w:w="1009"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93" w:right="0"/>
              <w:jc w:val="left"/>
              <w:rPr>
                <w:rFonts w:ascii="宋体" w:hAnsi="宋体" w:cs="宋体" w:eastAsia="宋体" w:hint="default"/>
                <w:sz w:val="21"/>
                <w:szCs w:val="21"/>
              </w:rPr>
            </w:pPr>
            <w:r>
              <w:rPr>
                <w:rFonts w:ascii="宋体" w:hAnsi="宋体" w:cs="宋体" w:eastAsia="宋体" w:hint="default"/>
                <w:b/>
                <w:bCs/>
                <w:sz w:val="21"/>
                <w:szCs w:val="21"/>
              </w:rPr>
              <w:t>其他</w:t>
            </w:r>
            <w:r>
              <w:rPr>
                <w:rFonts w:ascii="宋体" w:hAnsi="宋体" w:cs="宋体" w:eastAsia="宋体" w:hint="default"/>
                <w:sz w:val="21"/>
                <w:szCs w:val="21"/>
              </w:rPr>
            </w:r>
          </w:p>
        </w:tc>
        <w:tc>
          <w:tcPr>
            <w:tcW w:w="997"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小计</w:t>
            </w:r>
            <w:r>
              <w:rPr>
                <w:rFonts w:ascii="宋体" w:hAnsi="宋体" w:cs="宋体" w:eastAsia="宋体" w:hint="default"/>
                <w:sz w:val="21"/>
                <w:szCs w:val="21"/>
              </w:rPr>
            </w:r>
          </w:p>
        </w:tc>
        <w:tc>
          <w:tcPr>
            <w:tcW w:w="13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84" w:type="dxa"/>
            <w:vMerge w:val="restart"/>
            <w:tcBorders>
              <w:top w:val="nil" w:sz="6" w:space="0" w:color="auto"/>
              <w:left w:val="single" w:sz="4" w:space="0" w:color="000000"/>
              <w:right w:val="single" w:sz="4" w:space="0" w:color="000000"/>
            </w:tcBorders>
            <w:shd w:val="clear" w:color="auto" w:fill="D2D2D2"/>
          </w:tcPr>
          <w:p>
            <w:pPr/>
          </w:p>
        </w:tc>
        <w:tc>
          <w:tcPr>
            <w:tcW w:w="1384" w:type="dxa"/>
            <w:vMerge w:val="restart"/>
            <w:tcBorders>
              <w:top w:val="nil" w:sz="6" w:space="0" w:color="auto"/>
              <w:left w:val="single" w:sz="4" w:space="0" w:color="000000"/>
              <w:right w:val="single" w:sz="4" w:space="0" w:color="000000"/>
            </w:tcBorders>
            <w:shd w:val="clear" w:color="auto" w:fill="D2D2D2"/>
          </w:tcPr>
          <w:p>
            <w:pPr/>
          </w:p>
        </w:tc>
        <w:tc>
          <w:tcPr>
            <w:tcW w:w="997" w:type="dxa"/>
            <w:vMerge/>
            <w:tcBorders>
              <w:left w:val="single" w:sz="4" w:space="0" w:color="000000"/>
              <w:bottom w:val="nil" w:sz="6" w:space="0" w:color="auto"/>
              <w:right w:val="single" w:sz="4" w:space="0" w:color="000000"/>
            </w:tcBorders>
            <w:shd w:val="clear" w:color="auto" w:fill="D2D2D2"/>
          </w:tcPr>
          <w:p>
            <w:pPr/>
          </w:p>
        </w:tc>
        <w:tc>
          <w:tcPr>
            <w:tcW w:w="1007"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1009" w:type="dxa"/>
            <w:vMerge/>
            <w:tcBorders>
              <w:left w:val="single" w:sz="4" w:space="0" w:color="000000"/>
              <w:bottom w:val="nil" w:sz="6" w:space="0" w:color="auto"/>
              <w:right w:val="single" w:sz="4" w:space="0" w:color="000000"/>
            </w:tcBorders>
            <w:shd w:val="clear" w:color="auto" w:fill="D2D2D2"/>
          </w:tcPr>
          <w:p>
            <w:pPr/>
          </w:p>
        </w:tc>
        <w:tc>
          <w:tcPr>
            <w:tcW w:w="997" w:type="dxa"/>
            <w:vMerge/>
            <w:tcBorders>
              <w:left w:val="single" w:sz="4" w:space="0" w:color="000000"/>
              <w:bottom w:val="nil" w:sz="6" w:space="0" w:color="auto"/>
              <w:right w:val="single" w:sz="4" w:space="0" w:color="000000"/>
            </w:tcBorders>
            <w:shd w:val="clear" w:color="auto" w:fill="D2D2D2"/>
          </w:tcPr>
          <w:p>
            <w:pPr/>
          </w:p>
        </w:tc>
        <w:tc>
          <w:tcPr>
            <w:tcW w:w="1385"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984" w:type="dxa"/>
            <w:vMerge/>
            <w:tcBorders>
              <w:left w:val="single" w:sz="4" w:space="0" w:color="000000"/>
              <w:bottom w:val="single" w:sz="4" w:space="0" w:color="000000"/>
              <w:right w:val="single" w:sz="4" w:space="0" w:color="000000"/>
            </w:tcBorders>
            <w:shd w:val="clear" w:color="auto" w:fill="D2D2D2"/>
          </w:tcPr>
          <w:p>
            <w:pPr/>
          </w:p>
        </w:tc>
        <w:tc>
          <w:tcPr>
            <w:tcW w:w="1384" w:type="dxa"/>
            <w:vMerge/>
            <w:tcBorders>
              <w:left w:val="single" w:sz="4" w:space="0" w:color="000000"/>
              <w:bottom w:val="single" w:sz="4" w:space="0" w:color="000000"/>
              <w:right w:val="single" w:sz="4" w:space="0" w:color="000000"/>
            </w:tcBorders>
            <w:shd w:val="clear" w:color="auto" w:fill="D2D2D2"/>
          </w:tcPr>
          <w:p>
            <w:pPr/>
          </w:p>
        </w:tc>
        <w:tc>
          <w:tcPr>
            <w:tcW w:w="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7"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10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3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left="11" w:right="0"/>
              <w:jc w:val="left"/>
              <w:rPr>
                <w:rFonts w:ascii="Calibri" w:hAnsi="Calibri" w:cs="Calibri" w:eastAsia="Calibri" w:hint="default"/>
                <w:sz w:val="21"/>
                <w:szCs w:val="21"/>
              </w:rPr>
            </w:pPr>
            <w:r>
              <w:rPr>
                <w:rFonts w:ascii="Calibri"/>
                <w:sz w:val="21"/>
              </w:rPr>
              <w:t>120,000,000.00</w:t>
            </w:r>
          </w:p>
        </w:tc>
        <w:tc>
          <w:tcPr>
            <w:tcW w:w="997" w:type="dxa"/>
            <w:tcBorders>
              <w:top w:val="single" w:sz="4" w:space="0" w:color="000000"/>
              <w:left w:val="single" w:sz="4" w:space="0" w:color="000000"/>
              <w:bottom w:val="single" w:sz="4" w:space="0" w:color="000000"/>
              <w:right w:val="single" w:sz="4" w:space="0" w:color="000000"/>
            </w:tcBorders>
          </w:tcPr>
          <w:p>
            <w:pPr/>
          </w:p>
        </w:tc>
        <w:tc>
          <w:tcPr>
            <w:tcW w:w="1007" w:type="dxa"/>
            <w:tcBorders>
              <w:top w:val="single" w:sz="4" w:space="0" w:color="000000"/>
              <w:left w:val="single" w:sz="4" w:space="0" w:color="000000"/>
              <w:bottom w:val="single" w:sz="4" w:space="0" w:color="000000"/>
              <w:right w:val="single" w:sz="4" w:space="0" w:color="000000"/>
            </w:tcBorders>
          </w:tcPr>
          <w:p>
            <w:pPr/>
          </w:p>
        </w:tc>
        <w:tc>
          <w:tcPr>
            <w:tcW w:w="975"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997"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3" w:right="0"/>
              <w:jc w:val="left"/>
              <w:rPr>
                <w:rFonts w:ascii="Calibri" w:hAnsi="Calibri" w:cs="Calibri" w:eastAsia="Calibri" w:hint="default"/>
                <w:sz w:val="21"/>
                <w:szCs w:val="21"/>
              </w:rPr>
            </w:pPr>
            <w:r>
              <w:rPr>
                <w:rFonts w:ascii="Calibri"/>
                <w:sz w:val="21"/>
              </w:rPr>
              <w:t>120,000,000.00</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股本变动情况说明：无变动。</w:t>
      </w:r>
    </w:p>
    <w:p>
      <w:pPr>
        <w:spacing w:line="240" w:lineRule="auto" w:before="10"/>
        <w:rPr>
          <w:rFonts w:ascii="宋体" w:hAnsi="宋体" w:cs="宋体" w:eastAsia="宋体" w:hint="default"/>
          <w:sz w:val="25"/>
          <w:szCs w:val="25"/>
        </w:rPr>
      </w:pPr>
    </w:p>
    <w:p>
      <w:pPr>
        <w:spacing w:line="508" w:lineRule="auto" w:before="0"/>
        <w:ind w:left="558" w:right="777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、库存股</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520" w:lineRule="auto" w:before="102"/>
        <w:ind w:left="558" w:right="756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、专项储备</w:t>
      </w:r>
      <w:r>
        <w:rPr>
          <w:rFonts w:ascii="宋体" w:hAnsi="宋体" w:cs="宋体" w:eastAsia="宋体" w:hint="default"/>
          <w:b/>
          <w:bCs/>
          <w:w w:val="100"/>
          <w:sz w:val="21"/>
          <w:szCs w:val="21"/>
        </w:rPr>
        <w:t> </w:t>
      </w: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、资本公积</w:t>
      </w:r>
      <w:r>
        <w:rPr>
          <w:rFonts w:ascii="宋体" w:hAnsi="宋体" w:cs="宋体" w:eastAsia="宋体" w:hint="default"/>
          <w:sz w:val="21"/>
          <w:szCs w:val="21"/>
        </w:rPr>
      </w:r>
    </w:p>
    <w:p>
      <w:pPr>
        <w:spacing w:before="51"/>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178"/>
        <w:gridCol w:w="1712"/>
        <w:gridCol w:w="1822"/>
        <w:gridCol w:w="1580"/>
        <w:gridCol w:w="1457"/>
      </w:tblGrid>
      <w:tr>
        <w:trPr>
          <w:trHeight w:val="32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38"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82"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05"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2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307,160,195.83</w:t>
            </w:r>
            <w:r>
              <w:rPr>
                <w:rFonts w:ascii="Arial Narrow"/>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Narrow" w:hAnsi="Arial Narrow" w:cs="Arial Narrow" w:eastAsia="Arial Narrow" w:hint="default"/>
                <w:sz w:val="21"/>
                <w:szCs w:val="21"/>
              </w:rPr>
            </w:pPr>
            <w:r>
              <w:rPr>
                <w:rFonts w:ascii="Arial Narrow"/>
                <w:w w:val="100"/>
                <w:sz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Narrow" w:hAnsi="Arial Narrow" w:cs="Arial Narrow" w:eastAsia="Arial Narrow" w:hint="default"/>
                <w:sz w:val="21"/>
                <w:szCs w:val="21"/>
              </w:rPr>
            </w:pPr>
            <w:r>
              <w:rPr>
                <w:rFonts w:ascii="Arial Narrow"/>
                <w:w w:val="100"/>
                <w:sz w:val="21"/>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307,160,195.83</w:t>
            </w:r>
            <w:r>
              <w:rPr>
                <w:rFonts w:ascii="Arial Narrow"/>
                <w:sz w:val="21"/>
              </w:rPr>
            </w:r>
          </w:p>
        </w:tc>
      </w:tr>
      <w:tr>
        <w:trPr>
          <w:trHeight w:val="32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5,720,638.29</w:t>
            </w:r>
            <w:r>
              <w:rPr>
                <w:rFonts w:ascii="Arial Narrow"/>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11,675,090.11</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290,880.00</w:t>
            </w:r>
            <w:r>
              <w:rPr>
                <w:rFonts w:ascii="Arial Narrow"/>
                <w:sz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17,104,848.40</w:t>
            </w:r>
            <w:r>
              <w:rPr>
                <w:rFonts w:ascii="Arial Narrow"/>
                <w:sz w:val="21"/>
              </w:rPr>
            </w:r>
          </w:p>
        </w:tc>
      </w:tr>
      <w:tr>
        <w:trPr>
          <w:trHeight w:val="324"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312,880,834.12</w:t>
            </w:r>
            <w:r>
              <w:rPr>
                <w:rFonts w:ascii="Arial Narrow"/>
                <w:sz w:val="21"/>
              </w:rPr>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11,675,090.11</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290,880.00</w:t>
            </w:r>
            <w:r>
              <w:rPr>
                <w:rFonts w:ascii="Arial Narrow"/>
                <w:sz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324,265,044.23</w:t>
            </w:r>
            <w:r>
              <w:rPr>
                <w:rFonts w:ascii="Arial Narrow"/>
                <w:sz w:val="21"/>
              </w:rPr>
            </w:r>
          </w:p>
        </w:tc>
      </w:tr>
    </w:tbl>
    <w:p>
      <w:pPr>
        <w:pStyle w:val="BodyText"/>
        <w:spacing w:line="312" w:lineRule="exact" w:before="110"/>
        <w:ind w:right="152"/>
        <w:jc w:val="both"/>
      </w:pPr>
      <w:r>
        <w:rPr>
          <w:spacing w:val="-2"/>
        </w:rPr>
        <w:t>资本公积说明：（</w:t>
      </w:r>
      <w:r>
        <w:rPr>
          <w:rFonts w:ascii="宋体" w:hAnsi="宋体" w:cs="宋体" w:eastAsia="宋体" w:hint="default"/>
          <w:spacing w:val="-2"/>
        </w:rPr>
        <w:t>1</w:t>
      </w:r>
      <w:r>
        <w:rPr>
          <w:spacing w:val="-2"/>
        </w:rPr>
        <w:t>）其他资本公积本年增加：其中</w:t>
      </w:r>
      <w:r>
        <w:rPr>
          <w:rFonts w:ascii="宋体" w:hAnsi="宋体" w:cs="宋体" w:eastAsia="宋体" w:hint="default"/>
          <w:spacing w:val="-2"/>
        </w:rPr>
        <w:t>2,000,000.00</w:t>
      </w:r>
      <w:r>
        <w:rPr>
          <w:spacing w:val="-2"/>
        </w:rPr>
        <w:t>元系收到的北京市</w:t>
      </w:r>
      <w:r>
        <w:rPr>
          <w:spacing w:val="-102"/>
        </w:rPr>
        <w:t> </w:t>
      </w:r>
      <w:r>
        <w:rPr/>
        <w:t>高新技术成果转化服务中心资助款，根据拨款单位对会计处理的限定计入资本公积</w:t>
      </w:r>
      <w:r>
        <w:rPr>
          <w:spacing w:val="-77"/>
        </w:rPr>
        <w:t> </w:t>
      </w:r>
      <w:r>
        <w:rPr>
          <w:spacing w:val="-77"/>
        </w:rPr>
      </w:r>
      <w:r>
        <w:rPr/>
        <w:t>科目；</w:t>
      </w:r>
      <w:r>
        <w:rPr>
          <w:rFonts w:ascii="宋体" w:hAnsi="宋体" w:cs="宋体" w:eastAsia="宋体" w:hint="default"/>
        </w:rPr>
        <w:t>9,675,090.11</w:t>
      </w:r>
      <w:r>
        <w:rPr/>
        <w:t>元系股权激励摊销。</w:t>
      </w:r>
    </w:p>
    <w:p>
      <w:pPr>
        <w:pStyle w:val="BodyText"/>
        <w:spacing w:line="312" w:lineRule="exact" w:before="216"/>
        <w:ind w:right="155"/>
        <w:jc w:val="both"/>
      </w:pPr>
      <w:r>
        <w:rPr>
          <w:spacing w:val="-2"/>
        </w:rPr>
        <w:t>（</w:t>
      </w:r>
      <w:r>
        <w:rPr>
          <w:rFonts w:ascii="宋体" w:hAnsi="宋体" w:cs="宋体" w:eastAsia="宋体" w:hint="default"/>
          <w:spacing w:val="-2"/>
        </w:rPr>
        <w:t>2</w:t>
      </w:r>
      <w:r>
        <w:rPr>
          <w:spacing w:val="-2"/>
        </w:rPr>
        <w:t>）其他资本公积减少</w:t>
      </w:r>
      <w:r>
        <w:rPr>
          <w:rFonts w:ascii="宋体" w:hAnsi="宋体" w:cs="宋体" w:eastAsia="宋体" w:hint="default"/>
          <w:spacing w:val="-2"/>
        </w:rPr>
        <w:t>290,880.00</w:t>
      </w:r>
      <w:r>
        <w:rPr>
          <w:spacing w:val="-2"/>
        </w:rPr>
        <w:t>元系处置被投资单位北京国遥新天地信息技术有</w:t>
      </w:r>
      <w:r>
        <w:rPr>
          <w:spacing w:val="-107"/>
        </w:rPr>
        <w:t> </w:t>
      </w:r>
      <w:r>
        <w:rPr/>
        <w:t>限公司股权按处置投资比例将以前在资本公积中确认的利得结转至当期损益。</w:t>
      </w:r>
    </w:p>
    <w:p>
      <w:pPr>
        <w:spacing w:line="240" w:lineRule="auto" w:before="9"/>
        <w:rPr>
          <w:rFonts w:ascii="宋体" w:hAnsi="宋体" w:cs="宋体" w:eastAsia="宋体" w:hint="default"/>
          <w:sz w:val="22"/>
          <w:szCs w:val="22"/>
        </w:rPr>
      </w:pPr>
    </w:p>
    <w:p>
      <w:pPr>
        <w:spacing w:before="0"/>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178"/>
        <w:gridCol w:w="1712"/>
        <w:gridCol w:w="1822"/>
        <w:gridCol w:w="1580"/>
        <w:gridCol w:w="1457"/>
      </w:tblGrid>
      <w:tr>
        <w:trPr>
          <w:trHeight w:val="32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38"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82" w:right="0"/>
              <w:jc w:val="left"/>
              <w:rPr>
                <w:rFonts w:ascii="宋体" w:hAnsi="宋体" w:cs="宋体" w:eastAsia="宋体" w:hint="default"/>
                <w:sz w:val="21"/>
                <w:szCs w:val="21"/>
              </w:rPr>
            </w:pPr>
            <w:r>
              <w:rPr>
                <w:rFonts w:ascii="宋体" w:hAnsi="宋体" w:cs="宋体" w:eastAsia="宋体" w:hint="default"/>
                <w:b/>
                <w:bCs/>
                <w:sz w:val="21"/>
                <w:szCs w:val="21"/>
              </w:rPr>
              <w:t>本期增加</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本期减少</w:t>
            </w:r>
            <w:r>
              <w:rPr>
                <w:rFonts w:ascii="宋体" w:hAnsi="宋体" w:cs="宋体" w:eastAsia="宋体" w:hint="default"/>
                <w:sz w:val="21"/>
                <w:szCs w:val="21"/>
              </w:rPr>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05"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r>
      <w:tr>
        <w:trPr>
          <w:trHeight w:val="324"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6"/>
              <w:ind w:left="571" w:right="0"/>
              <w:jc w:val="left"/>
              <w:rPr>
                <w:rFonts w:ascii="Arial Narrow" w:hAnsi="Arial Narrow" w:cs="Arial Narrow" w:eastAsia="Arial Narrow" w:hint="default"/>
                <w:sz w:val="21"/>
                <w:szCs w:val="21"/>
              </w:rPr>
            </w:pPr>
            <w:r>
              <w:rPr>
                <w:rFonts w:ascii="Arial Narrow"/>
                <w:sz w:val="21"/>
              </w:rPr>
              <w:t>13,695,133.81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Arial Narrow" w:hAnsi="Arial Narrow" w:cs="Arial Narrow" w:eastAsia="Arial Narrow" w:hint="default"/>
                <w:sz w:val="21"/>
                <w:szCs w:val="21"/>
              </w:rPr>
            </w:pPr>
            <w:r>
              <w:rPr>
                <w:rFonts w:ascii="Arial Narrow"/>
                <w:spacing w:val="-1"/>
                <w:sz w:val="21"/>
              </w:rPr>
              <w:t>904,355.69</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w w:val="100"/>
                <w:sz w:val="21"/>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14,599,489.50</w:t>
            </w:r>
            <w:r>
              <w:rPr>
                <w:rFonts w:ascii="Arial Narrow"/>
                <w:sz w:val="21"/>
              </w:rPr>
            </w:r>
          </w:p>
        </w:tc>
      </w:tr>
      <w:tr>
        <w:trPr>
          <w:trHeight w:val="32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12" w:type="dxa"/>
            <w:tcBorders>
              <w:top w:val="single" w:sz="4" w:space="0" w:color="000000"/>
              <w:left w:val="single" w:sz="9" w:space="0" w:color="D2D2D2"/>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12" w:type="dxa"/>
            <w:tcBorders>
              <w:top w:val="single" w:sz="4" w:space="0" w:color="000000"/>
              <w:left w:val="single" w:sz="9" w:space="0" w:color="D2D2D2"/>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12" w:type="dxa"/>
            <w:tcBorders>
              <w:top w:val="single" w:sz="4" w:space="0" w:color="000000"/>
              <w:left w:val="single" w:sz="9" w:space="0" w:color="D2D2D2"/>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12" w:type="dxa"/>
            <w:tcBorders>
              <w:top w:val="single" w:sz="4" w:space="0" w:color="000000"/>
              <w:left w:val="single" w:sz="9" w:space="0" w:color="D2D2D2"/>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1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3"/>
              <w:ind w:left="571" w:right="0"/>
              <w:jc w:val="left"/>
              <w:rPr>
                <w:rFonts w:ascii="Arial Narrow" w:hAnsi="Arial Narrow" w:cs="Arial Narrow" w:eastAsia="Arial Narrow" w:hint="default"/>
                <w:sz w:val="21"/>
                <w:szCs w:val="21"/>
              </w:rPr>
            </w:pPr>
            <w:r>
              <w:rPr>
                <w:rFonts w:ascii="Arial Narrow"/>
                <w:sz w:val="21"/>
              </w:rPr>
              <w:t>13,695,133.81</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904,355.69</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14,599,489.50</w:t>
            </w:r>
            <w:r>
              <w:rPr>
                <w:rFonts w:ascii="Arial Narrow"/>
                <w:sz w:val="21"/>
              </w:rPr>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盈余公积说明：无</w:t>
      </w:r>
    </w:p>
    <w:p>
      <w:pPr>
        <w:spacing w:after="0" w:line="262" w:lineRule="exact"/>
        <w:jc w:val="left"/>
        <w:rPr>
          <w:rFonts w:ascii="宋体" w:hAnsi="宋体" w:cs="宋体" w:eastAsia="宋体" w:hint="default"/>
          <w:sz w:val="21"/>
          <w:szCs w:val="21"/>
        </w:rPr>
        <w:sectPr>
          <w:pgSz w:w="11910" w:h="16840"/>
          <w:pgMar w:header="884" w:footer="1007" w:top="1160" w:bottom="1200" w:left="1240" w:right="1260"/>
        </w:sectPr>
      </w:pPr>
    </w:p>
    <w:p>
      <w:pPr>
        <w:spacing w:line="240" w:lineRule="auto" w:before="4"/>
        <w:rPr>
          <w:rFonts w:ascii="宋体" w:hAnsi="宋体" w:cs="宋体" w:eastAsia="宋体" w:hint="default"/>
          <w:sz w:val="16"/>
          <w:szCs w:val="16"/>
        </w:rPr>
      </w:pPr>
    </w:p>
    <w:p>
      <w:pPr>
        <w:spacing w:line="506" w:lineRule="auto" w:before="36"/>
        <w:ind w:left="558" w:right="714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、一般风险准备</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before="104"/>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845"/>
        <w:gridCol w:w="2964"/>
        <w:gridCol w:w="1940"/>
      </w:tblGrid>
      <w:tr>
        <w:trPr>
          <w:trHeight w:val="322"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提取或分配比例</w:t>
            </w:r>
            <w:r>
              <w:rPr>
                <w:rFonts w:ascii="宋体" w:hAnsi="宋体" w:cs="宋体" w:eastAsia="宋体" w:hint="default"/>
                <w:sz w:val="21"/>
                <w:szCs w:val="21"/>
              </w:rPr>
            </w:r>
          </w:p>
        </w:tc>
      </w:tr>
      <w:tr>
        <w:trPr>
          <w:trHeight w:val="323"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2964"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33"/>
              <w:ind w:right="15"/>
              <w:jc w:val="right"/>
              <w:rPr>
                <w:rFonts w:ascii="Arial Narrow" w:hAnsi="Arial Narrow" w:cs="Arial Narrow" w:eastAsia="Arial Narrow" w:hint="default"/>
                <w:sz w:val="21"/>
                <w:szCs w:val="21"/>
              </w:rPr>
            </w:pPr>
            <w:r>
              <w:rPr>
                <w:rFonts w:ascii="Arial Narrow"/>
                <w:spacing w:val="-1"/>
                <w:sz w:val="21"/>
              </w:rPr>
              <w:t>100,593,534.60</w:t>
            </w:r>
            <w:r>
              <w:rPr>
                <w:rFonts w:ascii="Arial Narrow"/>
                <w:sz w:val="21"/>
              </w:rPr>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r>
      <w:tr>
        <w:trPr>
          <w:trHeight w:val="162" w:hRule="exact"/>
        </w:trPr>
        <w:tc>
          <w:tcPr>
            <w:tcW w:w="3845" w:type="dxa"/>
            <w:vMerge w:val="restart"/>
            <w:tcBorders>
              <w:top w:val="single" w:sz="4" w:space="0" w:color="000000"/>
              <w:left w:val="single" w:sz="4" w:space="0" w:color="000000"/>
              <w:right w:val="single" w:sz="4" w:space="0" w:color="000000"/>
            </w:tcBorders>
            <w:shd w:val="clear" w:color="auto" w:fill="D2D2D2"/>
          </w:tcPr>
          <w:p>
            <w:pPr>
              <w:pStyle w:val="TableParagraph"/>
              <w:spacing w:line="29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调整年初未分配利润合计数（调增</w:t>
            </w:r>
            <w:r>
              <w:rPr>
                <w:rFonts w:ascii="Calibri" w:hAnsi="Calibri" w:cs="Calibri" w:eastAsia="Calibri" w:hint="default"/>
                <w:spacing w:val="-6"/>
                <w:sz w:val="21"/>
                <w:szCs w:val="21"/>
              </w:rPr>
              <w:t>+</w:t>
            </w:r>
            <w:r>
              <w:rPr>
                <w:rFonts w:ascii="宋体" w:hAnsi="宋体" w:cs="宋体" w:eastAsia="宋体" w:hint="default"/>
                <w:spacing w:val="-6"/>
                <w:sz w:val="21"/>
                <w:szCs w:val="21"/>
              </w:rPr>
              <w:t>，调减</w:t>
            </w:r>
          </w:p>
          <w:p>
            <w:pPr>
              <w:pStyle w:val="TableParagraph"/>
              <w:spacing w:line="240" w:lineRule="auto" w:before="10"/>
              <w:ind w:left="23" w:right="0"/>
              <w:jc w:val="left"/>
              <w:rPr>
                <w:rFonts w:ascii="宋体" w:hAnsi="宋体" w:cs="宋体" w:eastAsia="宋体" w:hint="default"/>
                <w:sz w:val="21"/>
                <w:szCs w:val="21"/>
              </w:rPr>
            </w:pPr>
            <w:r>
              <w:rPr>
                <w:rFonts w:ascii="Calibri" w:hAnsi="Calibri" w:cs="Calibri" w:eastAsia="Calibri" w:hint="default"/>
                <w:sz w:val="21"/>
                <w:szCs w:val="21"/>
              </w:rPr>
              <w:t>-</w:t>
            </w:r>
            <w:r>
              <w:rPr>
                <w:rFonts w:ascii="宋体" w:hAnsi="宋体" w:cs="宋体" w:eastAsia="宋体" w:hint="default"/>
                <w:sz w:val="21"/>
                <w:szCs w:val="21"/>
              </w:rPr>
              <w:t>）</w:t>
            </w:r>
          </w:p>
        </w:tc>
        <w:tc>
          <w:tcPr>
            <w:tcW w:w="2964" w:type="dxa"/>
            <w:vMerge w:val="restart"/>
            <w:tcBorders>
              <w:top w:val="single" w:sz="4" w:space="0" w:color="000000"/>
              <w:left w:val="single" w:sz="10" w:space="0" w:color="D2D2D2"/>
              <w:right w:val="single" w:sz="10" w:space="0" w:color="D2D2D2"/>
            </w:tcBorders>
          </w:tcPr>
          <w:p>
            <w:pPr/>
          </w:p>
        </w:tc>
        <w:tc>
          <w:tcPr>
            <w:tcW w:w="194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3845" w:type="dxa"/>
            <w:vMerge/>
            <w:tcBorders>
              <w:left w:val="single" w:sz="4" w:space="0" w:color="000000"/>
              <w:right w:val="single" w:sz="4" w:space="0" w:color="000000"/>
            </w:tcBorders>
            <w:shd w:val="clear" w:color="auto" w:fill="D2D2D2"/>
          </w:tcPr>
          <w:p>
            <w:pPr/>
          </w:p>
        </w:tc>
        <w:tc>
          <w:tcPr>
            <w:tcW w:w="2964" w:type="dxa"/>
            <w:vMerge/>
            <w:tcBorders>
              <w:left w:val="single" w:sz="10" w:space="0" w:color="D2D2D2"/>
              <w:right w:val="single" w:sz="10" w:space="0" w:color="D2D2D2"/>
            </w:tcBorders>
          </w:tcPr>
          <w:p>
            <w:pPr/>
          </w:p>
        </w:tc>
        <w:tc>
          <w:tcPr>
            <w:tcW w:w="19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r>
      <w:tr>
        <w:trPr>
          <w:trHeight w:val="161" w:hRule="exact"/>
        </w:trPr>
        <w:tc>
          <w:tcPr>
            <w:tcW w:w="3845" w:type="dxa"/>
            <w:vMerge/>
            <w:tcBorders>
              <w:left w:val="single" w:sz="4" w:space="0" w:color="000000"/>
              <w:bottom w:val="single" w:sz="4" w:space="0" w:color="000000"/>
              <w:right w:val="single" w:sz="4" w:space="0" w:color="000000"/>
            </w:tcBorders>
            <w:shd w:val="clear" w:color="auto" w:fill="D2D2D2"/>
          </w:tcPr>
          <w:p>
            <w:pPr/>
          </w:p>
        </w:tc>
        <w:tc>
          <w:tcPr>
            <w:tcW w:w="2964" w:type="dxa"/>
            <w:vMerge/>
            <w:tcBorders>
              <w:left w:val="single" w:sz="10" w:space="0" w:color="D2D2D2"/>
              <w:bottom w:val="single" w:sz="4" w:space="0" w:color="000000"/>
              <w:right w:val="single" w:sz="10" w:space="0" w:color="D2D2D2"/>
            </w:tcBorders>
          </w:tcPr>
          <w:p>
            <w:pPr/>
          </w:p>
        </w:tc>
        <w:tc>
          <w:tcPr>
            <w:tcW w:w="194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2964"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34"/>
              <w:ind w:right="15"/>
              <w:jc w:val="right"/>
              <w:rPr>
                <w:rFonts w:ascii="Arial Narrow" w:hAnsi="Arial Narrow" w:cs="Arial Narrow" w:eastAsia="Arial Narrow" w:hint="default"/>
                <w:sz w:val="21"/>
                <w:szCs w:val="21"/>
              </w:rPr>
            </w:pPr>
            <w:r>
              <w:rPr>
                <w:rFonts w:ascii="Arial Narrow"/>
                <w:spacing w:val="-1"/>
                <w:sz w:val="21"/>
              </w:rPr>
              <w:t>100,593,534.60</w:t>
            </w:r>
            <w:r>
              <w:rPr>
                <w:rFonts w:ascii="Arial Narrow"/>
                <w:sz w:val="21"/>
              </w:rPr>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r>
      <w:tr>
        <w:trPr>
          <w:trHeight w:val="322"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2964"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33"/>
              <w:ind w:right="15"/>
              <w:jc w:val="right"/>
              <w:rPr>
                <w:rFonts w:ascii="Arial Narrow" w:hAnsi="Arial Narrow" w:cs="Arial Narrow" w:eastAsia="Arial Narrow" w:hint="default"/>
                <w:sz w:val="21"/>
                <w:szCs w:val="21"/>
              </w:rPr>
            </w:pPr>
            <w:r>
              <w:rPr>
                <w:rFonts w:ascii="Arial Narrow"/>
                <w:spacing w:val="-1"/>
                <w:sz w:val="21"/>
              </w:rPr>
              <w:t>5,371,349.59</w:t>
            </w:r>
            <w:r>
              <w:rPr>
                <w:rFonts w:ascii="Arial Narrow"/>
                <w:sz w:val="21"/>
              </w:rPr>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r>
      <w:tr>
        <w:trPr>
          <w:trHeight w:val="322"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904,355.69</w:t>
            </w:r>
            <w:r>
              <w:rPr>
                <w:rFonts w:ascii="Arial Narrow"/>
                <w:sz w:val="21"/>
              </w:rPr>
            </w:r>
          </w:p>
        </w:tc>
        <w:tc>
          <w:tcPr>
            <w:tcW w:w="19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964" w:type="dxa"/>
            <w:tcBorders>
              <w:top w:val="single" w:sz="4" w:space="0" w:color="000000"/>
              <w:left w:val="single" w:sz="10" w:space="0" w:color="D2D2D2"/>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964" w:type="dxa"/>
            <w:tcBorders>
              <w:top w:val="single" w:sz="4" w:space="0" w:color="000000"/>
              <w:left w:val="single" w:sz="10" w:space="0" w:color="D2D2D2"/>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964" w:type="dxa"/>
            <w:tcBorders>
              <w:top w:val="single" w:sz="4" w:space="0" w:color="000000"/>
              <w:left w:val="single" w:sz="10" w:space="0" w:color="D2D2D2"/>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964" w:type="dxa"/>
            <w:tcBorders>
              <w:top w:val="single" w:sz="4" w:space="0" w:color="000000"/>
              <w:left w:val="single" w:sz="10" w:space="0" w:color="D2D2D2"/>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96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105,060,528.50</w:t>
            </w:r>
            <w:r>
              <w:rPr>
                <w:rFonts w:ascii="Arial Narrow"/>
                <w:sz w:val="21"/>
              </w:rPr>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调整年初未分配利润明细：</w:t>
      </w:r>
    </w:p>
    <w:p>
      <w:pPr>
        <w:spacing w:before="37"/>
        <w:ind w:left="558" w:right="0" w:firstLine="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、由于《企业会计准则》及其相关新规定进行追溯调整，影响年初未分配利润</w:t>
      </w:r>
      <w:r>
        <w:rPr>
          <w:rFonts w:ascii="宋体" w:hAnsi="宋体" w:cs="宋体" w:eastAsia="宋体" w:hint="default"/>
          <w:spacing w:val="-56"/>
          <w:sz w:val="21"/>
          <w:szCs w:val="21"/>
        </w:rPr>
        <w:t> </w:t>
      </w:r>
      <w:r>
        <w:rPr>
          <w:rFonts w:ascii="Calibri" w:hAnsi="Calibri" w:cs="Calibri" w:eastAsia="Calibri" w:hint="default"/>
          <w:sz w:val="21"/>
          <w:szCs w:val="21"/>
        </w:rPr>
        <w:t>0</w:t>
      </w:r>
      <w:r>
        <w:rPr>
          <w:rFonts w:ascii="Calibri" w:hAnsi="Calibri" w:cs="Calibri" w:eastAsia="Calibri" w:hint="default"/>
          <w:spacing w:val="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0"/>
        <w:ind w:left="558" w:right="0" w:firstLine="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、由于会计政策变更，影响年初未分配利润</w:t>
      </w:r>
      <w:r>
        <w:rPr>
          <w:rFonts w:ascii="宋体" w:hAnsi="宋体" w:cs="宋体" w:eastAsia="宋体" w:hint="default"/>
          <w:spacing w:val="-55"/>
          <w:sz w:val="21"/>
          <w:szCs w:val="21"/>
        </w:rPr>
        <w:t> </w:t>
      </w:r>
      <w:r>
        <w:rPr>
          <w:rFonts w:ascii="Calibri" w:hAnsi="Calibri" w:cs="Calibri" w:eastAsia="Calibri" w:hint="default"/>
          <w:sz w:val="21"/>
          <w:szCs w:val="21"/>
        </w:rPr>
        <w:t>0</w:t>
      </w:r>
      <w:r>
        <w:rPr>
          <w:rFonts w:ascii="Calibri" w:hAnsi="Calibri" w:cs="Calibri" w:eastAsia="Calibri" w:hint="default"/>
          <w:spacing w:val="1"/>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0"/>
        <w:ind w:left="558" w:right="0" w:firstLine="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、由于重大会计差错更正，影响年初未分配利润</w:t>
      </w:r>
      <w:r>
        <w:rPr>
          <w:rFonts w:ascii="宋体" w:hAnsi="宋体" w:cs="宋体" w:eastAsia="宋体" w:hint="default"/>
          <w:spacing w:val="-57"/>
          <w:sz w:val="21"/>
          <w:szCs w:val="21"/>
        </w:rPr>
        <w:t> </w:t>
      </w:r>
      <w:r>
        <w:rPr>
          <w:rFonts w:ascii="Calibri" w:hAnsi="Calibri" w:cs="Calibri" w:eastAsia="Calibri" w:hint="default"/>
          <w:sz w:val="21"/>
          <w:szCs w:val="21"/>
        </w:rPr>
        <w:t>0</w:t>
      </w:r>
      <w:r>
        <w:rPr>
          <w:rFonts w:ascii="Calibri" w:hAnsi="Calibri" w:cs="Calibri" w:eastAsia="Calibri" w:hint="default"/>
          <w:spacing w:val="4"/>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before="10"/>
        <w:ind w:left="558" w:right="0" w:firstLine="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、由于同一控制导致的合并范围变更，影响年初未分配利润</w:t>
      </w:r>
      <w:r>
        <w:rPr>
          <w:rFonts w:ascii="宋体" w:hAnsi="宋体" w:cs="宋体" w:eastAsia="宋体" w:hint="default"/>
          <w:spacing w:val="-55"/>
          <w:sz w:val="21"/>
          <w:szCs w:val="21"/>
        </w:rPr>
        <w:t> </w:t>
      </w:r>
      <w:r>
        <w:rPr>
          <w:rFonts w:ascii="Calibri" w:hAnsi="Calibri" w:cs="Calibri" w:eastAsia="Calibri" w:hint="default"/>
          <w:sz w:val="21"/>
          <w:szCs w:val="21"/>
        </w:rPr>
        <w:t>0</w:t>
      </w:r>
      <w:r>
        <w:rPr>
          <w:rFonts w:ascii="Calibri" w:hAnsi="Calibri" w:cs="Calibri" w:eastAsia="Calibri" w:hint="default"/>
          <w:spacing w:val="1"/>
          <w:sz w:val="21"/>
          <w:szCs w:val="21"/>
        </w:rPr>
        <w:t> </w:t>
      </w:r>
      <w:r>
        <w:rPr>
          <w:rFonts w:ascii="宋体" w:hAnsi="宋体" w:cs="宋体" w:eastAsia="宋体" w:hint="default"/>
          <w:sz w:val="21"/>
          <w:szCs w:val="21"/>
        </w:rPr>
        <w:t>元。</w:t>
      </w:r>
    </w:p>
    <w:p>
      <w:pPr>
        <w:spacing w:line="247" w:lineRule="auto" w:before="10"/>
        <w:ind w:left="558" w:right="4674" w:firstLine="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、其他调整合计影响年初未分配利润</w:t>
      </w:r>
      <w:r>
        <w:rPr>
          <w:rFonts w:ascii="宋体" w:hAnsi="宋体" w:cs="宋体" w:eastAsia="宋体" w:hint="default"/>
          <w:spacing w:val="-55"/>
          <w:sz w:val="21"/>
          <w:szCs w:val="21"/>
        </w:rPr>
        <w:t> </w:t>
      </w:r>
      <w:r>
        <w:rPr>
          <w:rFonts w:ascii="Calibri" w:hAnsi="Calibri" w:cs="Calibri" w:eastAsia="Calibri" w:hint="default"/>
          <w:sz w:val="21"/>
          <w:szCs w:val="21"/>
        </w:rPr>
        <w:t>0</w:t>
      </w:r>
      <w:r>
        <w:rPr>
          <w:rFonts w:ascii="Calibri" w:hAnsi="Calibri" w:cs="Calibri" w:eastAsia="Calibri" w:hint="default"/>
          <w:spacing w:val="6"/>
          <w:sz w:val="21"/>
          <w:szCs w:val="21"/>
        </w:rPr>
        <w:t> </w:t>
      </w:r>
      <w:r>
        <w:rPr>
          <w:rFonts w:ascii="宋体" w:hAnsi="宋体" w:cs="宋体" w:eastAsia="宋体" w:hint="default"/>
          <w:spacing w:val="-3"/>
          <w:sz w:val="21"/>
          <w:szCs w:val="21"/>
        </w:rPr>
        <w:t>元。</w:t>
      </w:r>
      <w:r>
        <w:rPr>
          <w:rFonts w:ascii="宋体" w:hAnsi="宋体" w:cs="宋体" w:eastAsia="宋体" w:hint="default"/>
          <w:spacing w:val="-3"/>
          <w:w w:val="100"/>
          <w:sz w:val="21"/>
          <w:szCs w:val="21"/>
        </w:rPr>
        <w:t> </w:t>
      </w:r>
      <w:r>
        <w:rPr>
          <w:rFonts w:ascii="宋体" w:hAnsi="宋体" w:cs="宋体" w:eastAsia="宋体" w:hint="default"/>
          <w:sz w:val="21"/>
          <w:szCs w:val="21"/>
        </w:rPr>
        <w:t>未分配利润说明：无</w:t>
      </w:r>
    </w:p>
    <w:p>
      <w:pPr>
        <w:spacing w:line="240" w:lineRule="auto" w:before="4"/>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3015"/>
        <w:gridCol w:w="2806"/>
        <w:gridCol w:w="2917"/>
      </w:tblGrid>
      <w:tr>
        <w:trPr>
          <w:trHeight w:val="322" w:hRule="exact"/>
        </w:trPr>
        <w:tc>
          <w:tcPr>
            <w:tcW w:w="3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76"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2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262,411,128.67</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291,893,770.08</w:t>
            </w:r>
            <w:r>
              <w:rPr>
                <w:rFonts w:ascii="Arial Narrow"/>
                <w:sz w:val="21"/>
              </w:rPr>
            </w:r>
          </w:p>
        </w:tc>
      </w:tr>
      <w:tr>
        <w:trPr>
          <w:trHeight w:val="324" w:hRule="exact"/>
        </w:trPr>
        <w:tc>
          <w:tcPr>
            <w:tcW w:w="3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28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1,617,720.00</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1,215,500.00</w:t>
            </w:r>
            <w:r>
              <w:rPr>
                <w:rFonts w:ascii="Arial Narrow"/>
                <w:sz w:val="21"/>
              </w:rPr>
            </w:r>
          </w:p>
        </w:tc>
      </w:tr>
      <w:tr>
        <w:trPr>
          <w:trHeight w:val="322" w:hRule="exact"/>
        </w:trPr>
        <w:tc>
          <w:tcPr>
            <w:tcW w:w="3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97,211,711.90</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78,394,991.50</w:t>
            </w:r>
            <w:r>
              <w:rPr>
                <w:rFonts w:ascii="Arial Narrow"/>
                <w:sz w:val="21"/>
              </w:rPr>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312"/>
        <w:gridCol w:w="1579"/>
        <w:gridCol w:w="1702"/>
        <w:gridCol w:w="1580"/>
        <w:gridCol w:w="1577"/>
      </w:tblGrid>
      <w:tr>
        <w:trPr>
          <w:trHeight w:val="322" w:hRule="exact"/>
        </w:trPr>
        <w:tc>
          <w:tcPr>
            <w:tcW w:w="23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left="729" w:right="0"/>
              <w:jc w:val="left"/>
              <w:rPr>
                <w:rFonts w:ascii="宋体" w:hAnsi="宋体" w:cs="宋体" w:eastAsia="宋体" w:hint="default"/>
                <w:sz w:val="21"/>
                <w:szCs w:val="21"/>
              </w:rPr>
            </w:pPr>
            <w:r>
              <w:rPr>
                <w:rFonts w:ascii="宋体" w:hAnsi="宋体" w:cs="宋体" w:eastAsia="宋体" w:hint="default"/>
                <w:b/>
                <w:bCs/>
                <w:sz w:val="21"/>
                <w:szCs w:val="21"/>
              </w:rPr>
              <w:t>行业名称</w:t>
            </w:r>
            <w:r>
              <w:rPr>
                <w:rFonts w:ascii="宋体" w:hAnsi="宋体" w:cs="宋体" w:eastAsia="宋体" w:hint="default"/>
                <w:sz w:val="21"/>
                <w:szCs w:val="21"/>
              </w:rPr>
            </w:r>
          </w:p>
        </w:tc>
        <w:tc>
          <w:tcPr>
            <w:tcW w:w="32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1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4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2" w:hRule="exact"/>
        </w:trPr>
        <w:tc>
          <w:tcPr>
            <w:tcW w:w="2312" w:type="dxa"/>
            <w:vMerge/>
            <w:tcBorders>
              <w:left w:val="single" w:sz="4" w:space="0" w:color="000000"/>
              <w:bottom w:val="single" w:sz="4" w:space="0" w:color="000000"/>
              <w:right w:val="single" w:sz="4" w:space="0" w:color="000000"/>
            </w:tcBorders>
            <w:shd w:val="clear" w:color="auto" w:fill="D2D2D2"/>
          </w:tcPr>
          <w:p>
            <w:pP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7" w:right="0"/>
              <w:jc w:val="left"/>
              <w:rPr>
                <w:rFonts w:ascii="Arial Narrow" w:hAnsi="Arial Narrow" w:cs="Arial Narrow" w:eastAsia="Arial Narrow" w:hint="default"/>
                <w:sz w:val="21"/>
                <w:szCs w:val="21"/>
              </w:rPr>
            </w:pPr>
            <w:r>
              <w:rPr>
                <w:rFonts w:ascii="Arial Narrow"/>
                <w:sz w:val="21"/>
              </w:rPr>
              <w:t>262,411,128.67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96,706,683.12</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48" w:right="0"/>
              <w:jc w:val="left"/>
              <w:rPr>
                <w:rFonts w:ascii="Arial Narrow" w:hAnsi="Arial Narrow" w:cs="Arial Narrow" w:eastAsia="Arial Narrow" w:hint="default"/>
                <w:sz w:val="21"/>
                <w:szCs w:val="21"/>
              </w:rPr>
            </w:pPr>
            <w:r>
              <w:rPr>
                <w:rFonts w:ascii="Arial Narrow"/>
                <w:sz w:val="21"/>
              </w:rPr>
              <w:t>291,893,770.08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77,505,013.81</w:t>
            </w:r>
            <w:r>
              <w:rPr>
                <w:rFonts w:ascii="Arial Narrow"/>
                <w:sz w:val="21"/>
              </w:rPr>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left="335" w:right="0"/>
              <w:jc w:val="left"/>
              <w:rPr>
                <w:rFonts w:ascii="Arial Narrow" w:hAnsi="Arial Narrow" w:cs="Arial Narrow" w:eastAsia="Arial Narrow" w:hint="default"/>
                <w:sz w:val="21"/>
                <w:szCs w:val="21"/>
              </w:rPr>
            </w:pPr>
            <w:r>
              <w:rPr>
                <w:rFonts w:ascii="Arial Narrow"/>
                <w:sz w:val="21"/>
              </w:rPr>
              <w:t>262,411,128.67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96,706,683.12</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48" w:right="0"/>
              <w:jc w:val="left"/>
              <w:rPr>
                <w:rFonts w:ascii="Arial Narrow" w:hAnsi="Arial Narrow" w:cs="Arial Narrow" w:eastAsia="Arial Narrow" w:hint="default"/>
                <w:sz w:val="21"/>
                <w:szCs w:val="21"/>
              </w:rPr>
            </w:pPr>
            <w:r>
              <w:rPr>
                <w:rFonts w:ascii="Arial Narrow"/>
                <w:sz w:val="21"/>
              </w:rPr>
              <w:t>291,893,770.08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77,505,013.81</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84" w:footer="1007" w:top="1160" w:bottom="1200" w:left="1240" w:right="1260"/>
        </w:sectPr>
      </w:pPr>
    </w:p>
    <w:p>
      <w:pPr>
        <w:spacing w:line="240" w:lineRule="auto" w:before="4"/>
        <w:rPr>
          <w:rFonts w:ascii="宋体" w:hAnsi="宋体" w:cs="宋体" w:eastAsia="宋体" w:hint="default"/>
          <w:sz w:val="16"/>
          <w:szCs w:val="16"/>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312"/>
        <w:gridCol w:w="1579"/>
        <w:gridCol w:w="1702"/>
        <w:gridCol w:w="1580"/>
        <w:gridCol w:w="1577"/>
      </w:tblGrid>
      <w:tr>
        <w:trPr>
          <w:trHeight w:val="322" w:hRule="exact"/>
        </w:trPr>
        <w:tc>
          <w:tcPr>
            <w:tcW w:w="23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left="729"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32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1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4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2" w:hRule="exact"/>
        </w:trPr>
        <w:tc>
          <w:tcPr>
            <w:tcW w:w="2312" w:type="dxa"/>
            <w:vMerge/>
            <w:tcBorders>
              <w:left w:val="single" w:sz="4" w:space="0" w:color="000000"/>
              <w:bottom w:val="single" w:sz="4" w:space="0" w:color="000000"/>
              <w:right w:val="single" w:sz="4" w:space="0" w:color="000000"/>
            </w:tcBorders>
            <w:shd w:val="clear" w:color="auto" w:fill="D2D2D2"/>
          </w:tcPr>
          <w:p>
            <w:pP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GIS</w:t>
            </w:r>
            <w:r>
              <w:rPr>
                <w:rFonts w:ascii="Calibri" w:hAnsi="Calibri" w:cs="Calibri" w:eastAsia="Calibri" w:hint="default"/>
                <w:spacing w:val="8"/>
                <w:sz w:val="21"/>
                <w:szCs w:val="21"/>
              </w:rPr>
              <w:t> </w:t>
            </w:r>
            <w:r>
              <w:rPr>
                <w:rFonts w:ascii="宋体" w:hAnsi="宋体" w:cs="宋体" w:eastAsia="宋体" w:hint="default"/>
                <w:spacing w:val="-3"/>
                <w:sz w:val="21"/>
                <w:szCs w:val="21"/>
              </w:rPr>
              <w:t>软件</w:t>
            </w:r>
            <w:r>
              <w:rPr>
                <w:rFonts w:ascii="宋体" w:hAnsi="宋体" w:cs="宋体" w:eastAsia="宋体" w:hint="default"/>
                <w:sz w:val="21"/>
                <w:szCs w:val="21"/>
              </w:rPr>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236,804,324.07</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74,750,358.15</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277,242,702.52</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66,911,540.13</w:t>
            </w:r>
            <w:r>
              <w:rPr>
                <w:rFonts w:ascii="Arial Narrow"/>
                <w:sz w:val="21"/>
              </w:rPr>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GIS</w:t>
            </w:r>
            <w:r>
              <w:rPr>
                <w:rFonts w:ascii="Calibri" w:hAnsi="Calibri" w:cs="Calibri" w:eastAsia="Calibri" w:hint="default"/>
                <w:spacing w:val="3"/>
                <w:sz w:val="21"/>
                <w:szCs w:val="21"/>
              </w:rPr>
              <w:t> </w:t>
            </w:r>
            <w:r>
              <w:rPr>
                <w:rFonts w:ascii="宋体" w:hAnsi="宋体" w:cs="宋体" w:eastAsia="宋体" w:hint="default"/>
                <w:sz w:val="21"/>
                <w:szCs w:val="21"/>
              </w:rPr>
              <w:t>软件配套产品</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25,606,804.60</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21,956,324.97</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14,651,067.56</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10,593,473.68</w:t>
            </w:r>
            <w:r>
              <w:rPr>
                <w:rFonts w:ascii="Arial Narrow"/>
                <w:sz w:val="21"/>
              </w:rPr>
            </w:r>
          </w:p>
        </w:tc>
      </w:tr>
      <w:tr>
        <w:trPr>
          <w:trHeight w:val="324" w:hRule="exact"/>
        </w:trPr>
        <w:tc>
          <w:tcPr>
            <w:tcW w:w="2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262,411,128.67</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96,706,683.12</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291,893,770.08</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77,505,013.81</w:t>
            </w:r>
            <w:r>
              <w:rPr>
                <w:rFonts w:ascii="Arial Narrow"/>
                <w:sz w:val="21"/>
              </w:rPr>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312"/>
        <w:gridCol w:w="1579"/>
        <w:gridCol w:w="1702"/>
        <w:gridCol w:w="1580"/>
        <w:gridCol w:w="1577"/>
      </w:tblGrid>
      <w:tr>
        <w:trPr>
          <w:trHeight w:val="322" w:hRule="exact"/>
        </w:trPr>
        <w:tc>
          <w:tcPr>
            <w:tcW w:w="23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left="729" w:right="0"/>
              <w:jc w:val="left"/>
              <w:rPr>
                <w:rFonts w:ascii="宋体" w:hAnsi="宋体" w:cs="宋体" w:eastAsia="宋体" w:hint="default"/>
                <w:sz w:val="21"/>
                <w:szCs w:val="21"/>
              </w:rPr>
            </w:pPr>
            <w:r>
              <w:rPr>
                <w:rFonts w:ascii="宋体" w:hAnsi="宋体" w:cs="宋体" w:eastAsia="宋体" w:hint="default"/>
                <w:b/>
                <w:bCs/>
                <w:sz w:val="21"/>
                <w:szCs w:val="21"/>
              </w:rPr>
              <w:t>地区名称</w:t>
            </w:r>
            <w:r>
              <w:rPr>
                <w:rFonts w:ascii="宋体" w:hAnsi="宋体" w:cs="宋体" w:eastAsia="宋体" w:hint="default"/>
                <w:sz w:val="21"/>
                <w:szCs w:val="21"/>
              </w:rPr>
            </w:r>
          </w:p>
        </w:tc>
        <w:tc>
          <w:tcPr>
            <w:tcW w:w="32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1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4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2" w:hRule="exact"/>
        </w:trPr>
        <w:tc>
          <w:tcPr>
            <w:tcW w:w="2312" w:type="dxa"/>
            <w:vMerge/>
            <w:tcBorders>
              <w:left w:val="single" w:sz="4" w:space="0" w:color="000000"/>
              <w:bottom w:val="single" w:sz="4" w:space="0" w:color="000000"/>
              <w:right w:val="single" w:sz="4" w:space="0" w:color="000000"/>
            </w:tcBorders>
            <w:shd w:val="clear" w:color="auto" w:fill="D2D2D2"/>
          </w:tcPr>
          <w:p>
            <w:pP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2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87,858,791.46</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Arial Narrow" w:hAnsi="Arial Narrow" w:cs="Arial Narrow" w:eastAsia="Arial Narrow" w:hint="default"/>
                <w:sz w:val="21"/>
                <w:szCs w:val="21"/>
              </w:rPr>
            </w:pPr>
            <w:r>
              <w:rPr>
                <w:rFonts w:ascii="Arial Narrow"/>
                <w:spacing w:val="-2"/>
                <w:sz w:val="21"/>
              </w:rPr>
              <w:t>16,462,515.77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78,047,992.19</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10,215,354.23</w:t>
            </w:r>
            <w:r>
              <w:rPr>
                <w:rFonts w:ascii="Arial Narrow"/>
                <w:sz w:val="21"/>
              </w:rPr>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39,298,990.86</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2"/>
                <w:sz w:val="21"/>
              </w:rPr>
              <w:t>21,869,042.78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33,960,155.53</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11,346,630.05</w:t>
            </w:r>
            <w:r>
              <w:rPr>
                <w:rFonts w:ascii="Arial Narrow"/>
                <w:sz w:val="21"/>
              </w:rPr>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28,038,613.48</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2,784,018.20</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24,877,246.59</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2"/>
                <w:sz w:val="21"/>
              </w:rPr>
              <w:t>17,311,137.78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40,224,986.66</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12,543,654.02</w:t>
            </w:r>
            <w:r>
              <w:rPr>
                <w:rFonts w:ascii="Arial Narrow"/>
                <w:sz w:val="21"/>
              </w:rPr>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20,230,628.64</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2"/>
                <w:sz w:val="21"/>
              </w:rPr>
              <w:t>10,441,421.11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42,358,402.82</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4,113,820.62</w:t>
            </w:r>
            <w:r>
              <w:rPr>
                <w:rFonts w:ascii="Arial Narrow"/>
                <w:sz w:val="21"/>
              </w:rPr>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国际</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2"/>
                <w:sz w:val="21"/>
              </w:rPr>
              <w:t>19,672,822.91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2"/>
                <w:sz w:val="21"/>
              </w:rPr>
              <w:t>7,710,972.38</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20,231,684.18</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12,067,109.02</w:t>
            </w:r>
            <w:r>
              <w:rPr>
                <w:rFonts w:ascii="Arial Narrow"/>
                <w:sz w:val="21"/>
              </w:rPr>
            </w:r>
          </w:p>
        </w:tc>
      </w:tr>
      <w:tr>
        <w:trPr>
          <w:trHeight w:val="32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17,770,097.82</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Arial Narrow" w:hAnsi="Arial Narrow" w:cs="Arial Narrow" w:eastAsia="Arial Narrow" w:hint="default"/>
                <w:sz w:val="21"/>
                <w:szCs w:val="21"/>
              </w:rPr>
            </w:pPr>
            <w:r>
              <w:rPr>
                <w:rFonts w:ascii="Arial Narrow"/>
                <w:spacing w:val="-1"/>
                <w:sz w:val="21"/>
              </w:rPr>
              <w:t>11,740,838.73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52,990,768.63</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21,087,562.58</w:t>
            </w:r>
            <w:r>
              <w:rPr>
                <w:rFonts w:ascii="Arial Narrow"/>
                <w:sz w:val="21"/>
              </w:rPr>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13,311,154.36</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2"/>
                <w:sz w:val="21"/>
              </w:rPr>
              <w:t>4,902,037.42</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10,401,481.16</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3,842,179.29</w:t>
            </w:r>
            <w:r>
              <w:rPr>
                <w:rFonts w:ascii="Arial Narrow"/>
                <w:sz w:val="21"/>
              </w:rPr>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11,352,782.55</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2"/>
                <w:sz w:val="21"/>
              </w:rPr>
              <w:t>6,268,717.15</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10,894,280.71</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2,288,704.00</w:t>
            </w:r>
            <w:r>
              <w:rPr>
                <w:rFonts w:ascii="Arial Narrow"/>
                <w:sz w:val="21"/>
              </w:rPr>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262,411,128.67</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96,706,683.12</w:t>
            </w:r>
            <w:r>
              <w:rPr>
                <w:rFonts w:ascii="Arial Narrow"/>
                <w:sz w:val="21"/>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291,893,770.08</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77,505,013.81</w:t>
            </w:r>
            <w:r>
              <w:rPr>
                <w:rFonts w:ascii="Arial Narrow"/>
                <w:sz w:val="21"/>
              </w:rPr>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433"/>
        <w:gridCol w:w="2408"/>
        <w:gridCol w:w="2909"/>
      </w:tblGrid>
      <w:tr>
        <w:trPr>
          <w:trHeight w:val="322" w:hRule="exact"/>
        </w:trPr>
        <w:tc>
          <w:tcPr>
            <w:tcW w:w="3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63" w:right="0"/>
              <w:jc w:val="left"/>
              <w:rPr>
                <w:rFonts w:ascii="宋体" w:hAnsi="宋体" w:cs="宋体" w:eastAsia="宋体" w:hint="default"/>
                <w:sz w:val="21"/>
                <w:szCs w:val="21"/>
              </w:rPr>
            </w:pPr>
            <w:r>
              <w:rPr>
                <w:rFonts w:ascii="宋体" w:hAnsi="宋体" w:cs="宋体" w:eastAsia="宋体" w:hint="default"/>
                <w:b/>
                <w:bCs/>
                <w:sz w:val="21"/>
                <w:szCs w:val="21"/>
              </w:rPr>
              <w:t>主营业务收入</w:t>
            </w:r>
            <w:r>
              <w:rPr>
                <w:rFonts w:ascii="宋体" w:hAnsi="宋体" w:cs="宋体" w:eastAsia="宋体" w:hint="default"/>
                <w:sz w:val="21"/>
                <w:szCs w:val="21"/>
              </w:rPr>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37"/>
              <w:jc w:val="right"/>
              <w:rPr>
                <w:rFonts w:ascii="Calibri" w:hAnsi="Calibri" w:cs="Calibri" w:eastAsia="Calibri" w:hint="default"/>
                <w:sz w:val="21"/>
                <w:szCs w:val="21"/>
              </w:rPr>
            </w:pPr>
            <w:r>
              <w:rPr>
                <w:rFonts w:ascii="宋体" w:hAnsi="宋体" w:cs="宋体" w:eastAsia="宋体" w:hint="default"/>
                <w:b/>
                <w:bCs/>
                <w:spacing w:val="-1"/>
                <w:sz w:val="21"/>
                <w:szCs w:val="21"/>
              </w:rPr>
              <w:t>占公司全部营业收入的比例</w:t>
            </w:r>
            <w:r>
              <w:rPr>
                <w:rFonts w:ascii="Calibri" w:hAnsi="Calibri" w:cs="Calibri" w:eastAsia="Calibri" w:hint="default"/>
                <w:b/>
                <w:bCs/>
                <w:spacing w:val="-1"/>
                <w:sz w:val="21"/>
                <w:szCs w:val="21"/>
              </w:rPr>
              <w:t>(%)</w:t>
            </w:r>
            <w:r>
              <w:rPr>
                <w:rFonts w:ascii="Calibri" w:hAnsi="Calibri" w:cs="Calibri" w:eastAsia="Calibri" w:hint="default"/>
                <w:spacing w:val="-1"/>
                <w:sz w:val="21"/>
                <w:szCs w:val="21"/>
              </w:rPr>
            </w:r>
          </w:p>
        </w:tc>
      </w:tr>
      <w:tr>
        <w:trPr>
          <w:trHeight w:val="322"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马鞍山市城市管理行政执法局</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9,636,778.02</w:t>
            </w:r>
            <w:r>
              <w:rPr>
                <w:rFonts w:ascii="Arial Narrow"/>
                <w:sz w:val="21"/>
              </w:rPr>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3.65</w:t>
            </w:r>
            <w:r>
              <w:rPr>
                <w:rFonts w:ascii="Arial Narrow"/>
                <w:sz w:val="21"/>
              </w:rPr>
            </w:r>
          </w:p>
        </w:tc>
      </w:tr>
      <w:tr>
        <w:trPr>
          <w:trHeight w:val="322"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华为技术有限公司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8,304,415.15</w:t>
            </w:r>
            <w:r>
              <w:rPr>
                <w:rFonts w:ascii="Arial Narrow"/>
                <w:sz w:val="21"/>
              </w:rPr>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3.15</w:t>
            </w:r>
            <w:r>
              <w:rPr>
                <w:rFonts w:ascii="Arial Narrow"/>
                <w:sz w:val="21"/>
              </w:rPr>
            </w:r>
          </w:p>
        </w:tc>
      </w:tr>
      <w:tr>
        <w:trPr>
          <w:trHeight w:val="322"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中关村科技园区管理委员会</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6,492,400.00</w:t>
            </w:r>
            <w:r>
              <w:rPr>
                <w:rFonts w:ascii="Arial Narrow"/>
                <w:sz w:val="21"/>
              </w:rPr>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Narrow" w:hAnsi="Arial Narrow" w:cs="Arial Narrow" w:eastAsia="Arial Narrow" w:hint="default"/>
                <w:sz w:val="21"/>
                <w:szCs w:val="21"/>
              </w:rPr>
            </w:pPr>
            <w:r>
              <w:rPr>
                <w:rFonts w:ascii="Arial Narrow"/>
                <w:spacing w:val="-1"/>
                <w:sz w:val="21"/>
              </w:rPr>
              <w:t>2.46</w:t>
            </w:r>
            <w:r>
              <w:rPr>
                <w:rFonts w:ascii="Arial Narrow"/>
                <w:sz w:val="21"/>
              </w:rPr>
            </w:r>
          </w:p>
        </w:tc>
      </w:tr>
      <w:tr>
        <w:trPr>
          <w:trHeight w:val="324"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益阳市房地产管理局</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4,421,700.00</w:t>
            </w:r>
            <w:r>
              <w:rPr>
                <w:rFonts w:ascii="Arial Narrow"/>
                <w:sz w:val="21"/>
              </w:rPr>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1.67</w:t>
            </w:r>
            <w:r>
              <w:rPr>
                <w:rFonts w:ascii="Arial Narrow"/>
                <w:sz w:val="21"/>
              </w:rPr>
            </w:r>
          </w:p>
        </w:tc>
      </w:tr>
      <w:tr>
        <w:trPr>
          <w:trHeight w:val="322" w:hRule="exact"/>
        </w:trPr>
        <w:tc>
          <w:tcPr>
            <w:tcW w:w="343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芜湖市人民政府信息化办公室</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4,338,661.20</w:t>
            </w:r>
            <w:r>
              <w:rPr>
                <w:rFonts w:ascii="Arial Narrow"/>
                <w:sz w:val="21"/>
              </w:rPr>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1.64</w:t>
            </w:r>
            <w:r>
              <w:rPr>
                <w:rFonts w:ascii="Arial Narrow"/>
                <w:sz w:val="21"/>
              </w:rPr>
            </w:r>
          </w:p>
        </w:tc>
      </w:tr>
      <w:tr>
        <w:trPr>
          <w:trHeight w:val="322" w:hRule="exact"/>
        </w:trPr>
        <w:tc>
          <w:tcPr>
            <w:tcW w:w="3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33,193,954.37</w:t>
            </w:r>
            <w:r>
              <w:rPr>
                <w:rFonts w:ascii="Arial Narrow"/>
                <w:sz w:val="21"/>
              </w:rPr>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12.57</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营业收入的说明：无</w:t>
      </w:r>
    </w:p>
    <w:p>
      <w:pPr>
        <w:spacing w:line="240" w:lineRule="auto" w:before="10"/>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、合同项目收入</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1438"/>
        <w:gridCol w:w="1469"/>
        <w:gridCol w:w="1459"/>
        <w:gridCol w:w="1456"/>
        <w:gridCol w:w="1457"/>
        <w:gridCol w:w="1446"/>
      </w:tblGrid>
      <w:tr>
        <w:trPr>
          <w:trHeight w:val="161"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1469" w:type="dxa"/>
            <w:vMerge w:val="restart"/>
            <w:tcBorders>
              <w:top w:val="single" w:sz="4" w:space="0" w:color="000000"/>
              <w:left w:val="single" w:sz="4" w:space="0" w:color="000000"/>
              <w:right w:val="single" w:sz="4" w:space="0" w:color="000000"/>
            </w:tcBorders>
            <w:shd w:val="clear" w:color="auto" w:fill="D2D2D2"/>
          </w:tcPr>
          <w:p>
            <w:pPr/>
          </w:p>
        </w:tc>
        <w:tc>
          <w:tcPr>
            <w:tcW w:w="1459" w:type="dxa"/>
            <w:vMerge w:val="restart"/>
            <w:tcBorders>
              <w:top w:val="single" w:sz="4" w:space="0" w:color="000000"/>
              <w:left w:val="single" w:sz="4" w:space="0" w:color="000000"/>
              <w:right w:val="single" w:sz="4" w:space="0" w:color="000000"/>
            </w:tcBorders>
            <w:shd w:val="clear" w:color="auto" w:fill="D2D2D2"/>
          </w:tcPr>
          <w:p>
            <w:pPr/>
          </w:p>
        </w:tc>
        <w:tc>
          <w:tcPr>
            <w:tcW w:w="14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7" w:type="dxa"/>
            <w:vMerge w:val="restart"/>
            <w:tcBorders>
              <w:top w:val="single" w:sz="4" w:space="0" w:color="000000"/>
              <w:left w:val="single" w:sz="4" w:space="0" w:color="000000"/>
              <w:right w:val="single" w:sz="4" w:space="0" w:color="000000"/>
            </w:tcBorders>
            <w:shd w:val="clear" w:color="auto" w:fill="D2D2D2"/>
          </w:tcPr>
          <w:p>
            <w:pPr>
              <w:pStyle w:val="TableParagraph"/>
              <w:spacing w:line="261" w:lineRule="auto"/>
              <w:ind w:left="77" w:right="74" w:hanging="3"/>
              <w:jc w:val="center"/>
              <w:rPr>
                <w:rFonts w:ascii="宋体" w:hAnsi="宋体" w:cs="宋体" w:eastAsia="宋体" w:hint="default"/>
                <w:sz w:val="21"/>
                <w:szCs w:val="21"/>
              </w:rPr>
            </w:pPr>
            <w:r>
              <w:rPr>
                <w:rFonts w:ascii="宋体" w:hAnsi="宋体" w:cs="宋体" w:eastAsia="宋体" w:hint="default"/>
                <w:sz w:val="21"/>
                <w:szCs w:val="21"/>
              </w:rPr>
              <w:t>累计已确认毛</w:t>
            </w:r>
            <w:r>
              <w:rPr>
                <w:rFonts w:ascii="宋体" w:hAnsi="宋体" w:cs="宋体" w:eastAsia="宋体" w:hint="default"/>
                <w:w w:val="100"/>
                <w:sz w:val="21"/>
                <w:szCs w:val="21"/>
              </w:rPr>
              <w:t> </w:t>
            </w:r>
            <w:r>
              <w:rPr>
                <w:rFonts w:ascii="宋体" w:hAnsi="宋体" w:cs="宋体" w:eastAsia="宋体" w:hint="default"/>
                <w:spacing w:val="-1"/>
                <w:sz w:val="21"/>
                <w:szCs w:val="21"/>
              </w:rPr>
              <w:t>利（亏损以</w:t>
            </w:r>
            <w:r>
              <w:rPr>
                <w:rFonts w:ascii="Calibri" w:hAnsi="Calibri" w:cs="Calibri" w:eastAsia="Calibri" w:hint="default"/>
                <w:spacing w:val="-1"/>
                <w:sz w:val="21"/>
                <w:szCs w:val="21"/>
              </w:rPr>
              <w:t>“</w:t>
            </w:r>
            <w:r>
              <w:rPr>
                <w:rFonts w:ascii="Calibri" w:hAnsi="Calibri" w:cs="Calibri" w:eastAsia="Calibri" w:hint="default"/>
                <w:spacing w:val="-1"/>
                <w:sz w:val="21"/>
                <w:szCs w:val="21"/>
              </w:rPr>
              <w:t>-</w:t>
            </w:r>
            <w:r>
              <w:rPr>
                <w:rFonts w:ascii="Calibri" w:hAnsi="Calibri" w:cs="Calibri" w:eastAsia="Calibri" w:hint="default"/>
                <w:spacing w:val="-1"/>
                <w:sz w:val="21"/>
                <w:szCs w:val="21"/>
              </w:rPr>
              <w:t>”</w:t>
            </w:r>
            <w:r>
              <w:rPr>
                <w:rFonts w:ascii="Calibri" w:hAnsi="Calibri" w:cs="Calibri" w:eastAsia="Calibri" w:hint="default"/>
                <w:w w:val="100"/>
                <w:sz w:val="21"/>
                <w:szCs w:val="21"/>
              </w:rPr>
              <w:t> </w:t>
            </w:r>
            <w:r>
              <w:rPr>
                <w:rFonts w:ascii="宋体" w:hAnsi="宋体" w:cs="宋体" w:eastAsia="宋体" w:hint="default"/>
                <w:sz w:val="21"/>
                <w:szCs w:val="21"/>
              </w:rPr>
              <w:t>号表示）</w:t>
            </w:r>
          </w:p>
        </w:tc>
        <w:tc>
          <w:tcPr>
            <w:tcW w:w="144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1469" w:type="dxa"/>
            <w:vMerge/>
            <w:tcBorders>
              <w:left w:val="single" w:sz="4" w:space="0" w:color="000000"/>
              <w:bottom w:val="nil" w:sz="6" w:space="0" w:color="auto"/>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145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617" w:right="90" w:hanging="526"/>
              <w:jc w:val="left"/>
              <w:rPr>
                <w:rFonts w:ascii="宋体" w:hAnsi="宋体" w:cs="宋体" w:eastAsia="宋体" w:hint="default"/>
                <w:sz w:val="21"/>
                <w:szCs w:val="21"/>
              </w:rPr>
            </w:pPr>
            <w:r>
              <w:rPr>
                <w:rFonts w:ascii="宋体" w:hAnsi="宋体" w:cs="宋体" w:eastAsia="宋体" w:hint="default"/>
                <w:sz w:val="21"/>
                <w:szCs w:val="21"/>
              </w:rPr>
              <w:t>累计已发生成</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457" w:type="dxa"/>
            <w:vMerge/>
            <w:tcBorders>
              <w:left w:val="single" w:sz="4" w:space="0" w:color="000000"/>
              <w:right w:val="single" w:sz="4" w:space="0" w:color="000000"/>
            </w:tcBorders>
            <w:shd w:val="clear" w:color="auto" w:fill="D2D2D2"/>
          </w:tcPr>
          <w:p>
            <w:pPr/>
          </w:p>
        </w:tc>
        <w:tc>
          <w:tcPr>
            <w:tcW w:w="1446"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512" w:right="79" w:hanging="420"/>
              <w:jc w:val="left"/>
              <w:rPr>
                <w:rFonts w:ascii="宋体" w:hAnsi="宋体" w:cs="宋体" w:eastAsia="宋体" w:hint="default"/>
                <w:sz w:val="21"/>
                <w:szCs w:val="21"/>
              </w:rPr>
            </w:pPr>
            <w:r>
              <w:rPr>
                <w:rFonts w:ascii="宋体" w:hAnsi="宋体" w:cs="宋体" w:eastAsia="宋体" w:hint="default"/>
                <w:sz w:val="21"/>
                <w:szCs w:val="21"/>
              </w:rPr>
              <w:t>已办理结算的</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16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1469"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314" w:right="0"/>
              <w:jc w:val="left"/>
              <w:rPr>
                <w:rFonts w:ascii="宋体" w:hAnsi="宋体" w:cs="宋体" w:eastAsia="宋体" w:hint="default"/>
                <w:sz w:val="21"/>
                <w:szCs w:val="21"/>
              </w:rPr>
            </w:pPr>
            <w:r>
              <w:rPr>
                <w:rFonts w:ascii="宋体" w:hAnsi="宋体" w:cs="宋体" w:eastAsia="宋体" w:hint="default"/>
                <w:sz w:val="21"/>
                <w:szCs w:val="21"/>
              </w:rPr>
              <w:t>合同项目</w:t>
            </w: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56" w:type="dxa"/>
            <w:vMerge/>
            <w:tcBorders>
              <w:left w:val="single" w:sz="4" w:space="0" w:color="000000"/>
              <w:right w:val="single" w:sz="4" w:space="0" w:color="000000"/>
            </w:tcBorders>
            <w:shd w:val="clear" w:color="auto" w:fill="D2D2D2"/>
          </w:tcPr>
          <w:p>
            <w:pPr/>
          </w:p>
        </w:tc>
        <w:tc>
          <w:tcPr>
            <w:tcW w:w="1457" w:type="dxa"/>
            <w:vMerge/>
            <w:tcBorders>
              <w:left w:val="single" w:sz="4" w:space="0" w:color="000000"/>
              <w:right w:val="single" w:sz="4" w:space="0" w:color="000000"/>
            </w:tcBorders>
            <w:shd w:val="clear" w:color="auto" w:fill="D2D2D2"/>
          </w:tcPr>
          <w:p>
            <w:pPr/>
          </w:p>
        </w:tc>
        <w:tc>
          <w:tcPr>
            <w:tcW w:w="1446" w:type="dxa"/>
            <w:vMerge/>
            <w:tcBorders>
              <w:left w:val="single" w:sz="4" w:space="0" w:color="000000"/>
              <w:right w:val="single" w:sz="4" w:space="0" w:color="000000"/>
            </w:tcBorders>
            <w:shd w:val="clear" w:color="auto" w:fill="D2D2D2"/>
          </w:tcPr>
          <w:p>
            <w:pPr/>
          </w:p>
        </w:tc>
      </w:tr>
      <w:tr>
        <w:trPr>
          <w:trHeight w:val="152"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固定造价合同</w:t>
            </w:r>
          </w:p>
        </w:tc>
        <w:tc>
          <w:tcPr>
            <w:tcW w:w="1469" w:type="dxa"/>
            <w:vMerge/>
            <w:tcBorders>
              <w:left w:val="single" w:sz="4" w:space="0" w:color="000000"/>
              <w:bottom w:val="nil" w:sz="6" w:space="0" w:color="auto"/>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1456" w:type="dxa"/>
            <w:vMerge/>
            <w:tcBorders>
              <w:left w:val="single" w:sz="4" w:space="0" w:color="000000"/>
              <w:right w:val="single" w:sz="4" w:space="0" w:color="000000"/>
            </w:tcBorders>
            <w:shd w:val="clear" w:color="auto" w:fill="D2D2D2"/>
          </w:tcPr>
          <w:p>
            <w:pPr/>
          </w:p>
        </w:tc>
        <w:tc>
          <w:tcPr>
            <w:tcW w:w="1457" w:type="dxa"/>
            <w:vMerge/>
            <w:tcBorders>
              <w:left w:val="single" w:sz="4" w:space="0" w:color="000000"/>
              <w:right w:val="single" w:sz="4" w:space="0" w:color="000000"/>
            </w:tcBorders>
            <w:shd w:val="clear" w:color="auto" w:fill="D2D2D2"/>
          </w:tcPr>
          <w:p>
            <w:pPr/>
          </w:p>
        </w:tc>
        <w:tc>
          <w:tcPr>
            <w:tcW w:w="1446" w:type="dxa"/>
            <w:vMerge/>
            <w:tcBorders>
              <w:left w:val="single" w:sz="4" w:space="0" w:color="000000"/>
              <w:right w:val="single" w:sz="4" w:space="0" w:color="000000"/>
            </w:tcBorders>
            <w:shd w:val="clear" w:color="auto" w:fill="D2D2D2"/>
          </w:tcPr>
          <w:p>
            <w:pPr/>
          </w:p>
        </w:tc>
      </w:tr>
      <w:tr>
        <w:trPr>
          <w:trHeight w:val="158"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1469" w:type="dxa"/>
            <w:vMerge w:val="restart"/>
            <w:tcBorders>
              <w:top w:val="nil" w:sz="6" w:space="0" w:color="auto"/>
              <w:left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
        </w:tc>
        <w:tc>
          <w:tcPr>
            <w:tcW w:w="1456" w:type="dxa"/>
            <w:vMerge/>
            <w:tcBorders>
              <w:left w:val="single" w:sz="4" w:space="0" w:color="000000"/>
              <w:bottom w:val="nil" w:sz="6" w:space="0" w:color="auto"/>
              <w:right w:val="single" w:sz="4" w:space="0" w:color="000000"/>
            </w:tcBorders>
            <w:shd w:val="clear" w:color="auto" w:fill="D2D2D2"/>
          </w:tcPr>
          <w:p>
            <w:pPr/>
          </w:p>
        </w:tc>
        <w:tc>
          <w:tcPr>
            <w:tcW w:w="1457" w:type="dxa"/>
            <w:vMerge/>
            <w:tcBorders>
              <w:left w:val="single" w:sz="4" w:space="0" w:color="000000"/>
              <w:right w:val="single" w:sz="4" w:space="0" w:color="000000"/>
            </w:tcBorders>
            <w:shd w:val="clear" w:color="auto" w:fill="D2D2D2"/>
          </w:tcPr>
          <w:p>
            <w:pPr/>
          </w:p>
        </w:tc>
        <w:tc>
          <w:tcPr>
            <w:tcW w:w="1446" w:type="dxa"/>
            <w:vMerge/>
            <w:tcBorders>
              <w:left w:val="single" w:sz="4" w:space="0" w:color="000000"/>
              <w:bottom w:val="nil" w:sz="6" w:space="0" w:color="auto"/>
              <w:right w:val="single" w:sz="4" w:space="0" w:color="000000"/>
            </w:tcBorders>
            <w:shd w:val="clear" w:color="auto" w:fill="D2D2D2"/>
          </w:tcPr>
          <w:p>
            <w:pPr/>
          </w:p>
        </w:tc>
      </w:tr>
      <w:tr>
        <w:trPr>
          <w:trHeight w:val="160"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1469" w:type="dxa"/>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single" w:sz="4" w:space="0" w:color="000000"/>
              <w:right w:val="single" w:sz="4" w:space="0" w:color="000000"/>
            </w:tcBorders>
            <w:shd w:val="clear" w:color="auto" w:fill="D2D2D2"/>
          </w:tcPr>
          <w:p>
            <w:pPr/>
          </w:p>
        </w:tc>
        <w:tc>
          <w:tcPr>
            <w:tcW w:w="14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7" w:type="dxa"/>
            <w:vMerge/>
            <w:tcBorders>
              <w:left w:val="single" w:sz="4" w:space="0" w:color="000000"/>
              <w:bottom w:val="single" w:sz="4" w:space="0" w:color="000000"/>
              <w:right w:val="single" w:sz="4" w:space="0" w:color="000000"/>
            </w:tcBorders>
            <w:shd w:val="clear" w:color="auto" w:fill="D2D2D2"/>
          </w:tcPr>
          <w:p>
            <w:pPr/>
          </w:p>
        </w:tc>
        <w:tc>
          <w:tcPr>
            <w:tcW w:w="144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56"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4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55"/>
          <w:pgSz w:w="11910" w:h="16840"/>
          <w:pgMar w:footer="1007" w:header="884" w:top="1160" w:bottom="1200" w:left="1240" w:right="1260"/>
          <w:pgNumType w:start="150"/>
        </w:sectPr>
      </w:pPr>
    </w:p>
    <w:p>
      <w:pPr>
        <w:spacing w:line="240" w:lineRule="auto" w:before="13"/>
        <w:rPr>
          <w:rFonts w:ascii="宋体" w:hAnsi="宋体" w:cs="宋体" w:eastAsia="宋体" w:hint="default"/>
          <w:sz w:val="19"/>
          <w:szCs w:val="19"/>
        </w:rPr>
      </w:pPr>
    </w:p>
    <w:tbl>
      <w:tblPr>
        <w:tblW w:w="0" w:type="auto"/>
        <w:jc w:val="left"/>
        <w:tblInd w:w="524" w:type="dxa"/>
        <w:tblLayout w:type="fixed"/>
        <w:tblCellMar>
          <w:top w:w="0" w:type="dxa"/>
          <w:left w:w="0" w:type="dxa"/>
          <w:bottom w:w="0" w:type="dxa"/>
          <w:right w:w="0" w:type="dxa"/>
        </w:tblCellMar>
        <w:tblLook w:val="01E0"/>
      </w:tblPr>
      <w:tblGrid>
        <w:gridCol w:w="1462"/>
        <w:gridCol w:w="1457"/>
        <w:gridCol w:w="1459"/>
        <w:gridCol w:w="1457"/>
        <w:gridCol w:w="1457"/>
        <w:gridCol w:w="1457"/>
      </w:tblGrid>
      <w:tr>
        <w:trPr>
          <w:trHeight w:val="322"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161" w:hRule="exact"/>
        </w:trPr>
        <w:tc>
          <w:tcPr>
            <w:tcW w:w="1462" w:type="dxa"/>
            <w:vMerge w:val="restart"/>
            <w:tcBorders>
              <w:top w:val="single" w:sz="4" w:space="0" w:color="000000"/>
              <w:left w:val="single" w:sz="4" w:space="0" w:color="000000"/>
              <w:right w:val="single" w:sz="4" w:space="0" w:color="000000"/>
            </w:tcBorders>
            <w:shd w:val="clear" w:color="auto" w:fill="D2D2D2"/>
          </w:tcPr>
          <w:p>
            <w:pPr/>
          </w:p>
        </w:tc>
        <w:tc>
          <w:tcPr>
            <w:tcW w:w="1457" w:type="dxa"/>
            <w:vMerge w:val="restart"/>
            <w:tcBorders>
              <w:top w:val="single" w:sz="4" w:space="0" w:color="000000"/>
              <w:left w:val="single" w:sz="4" w:space="0" w:color="000000"/>
              <w:right w:val="single" w:sz="4" w:space="0" w:color="000000"/>
            </w:tcBorders>
            <w:shd w:val="clear" w:color="auto" w:fill="D2D2D2"/>
          </w:tcPr>
          <w:p>
            <w:pPr/>
          </w:p>
        </w:tc>
        <w:tc>
          <w:tcPr>
            <w:tcW w:w="1459" w:type="dxa"/>
            <w:vMerge w:val="restart"/>
            <w:tcBorders>
              <w:top w:val="single" w:sz="4" w:space="0" w:color="000000"/>
              <w:left w:val="single" w:sz="4" w:space="0" w:color="000000"/>
              <w:right w:val="single" w:sz="4" w:space="0" w:color="000000"/>
            </w:tcBorders>
            <w:shd w:val="clear" w:color="auto" w:fill="D2D2D2"/>
          </w:tcPr>
          <w:p>
            <w:pPr/>
          </w:p>
        </w:tc>
        <w:tc>
          <w:tcPr>
            <w:tcW w:w="14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7" w:type="dxa"/>
            <w:vMerge w:val="restart"/>
            <w:tcBorders>
              <w:top w:val="single" w:sz="4" w:space="0" w:color="000000"/>
              <w:left w:val="single" w:sz="4" w:space="0" w:color="000000"/>
              <w:right w:val="single" w:sz="4" w:space="0" w:color="000000"/>
            </w:tcBorders>
            <w:shd w:val="clear" w:color="auto" w:fill="D2D2D2"/>
          </w:tcPr>
          <w:p>
            <w:pPr>
              <w:pStyle w:val="TableParagraph"/>
              <w:spacing w:line="259" w:lineRule="auto"/>
              <w:ind w:left="76" w:right="75" w:hanging="3"/>
              <w:jc w:val="center"/>
              <w:rPr>
                <w:rFonts w:ascii="宋体" w:hAnsi="宋体" w:cs="宋体" w:eastAsia="宋体" w:hint="default"/>
                <w:sz w:val="21"/>
                <w:szCs w:val="21"/>
              </w:rPr>
            </w:pPr>
            <w:r>
              <w:rPr>
                <w:rFonts w:ascii="宋体" w:hAnsi="宋体" w:cs="宋体" w:eastAsia="宋体" w:hint="default"/>
                <w:sz w:val="21"/>
                <w:szCs w:val="21"/>
              </w:rPr>
              <w:t>累计已确认毛</w:t>
            </w:r>
            <w:r>
              <w:rPr>
                <w:rFonts w:ascii="宋体" w:hAnsi="宋体" w:cs="宋体" w:eastAsia="宋体" w:hint="default"/>
                <w:w w:val="100"/>
                <w:sz w:val="21"/>
                <w:szCs w:val="21"/>
              </w:rPr>
              <w:t> </w:t>
            </w:r>
            <w:r>
              <w:rPr>
                <w:rFonts w:ascii="宋体" w:hAnsi="宋体" w:cs="宋体" w:eastAsia="宋体" w:hint="default"/>
                <w:spacing w:val="-1"/>
                <w:sz w:val="21"/>
                <w:szCs w:val="21"/>
              </w:rPr>
              <w:t>利（亏损以</w:t>
            </w:r>
            <w:r>
              <w:rPr>
                <w:rFonts w:ascii="Calibri" w:hAnsi="Calibri" w:cs="Calibri" w:eastAsia="Calibri" w:hint="default"/>
                <w:spacing w:val="-1"/>
                <w:sz w:val="21"/>
                <w:szCs w:val="21"/>
              </w:rPr>
              <w:t>“</w:t>
            </w:r>
            <w:r>
              <w:rPr>
                <w:rFonts w:ascii="Calibri" w:hAnsi="Calibri" w:cs="Calibri" w:eastAsia="Calibri" w:hint="default"/>
                <w:spacing w:val="-1"/>
                <w:sz w:val="21"/>
                <w:szCs w:val="21"/>
              </w:rPr>
              <w:t>-</w:t>
            </w:r>
            <w:r>
              <w:rPr>
                <w:rFonts w:ascii="Calibri" w:hAnsi="Calibri" w:cs="Calibri" w:eastAsia="Calibri" w:hint="default"/>
                <w:spacing w:val="-1"/>
                <w:sz w:val="21"/>
                <w:szCs w:val="21"/>
              </w:rPr>
              <w:t>”</w:t>
            </w:r>
            <w:r>
              <w:rPr>
                <w:rFonts w:ascii="Calibri" w:hAnsi="Calibri" w:cs="Calibri" w:eastAsia="Calibri" w:hint="default"/>
                <w:w w:val="100"/>
                <w:sz w:val="21"/>
                <w:szCs w:val="21"/>
              </w:rPr>
              <w:t> </w:t>
            </w:r>
            <w:r>
              <w:rPr>
                <w:rFonts w:ascii="宋体" w:hAnsi="宋体" w:cs="宋体" w:eastAsia="宋体" w:hint="default"/>
                <w:sz w:val="21"/>
                <w:szCs w:val="21"/>
              </w:rPr>
              <w:t>号表示）</w:t>
            </w:r>
          </w:p>
        </w:tc>
        <w:tc>
          <w:tcPr>
            <w:tcW w:w="14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462" w:type="dxa"/>
            <w:vMerge/>
            <w:tcBorders>
              <w:left w:val="single" w:sz="4" w:space="0" w:color="000000"/>
              <w:right w:val="single" w:sz="4" w:space="0" w:color="000000"/>
            </w:tcBorders>
            <w:shd w:val="clear" w:color="auto" w:fill="D2D2D2"/>
          </w:tcPr>
          <w:p>
            <w:pPr/>
          </w:p>
        </w:tc>
        <w:tc>
          <w:tcPr>
            <w:tcW w:w="1457" w:type="dxa"/>
            <w:vMerge/>
            <w:tcBorders>
              <w:left w:val="single" w:sz="4" w:space="0" w:color="000000"/>
              <w:bottom w:val="nil" w:sz="6" w:space="0" w:color="auto"/>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145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617" w:right="91" w:hanging="526"/>
              <w:jc w:val="left"/>
              <w:rPr>
                <w:rFonts w:ascii="宋体" w:hAnsi="宋体" w:cs="宋体" w:eastAsia="宋体" w:hint="default"/>
                <w:sz w:val="21"/>
                <w:szCs w:val="21"/>
              </w:rPr>
            </w:pPr>
            <w:r>
              <w:rPr>
                <w:rFonts w:ascii="宋体" w:hAnsi="宋体" w:cs="宋体" w:eastAsia="宋体" w:hint="default"/>
                <w:sz w:val="21"/>
                <w:szCs w:val="21"/>
              </w:rPr>
              <w:t>累计已发生成</w:t>
            </w:r>
            <w:r>
              <w:rPr>
                <w:rFonts w:ascii="宋体" w:hAnsi="宋体" w:cs="宋体" w:eastAsia="宋体" w:hint="default"/>
                <w:w w:val="100"/>
                <w:sz w:val="21"/>
                <w:szCs w:val="21"/>
              </w:rPr>
              <w:t> </w:t>
            </w:r>
            <w:r>
              <w:rPr>
                <w:rFonts w:ascii="宋体" w:hAnsi="宋体" w:cs="宋体" w:eastAsia="宋体" w:hint="default"/>
                <w:sz w:val="21"/>
                <w:szCs w:val="21"/>
              </w:rPr>
              <w:t>本</w:t>
            </w:r>
          </w:p>
        </w:tc>
        <w:tc>
          <w:tcPr>
            <w:tcW w:w="1457" w:type="dxa"/>
            <w:vMerge/>
            <w:tcBorders>
              <w:left w:val="single" w:sz="4" w:space="0" w:color="000000"/>
              <w:right w:val="single" w:sz="4" w:space="0" w:color="000000"/>
            </w:tcBorders>
            <w:shd w:val="clear" w:color="auto" w:fill="D2D2D2"/>
          </w:tcPr>
          <w:p>
            <w:pPr/>
          </w:p>
        </w:tc>
        <w:tc>
          <w:tcPr>
            <w:tcW w:w="1457"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511" w:right="91" w:hanging="420"/>
              <w:jc w:val="left"/>
              <w:rPr>
                <w:rFonts w:ascii="宋体" w:hAnsi="宋体" w:cs="宋体" w:eastAsia="宋体" w:hint="default"/>
                <w:sz w:val="21"/>
                <w:szCs w:val="21"/>
              </w:rPr>
            </w:pPr>
            <w:r>
              <w:rPr>
                <w:rFonts w:ascii="宋体" w:hAnsi="宋体" w:cs="宋体" w:eastAsia="宋体" w:hint="default"/>
                <w:sz w:val="21"/>
                <w:szCs w:val="21"/>
              </w:rPr>
              <w:t>已办理结算的</w:t>
            </w:r>
            <w:r>
              <w:rPr>
                <w:rFonts w:ascii="宋体" w:hAnsi="宋体" w:cs="宋体" w:eastAsia="宋体" w:hint="default"/>
                <w:w w:val="100"/>
                <w:sz w:val="21"/>
                <w:szCs w:val="21"/>
              </w:rPr>
              <w:t> </w:t>
            </w:r>
            <w:r>
              <w:rPr>
                <w:rFonts w:ascii="宋体" w:hAnsi="宋体" w:cs="宋体" w:eastAsia="宋体" w:hint="default"/>
                <w:sz w:val="21"/>
                <w:szCs w:val="21"/>
              </w:rPr>
              <w:t>金额</w:t>
            </w:r>
          </w:p>
        </w:tc>
      </w:tr>
      <w:tr>
        <w:trPr>
          <w:trHeight w:val="312" w:hRule="exact"/>
        </w:trPr>
        <w:tc>
          <w:tcPr>
            <w:tcW w:w="1462" w:type="dxa"/>
            <w:vMerge/>
            <w:tcBorders>
              <w:left w:val="single" w:sz="4" w:space="0" w:color="000000"/>
              <w:bottom w:val="nil" w:sz="6" w:space="0" w:color="auto"/>
              <w:right w:val="single" w:sz="4" w:space="0" w:color="000000"/>
            </w:tcBorders>
            <w:shd w:val="clear" w:color="auto" w:fill="D2D2D2"/>
          </w:tcPr>
          <w:p>
            <w:pPr/>
          </w:p>
        </w:tc>
        <w:tc>
          <w:tcPr>
            <w:tcW w:w="14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302" w:right="0"/>
              <w:jc w:val="left"/>
              <w:rPr>
                <w:rFonts w:ascii="宋体" w:hAnsi="宋体" w:cs="宋体" w:eastAsia="宋体" w:hint="default"/>
                <w:sz w:val="21"/>
                <w:szCs w:val="21"/>
              </w:rPr>
            </w:pPr>
            <w:r>
              <w:rPr>
                <w:rFonts w:ascii="宋体" w:hAnsi="宋体" w:cs="宋体" w:eastAsia="宋体" w:hint="default"/>
                <w:sz w:val="21"/>
                <w:szCs w:val="21"/>
              </w:rPr>
              <w:t>合同项目</w:t>
            </w:r>
          </w:p>
        </w:tc>
        <w:tc>
          <w:tcPr>
            <w:tcW w:w="14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57" w:type="dxa"/>
            <w:vMerge/>
            <w:tcBorders>
              <w:left w:val="single" w:sz="4" w:space="0" w:color="000000"/>
              <w:right w:val="single" w:sz="4" w:space="0" w:color="000000"/>
            </w:tcBorders>
            <w:shd w:val="clear" w:color="auto" w:fill="D2D2D2"/>
          </w:tcPr>
          <w:p>
            <w:pPr/>
          </w:p>
        </w:tc>
        <w:tc>
          <w:tcPr>
            <w:tcW w:w="1457" w:type="dxa"/>
            <w:vMerge/>
            <w:tcBorders>
              <w:left w:val="single" w:sz="4" w:space="0" w:color="000000"/>
              <w:right w:val="single" w:sz="4" w:space="0" w:color="000000"/>
            </w:tcBorders>
            <w:shd w:val="clear" w:color="auto" w:fill="D2D2D2"/>
          </w:tcPr>
          <w:p>
            <w:pPr/>
          </w:p>
        </w:tc>
        <w:tc>
          <w:tcPr>
            <w:tcW w:w="1457" w:type="dxa"/>
            <w:vMerge/>
            <w:tcBorders>
              <w:left w:val="single" w:sz="4" w:space="0" w:color="000000"/>
              <w:right w:val="single" w:sz="4" w:space="0" w:color="000000"/>
            </w:tcBorders>
            <w:shd w:val="clear" w:color="auto" w:fill="D2D2D2"/>
          </w:tcPr>
          <w:p>
            <w:pPr/>
          </w:p>
        </w:tc>
      </w:tr>
      <w:tr>
        <w:trPr>
          <w:trHeight w:val="156" w:hRule="exact"/>
        </w:trPr>
        <w:tc>
          <w:tcPr>
            <w:tcW w:w="1462" w:type="dxa"/>
            <w:vMerge w:val="restart"/>
            <w:tcBorders>
              <w:top w:val="nil" w:sz="6" w:space="0" w:color="auto"/>
              <w:left w:val="single" w:sz="4" w:space="0" w:color="000000"/>
              <w:right w:val="single" w:sz="4" w:space="0" w:color="000000"/>
            </w:tcBorders>
            <w:shd w:val="clear" w:color="auto" w:fill="D2D2D2"/>
          </w:tcPr>
          <w:p>
            <w:pPr>
              <w:pStyle w:val="TableParagraph"/>
              <w:spacing w:line="272" w:lineRule="exact"/>
              <w:ind w:left="23" w:right="0"/>
              <w:jc w:val="left"/>
              <w:rPr>
                <w:rFonts w:ascii="宋体" w:hAnsi="宋体" w:cs="宋体" w:eastAsia="宋体" w:hint="default"/>
                <w:sz w:val="21"/>
                <w:szCs w:val="21"/>
              </w:rPr>
            </w:pPr>
            <w:r>
              <w:rPr>
                <w:rFonts w:ascii="宋体" w:hAnsi="宋体" w:cs="宋体" w:eastAsia="宋体" w:hint="default"/>
                <w:sz w:val="21"/>
                <w:szCs w:val="21"/>
              </w:rPr>
              <w:t>成本加成合同</w:t>
            </w:r>
          </w:p>
        </w:tc>
        <w:tc>
          <w:tcPr>
            <w:tcW w:w="1457" w:type="dxa"/>
            <w:vMerge w:val="restart"/>
            <w:tcBorders>
              <w:top w:val="nil" w:sz="6" w:space="0" w:color="auto"/>
              <w:left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
        </w:tc>
        <w:tc>
          <w:tcPr>
            <w:tcW w:w="1457" w:type="dxa"/>
            <w:vMerge/>
            <w:tcBorders>
              <w:left w:val="single" w:sz="4" w:space="0" w:color="000000"/>
              <w:bottom w:val="nil" w:sz="6" w:space="0" w:color="auto"/>
              <w:right w:val="single" w:sz="4" w:space="0" w:color="000000"/>
            </w:tcBorders>
            <w:shd w:val="clear" w:color="auto" w:fill="D2D2D2"/>
          </w:tcPr>
          <w:p>
            <w:pPr/>
          </w:p>
        </w:tc>
        <w:tc>
          <w:tcPr>
            <w:tcW w:w="1457" w:type="dxa"/>
            <w:vMerge/>
            <w:tcBorders>
              <w:left w:val="single" w:sz="4" w:space="0" w:color="000000"/>
              <w:right w:val="single" w:sz="4" w:space="0" w:color="000000"/>
            </w:tcBorders>
            <w:shd w:val="clear" w:color="auto" w:fill="D2D2D2"/>
          </w:tcPr>
          <w:p>
            <w:pPr/>
          </w:p>
        </w:tc>
        <w:tc>
          <w:tcPr>
            <w:tcW w:w="145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462" w:type="dxa"/>
            <w:vMerge/>
            <w:tcBorders>
              <w:left w:val="single" w:sz="4" w:space="0" w:color="000000"/>
              <w:bottom w:val="nil" w:sz="6" w:space="0" w:color="auto"/>
              <w:right w:val="single" w:sz="4" w:space="0" w:color="000000"/>
            </w:tcBorders>
            <w:shd w:val="clear" w:color="auto" w:fill="D2D2D2"/>
          </w:tcPr>
          <w:p>
            <w:pPr/>
          </w:p>
        </w:tc>
        <w:tc>
          <w:tcPr>
            <w:tcW w:w="1457" w:type="dxa"/>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single" w:sz="4" w:space="0" w:color="000000"/>
              <w:right w:val="single" w:sz="4" w:space="0" w:color="000000"/>
            </w:tcBorders>
            <w:shd w:val="clear" w:color="auto" w:fill="D2D2D2"/>
          </w:tcPr>
          <w:p>
            <w:pPr/>
          </w:p>
        </w:tc>
        <w:tc>
          <w:tcPr>
            <w:tcW w:w="14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7" w:type="dxa"/>
            <w:vMerge/>
            <w:tcBorders>
              <w:left w:val="single" w:sz="4" w:space="0" w:color="000000"/>
              <w:bottom w:val="single" w:sz="4" w:space="0" w:color="000000"/>
              <w:right w:val="single" w:sz="4" w:space="0" w:color="000000"/>
            </w:tcBorders>
            <w:shd w:val="clear" w:color="auto" w:fill="D2D2D2"/>
          </w:tcPr>
          <w:p>
            <w:pPr/>
          </w:p>
        </w:tc>
        <w:tc>
          <w:tcPr>
            <w:tcW w:w="14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1462" w:type="dxa"/>
            <w:vMerge w:val="restart"/>
            <w:tcBorders>
              <w:top w:val="nil" w:sz="6" w:space="0" w:color="auto"/>
              <w:left w:val="single" w:sz="4" w:space="0" w:color="000000"/>
              <w:right w:val="single" w:sz="4" w:space="0" w:color="000000"/>
            </w:tcBorders>
            <w:shd w:val="clear" w:color="auto" w:fill="D2D2D2"/>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462" w:type="dxa"/>
            <w:vMerge/>
            <w:tcBorders>
              <w:left w:val="single" w:sz="4" w:space="0" w:color="000000"/>
              <w:bottom w:val="single" w:sz="4" w:space="0" w:color="000000"/>
              <w:right w:val="single" w:sz="4" w:space="0" w:color="000000"/>
            </w:tcBorders>
            <w:shd w:val="clear" w:color="auto" w:fill="D2D2D2"/>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w w:val="100"/>
                <w:sz w:val="21"/>
              </w:rPr>
              <w:t>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w w:val="100"/>
                <w:sz w:val="21"/>
              </w:rPr>
              <w:t>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w w:val="100"/>
                <w:sz w:val="21"/>
              </w:rPr>
              <w:t>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w w:val="100"/>
                <w:sz w:val="21"/>
              </w:rPr>
              <w:t>0</w:t>
            </w:r>
          </w:p>
        </w:tc>
      </w:tr>
    </w:tbl>
    <w:p>
      <w:pPr>
        <w:spacing w:line="247" w:lineRule="auto" w:before="0"/>
        <w:ind w:left="558" w:right="3165" w:firstLine="0"/>
        <w:jc w:val="left"/>
        <w:rPr>
          <w:rFonts w:ascii="宋体" w:hAnsi="宋体" w:cs="宋体" w:eastAsia="宋体" w:hint="default"/>
          <w:sz w:val="21"/>
          <w:szCs w:val="21"/>
        </w:rPr>
      </w:pPr>
      <w:r>
        <w:rPr>
          <w:rFonts w:ascii="宋体" w:hAnsi="宋体" w:cs="宋体" w:eastAsia="宋体" w:hint="default"/>
          <w:sz w:val="21"/>
          <w:szCs w:val="21"/>
        </w:rPr>
        <w:t>注：披露单项合同本期确认收入占营业收入</w:t>
      </w:r>
      <w:r>
        <w:rPr>
          <w:rFonts w:ascii="宋体" w:hAnsi="宋体" w:cs="宋体" w:eastAsia="宋体" w:hint="default"/>
          <w:spacing w:val="-55"/>
          <w:sz w:val="21"/>
          <w:szCs w:val="21"/>
        </w:rPr>
        <w:t> </w:t>
      </w:r>
      <w:r>
        <w:rPr>
          <w:rFonts w:ascii="Calibri" w:hAnsi="Calibri" w:cs="Calibri" w:eastAsia="Calibri" w:hint="default"/>
          <w:sz w:val="21"/>
          <w:szCs w:val="21"/>
        </w:rPr>
        <w:t>10%</w:t>
      </w:r>
      <w:r>
        <w:rPr>
          <w:rFonts w:ascii="宋体" w:hAnsi="宋体" w:cs="宋体" w:eastAsia="宋体" w:hint="default"/>
          <w:sz w:val="21"/>
          <w:szCs w:val="21"/>
        </w:rPr>
        <w:t>以上的项目。</w:t>
      </w:r>
      <w:r>
        <w:rPr>
          <w:rFonts w:ascii="宋体" w:hAnsi="宋体" w:cs="宋体" w:eastAsia="宋体" w:hint="default"/>
          <w:w w:val="100"/>
          <w:sz w:val="21"/>
          <w:szCs w:val="21"/>
        </w:rPr>
        <w:t> </w:t>
      </w:r>
      <w:r>
        <w:rPr>
          <w:rFonts w:ascii="宋体" w:hAnsi="宋体" w:cs="宋体" w:eastAsia="宋体" w:hint="default"/>
          <w:sz w:val="21"/>
          <w:szCs w:val="21"/>
        </w:rPr>
        <w:t>合同项目的说明：无</w:t>
      </w:r>
    </w:p>
    <w:p>
      <w:pPr>
        <w:spacing w:line="240" w:lineRule="auto" w:before="4"/>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544"/>
        <w:gridCol w:w="1831"/>
        <w:gridCol w:w="1702"/>
        <w:gridCol w:w="2672"/>
      </w:tblGrid>
      <w:tr>
        <w:trPr>
          <w:trHeight w:val="323"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38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计缴标准</w:t>
            </w:r>
            <w:r>
              <w:rPr>
                <w:rFonts w:ascii="宋体" w:hAnsi="宋体" w:cs="宋体" w:eastAsia="宋体" w:hint="default"/>
                <w:sz w:val="21"/>
                <w:szCs w:val="21"/>
              </w:rPr>
            </w:r>
          </w:p>
        </w:tc>
      </w:tr>
      <w:tr>
        <w:trPr>
          <w:trHeight w:val="322"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18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10"/>
              <w:jc w:val="right"/>
              <w:rPr>
                <w:rFonts w:ascii="Calibri" w:hAnsi="Calibri" w:cs="Calibri" w:eastAsia="Calibri" w:hint="default"/>
                <w:sz w:val="21"/>
                <w:szCs w:val="21"/>
              </w:rPr>
            </w:pPr>
            <w:r>
              <w:rPr>
                <w:rFonts w:ascii="Calibri"/>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18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-3,548,611.72</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5,163,508.79</w:t>
            </w:r>
            <w:r>
              <w:rPr>
                <w:rFonts w:ascii="Arial Narrow"/>
                <w:sz w:val="21"/>
              </w:rPr>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Calibri" w:hAnsi="Calibri" w:cs="Calibri" w:eastAsia="Calibri" w:hint="default"/>
                <w:sz w:val="21"/>
                <w:szCs w:val="21"/>
              </w:rPr>
            </w:pPr>
            <w:r>
              <w:rPr>
                <w:rFonts w:ascii="宋体" w:hAnsi="宋体" w:cs="宋体" w:eastAsia="宋体" w:hint="default"/>
                <w:sz w:val="21"/>
                <w:szCs w:val="21"/>
              </w:rPr>
              <w:t>应税收入之</w:t>
            </w:r>
            <w:r>
              <w:rPr>
                <w:rFonts w:ascii="宋体" w:hAnsi="宋体" w:cs="宋体" w:eastAsia="宋体" w:hint="default"/>
                <w:spacing w:val="-55"/>
                <w:sz w:val="21"/>
                <w:szCs w:val="21"/>
              </w:rPr>
              <w:t> </w:t>
            </w:r>
            <w:r>
              <w:rPr>
                <w:rFonts w:ascii="Calibri" w:hAnsi="Calibri" w:cs="Calibri" w:eastAsia="Calibri" w:hint="default"/>
                <w:sz w:val="21"/>
                <w:szCs w:val="21"/>
              </w:rPr>
              <w:t>5%</w:t>
            </w:r>
          </w:p>
        </w:tc>
      </w:tr>
      <w:tr>
        <w:trPr>
          <w:trHeight w:val="322"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18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637,914.76</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1,111,918.59</w:t>
            </w:r>
            <w:r>
              <w:rPr>
                <w:rFonts w:ascii="Arial Narrow"/>
                <w:sz w:val="21"/>
              </w:rPr>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Calibri" w:hAnsi="Calibri" w:cs="Calibri" w:eastAsia="Calibri" w:hint="default"/>
                <w:sz w:val="21"/>
                <w:szCs w:val="21"/>
              </w:rPr>
            </w:pPr>
            <w:r>
              <w:rPr>
                <w:rFonts w:ascii="宋体" w:hAnsi="宋体" w:cs="宋体" w:eastAsia="宋体" w:hint="default"/>
                <w:sz w:val="21"/>
                <w:szCs w:val="21"/>
              </w:rPr>
              <w:t>应纳流转税之</w:t>
            </w:r>
            <w:r>
              <w:rPr>
                <w:rFonts w:ascii="宋体" w:hAnsi="宋体" w:cs="宋体" w:eastAsia="宋体" w:hint="default"/>
                <w:spacing w:val="-53"/>
                <w:sz w:val="21"/>
                <w:szCs w:val="21"/>
              </w:rPr>
              <w:t> </w:t>
            </w:r>
            <w:r>
              <w:rPr>
                <w:rFonts w:ascii="Calibri" w:hAnsi="Calibri" w:cs="Calibri" w:eastAsia="Calibri" w:hint="default"/>
                <w:sz w:val="21"/>
                <w:szCs w:val="21"/>
              </w:rPr>
              <w:t>7%</w:t>
            </w:r>
          </w:p>
        </w:tc>
      </w:tr>
      <w:tr>
        <w:trPr>
          <w:trHeight w:val="322"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18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280,369.61</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477,082.60</w:t>
            </w:r>
            <w:r>
              <w:rPr>
                <w:rFonts w:ascii="Arial Narrow"/>
                <w:sz w:val="21"/>
              </w:rPr>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Calibri" w:hAnsi="Calibri" w:cs="Calibri" w:eastAsia="Calibri" w:hint="default"/>
                <w:sz w:val="21"/>
                <w:szCs w:val="21"/>
              </w:rPr>
            </w:pPr>
            <w:r>
              <w:rPr>
                <w:rFonts w:ascii="宋体" w:hAnsi="宋体" w:cs="宋体" w:eastAsia="宋体" w:hint="default"/>
                <w:sz w:val="21"/>
                <w:szCs w:val="21"/>
              </w:rPr>
              <w:t>应纳流转税之</w:t>
            </w:r>
            <w:r>
              <w:rPr>
                <w:rFonts w:ascii="宋体" w:hAnsi="宋体" w:cs="宋体" w:eastAsia="宋体" w:hint="default"/>
                <w:spacing w:val="-53"/>
                <w:sz w:val="21"/>
                <w:szCs w:val="21"/>
              </w:rPr>
              <w:t> </w:t>
            </w:r>
            <w:r>
              <w:rPr>
                <w:rFonts w:ascii="Calibri" w:hAnsi="Calibri" w:cs="Calibri" w:eastAsia="Calibri" w:hint="default"/>
                <w:sz w:val="21"/>
                <w:szCs w:val="21"/>
              </w:rPr>
              <w:t>3%</w:t>
            </w:r>
          </w:p>
        </w:tc>
      </w:tr>
      <w:tr>
        <w:trPr>
          <w:trHeight w:val="322"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18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Arial Narrow" w:hAnsi="Arial Narrow" w:cs="Arial Narrow" w:eastAsia="Arial Narrow" w:hint="default"/>
                <w:sz w:val="21"/>
                <w:szCs w:val="21"/>
              </w:rPr>
            </w:pPr>
            <w:r>
              <w:rPr>
                <w:rFonts w:ascii="Arial Narrow"/>
                <w:spacing w:val="-1"/>
                <w:sz w:val="21"/>
              </w:rPr>
              <w:t>278,366.84</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Arial Narrow" w:hAnsi="Arial Narrow" w:cs="Arial Narrow" w:eastAsia="Arial Narrow" w:hint="default"/>
                <w:sz w:val="21"/>
                <w:szCs w:val="21"/>
              </w:rPr>
            </w:pPr>
            <w:r>
              <w:rPr>
                <w:rFonts w:ascii="Arial Narrow"/>
                <w:w w:val="100"/>
                <w:sz w:val="21"/>
              </w:rPr>
              <w:t>-</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3" w:right="0"/>
              <w:jc w:val="left"/>
              <w:rPr>
                <w:rFonts w:ascii="Calibri" w:hAnsi="Calibri" w:cs="Calibri" w:eastAsia="Calibri" w:hint="default"/>
                <w:sz w:val="21"/>
                <w:szCs w:val="21"/>
              </w:rPr>
            </w:pPr>
            <w:r>
              <w:rPr>
                <w:rFonts w:ascii="宋体" w:hAnsi="宋体" w:cs="宋体" w:eastAsia="宋体" w:hint="default"/>
                <w:sz w:val="21"/>
                <w:szCs w:val="21"/>
              </w:rPr>
              <w:t>应纳流转税之</w:t>
            </w:r>
            <w:r>
              <w:rPr>
                <w:rFonts w:ascii="宋体" w:hAnsi="宋体" w:cs="宋体" w:eastAsia="宋体" w:hint="default"/>
                <w:spacing w:val="-53"/>
                <w:sz w:val="21"/>
                <w:szCs w:val="21"/>
              </w:rPr>
              <w:t> </w:t>
            </w:r>
            <w:r>
              <w:rPr>
                <w:rFonts w:ascii="Calibri" w:hAnsi="Calibri" w:cs="Calibri" w:eastAsia="Calibri" w:hint="default"/>
                <w:sz w:val="21"/>
                <w:szCs w:val="21"/>
              </w:rPr>
              <w:t>2%</w:t>
            </w:r>
          </w:p>
        </w:tc>
      </w:tr>
      <w:tr>
        <w:trPr>
          <w:trHeight w:val="322" w:hRule="exact"/>
        </w:trPr>
        <w:tc>
          <w:tcPr>
            <w:tcW w:w="25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堤围防护费</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1,641.89</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2,877.95</w:t>
            </w:r>
            <w:r>
              <w:rPr>
                <w:rFonts w:ascii="Arial Narrow"/>
                <w:sz w:val="21"/>
              </w:rPr>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5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-2,350,318.62</w:t>
            </w:r>
            <w:r>
              <w:rPr>
                <w:rFonts w:ascii="Arial Narrow"/>
                <w:sz w:val="21"/>
              </w:rPr>
            </w:r>
          </w:p>
        </w:tc>
        <w:tc>
          <w:tcPr>
            <w:tcW w:w="170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33"/>
              <w:ind w:right="10"/>
              <w:jc w:val="right"/>
              <w:rPr>
                <w:rFonts w:ascii="Arial Narrow" w:hAnsi="Arial Narrow" w:cs="Arial Narrow" w:eastAsia="Arial Narrow" w:hint="default"/>
                <w:sz w:val="21"/>
                <w:szCs w:val="21"/>
              </w:rPr>
            </w:pPr>
            <w:r>
              <w:rPr>
                <w:rFonts w:ascii="Arial Narrow"/>
                <w:spacing w:val="-1"/>
                <w:sz w:val="21"/>
              </w:rPr>
              <w:t>6,755,387.93</w:t>
            </w:r>
            <w:r>
              <w:rPr>
                <w:rFonts w:ascii="Arial Narrow"/>
                <w:sz w:val="21"/>
              </w:rPr>
            </w:r>
          </w:p>
        </w:tc>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Calibri" w:hAnsi="Calibri" w:cs="Calibri" w:eastAsia="Calibri" w:hint="default"/>
                <w:sz w:val="21"/>
                <w:szCs w:val="21"/>
              </w:rPr>
            </w:pPr>
            <w:r>
              <w:rPr>
                <w:rFonts w:ascii="Calibri"/>
                <w:sz w:val="21"/>
              </w:rPr>
              <w:t>--</w:t>
            </w:r>
          </w:p>
        </w:tc>
      </w:tr>
    </w:tbl>
    <w:p>
      <w:pPr>
        <w:spacing w:line="263"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营业税金及附加的说明：无</w:t>
      </w:r>
    </w:p>
    <w:p>
      <w:pPr>
        <w:spacing w:line="240" w:lineRule="auto" w:before="10"/>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917"/>
        <w:gridCol w:w="2916"/>
        <w:gridCol w:w="2917"/>
      </w:tblGrid>
      <w:tr>
        <w:trPr>
          <w:trHeight w:val="322"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2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2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工资</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2"/>
                <w:sz w:val="21"/>
              </w:rPr>
              <w:t>22,376,791.22</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24,028,446.29</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招待费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2"/>
                <w:sz w:val="21"/>
              </w:rPr>
              <w:t>10,461,247.30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8,355,821.45</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差旅费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2"/>
                <w:sz w:val="21"/>
              </w:rPr>
              <w:t>9,888,627.20</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7,493,741.19</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办公费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2"/>
                <w:sz w:val="21"/>
              </w:rPr>
              <w:t>7,054,341.20</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6,844,405.65</w:t>
            </w:r>
            <w:r>
              <w:rPr>
                <w:rFonts w:ascii="Arial Narrow"/>
                <w:sz w:val="21"/>
              </w:rPr>
            </w:r>
          </w:p>
        </w:tc>
      </w:tr>
      <w:tr>
        <w:trPr>
          <w:trHeight w:val="325"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社会保险</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Arial Narrow" w:hAnsi="Arial Narrow" w:cs="Arial Narrow" w:eastAsia="Arial Narrow" w:hint="default"/>
                <w:sz w:val="21"/>
                <w:szCs w:val="21"/>
              </w:rPr>
            </w:pPr>
            <w:r>
              <w:rPr>
                <w:rFonts w:ascii="Arial Narrow"/>
                <w:spacing w:val="-2"/>
                <w:sz w:val="21"/>
              </w:rPr>
              <w:t>4,057,101.12</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3,312,803.46</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车费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2"/>
                <w:sz w:val="21"/>
              </w:rPr>
              <w:t>3,075,842.97</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1,742,438.49</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福利费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2"/>
                <w:sz w:val="21"/>
              </w:rPr>
              <w:t>1,720,795.09</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1,296,977.28</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电话费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2"/>
                <w:sz w:val="21"/>
              </w:rPr>
              <w:t>1,243,134.49</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1,036,107.20</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宣传费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950,579.56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1,108,884.26</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折旧</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540,733.80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500,585.66</w:t>
            </w:r>
            <w:r>
              <w:rPr>
                <w:rFonts w:ascii="Arial Narrow"/>
                <w:sz w:val="21"/>
              </w:rPr>
            </w:r>
          </w:p>
        </w:tc>
      </w:tr>
      <w:tr>
        <w:trPr>
          <w:trHeight w:val="324"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9"/>
              <w:jc w:val="right"/>
              <w:rPr>
                <w:rFonts w:ascii="Arial Narrow" w:hAnsi="Arial Narrow" w:cs="Arial Narrow" w:eastAsia="Arial Narrow" w:hint="default"/>
                <w:sz w:val="21"/>
                <w:szCs w:val="21"/>
              </w:rPr>
            </w:pPr>
            <w:r>
              <w:rPr>
                <w:rFonts w:ascii="Arial Narrow"/>
                <w:spacing w:val="-1"/>
                <w:sz w:val="21"/>
              </w:rPr>
              <w:t>161,293.69</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1,244,032.14</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61,530,487.64</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56,964,243.07</w:t>
            </w:r>
            <w:r>
              <w:rPr>
                <w:rFonts w:ascii="Arial Narrow"/>
                <w:sz w:val="21"/>
              </w:rPr>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2"/>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917"/>
        <w:gridCol w:w="2916"/>
        <w:gridCol w:w="2905"/>
      </w:tblGrid>
      <w:tr>
        <w:trPr>
          <w:trHeight w:val="323"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92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92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bl>
    <w:p>
      <w:pPr>
        <w:spacing w:after="0" w:line="264" w:lineRule="exact"/>
        <w:jc w:val="left"/>
        <w:rPr>
          <w:rFonts w:ascii="宋体" w:hAnsi="宋体" w:cs="宋体" w:eastAsia="宋体" w:hint="default"/>
          <w:sz w:val="21"/>
          <w:szCs w:val="21"/>
        </w:rPr>
        <w:sectPr>
          <w:pgSz w:w="11910" w:h="16840"/>
          <w:pgMar w:header="884" w:footer="1007" w:top="1160" w:bottom="1200" w:left="1240" w:right="1260"/>
        </w:sectPr>
      </w:pPr>
    </w:p>
    <w:p>
      <w:pPr>
        <w:spacing w:line="240" w:lineRule="auto" w:before="13"/>
        <w:rPr>
          <w:rFonts w:ascii="宋体" w:hAnsi="宋体" w:cs="宋体" w:eastAsia="宋体" w:hint="default"/>
          <w:sz w:val="19"/>
          <w:szCs w:val="19"/>
        </w:rPr>
      </w:pPr>
    </w:p>
    <w:tbl>
      <w:tblPr>
        <w:tblW w:w="0" w:type="auto"/>
        <w:jc w:val="left"/>
        <w:tblInd w:w="524" w:type="dxa"/>
        <w:tblLayout w:type="fixed"/>
        <w:tblCellMar>
          <w:top w:w="0" w:type="dxa"/>
          <w:left w:w="0" w:type="dxa"/>
          <w:bottom w:w="0" w:type="dxa"/>
          <w:right w:w="0" w:type="dxa"/>
        </w:tblCellMar>
        <w:tblLook w:val="01E0"/>
      </w:tblPr>
      <w:tblGrid>
        <w:gridCol w:w="2917"/>
        <w:gridCol w:w="2916"/>
        <w:gridCol w:w="2917"/>
      </w:tblGrid>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工资</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70,706,804.71</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64,409,194.41</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社会保险</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12,969,699.64</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7,870,404.50</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办公费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11,885,035.97</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12,126,554.91</w:t>
            </w:r>
            <w:r>
              <w:rPr>
                <w:rFonts w:ascii="Arial Narrow"/>
                <w:sz w:val="21"/>
              </w:rPr>
            </w:r>
          </w:p>
        </w:tc>
      </w:tr>
      <w:tr>
        <w:trPr>
          <w:trHeight w:val="324"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股权激励</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9,675,090.11</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2,984,678.29</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福利费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5,527,408.41</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4,234,593.72</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差旅费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4,275,797.59</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5,210,846.35</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折旧</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4,242,127.26</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4,190,664.38</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招待费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1,955,187.59</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1,870,561.86</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车费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1,731,039.24</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1,396,107.45</w:t>
            </w:r>
            <w:r>
              <w:rPr>
                <w:rFonts w:ascii="Arial Narrow"/>
                <w:sz w:val="21"/>
              </w:rPr>
            </w:r>
          </w:p>
        </w:tc>
      </w:tr>
      <w:tr>
        <w:trPr>
          <w:trHeight w:val="324"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工会经费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1,618,821.80</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w w:val="100"/>
                <w:sz w:val="21"/>
              </w:rPr>
              <w:t>-</w:t>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电话费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844,092.35</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1,011,655.71</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中介费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634,123.07</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711,033.89</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2,420,600.84</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2,269,901.16</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128,485,828.58</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108,286,196.63</w:t>
            </w:r>
            <w:r>
              <w:rPr>
                <w:rFonts w:ascii="Arial Narrow"/>
                <w:sz w:val="21"/>
              </w:rPr>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、财务费用</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917"/>
        <w:gridCol w:w="2916"/>
        <w:gridCol w:w="2917"/>
      </w:tblGrid>
      <w:tr>
        <w:trPr>
          <w:trHeight w:val="322"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2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2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利息支出</w:t>
            </w:r>
          </w:p>
        </w:tc>
        <w:tc>
          <w:tcPr>
            <w:tcW w:w="2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918,150.67</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358,646.30</w:t>
            </w:r>
            <w:r>
              <w:rPr>
                <w:rFonts w:ascii="Arial Narrow"/>
                <w:sz w:val="21"/>
              </w:rPr>
            </w:r>
          </w:p>
        </w:tc>
      </w:tr>
      <w:tr>
        <w:trPr>
          <w:trHeight w:val="324"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减：利息收入</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2,972,526.86</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7,576,564.53</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汇兑损益</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3,996.38</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5,907.66</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手续费</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82,826.87</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90,013.14</w:t>
            </w:r>
            <w:r>
              <w:rPr>
                <w:rFonts w:ascii="Arial Narrow"/>
                <w:sz w:val="21"/>
              </w:rPr>
            </w:r>
          </w:p>
        </w:tc>
      </w:tr>
      <w:tr>
        <w:trPr>
          <w:trHeight w:val="322"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2"/>
                <w:sz w:val="21"/>
              </w:rPr>
              <w:t>-1,967,552.94</w:t>
            </w:r>
            <w:r>
              <w:rPr>
                <w:rFonts w:ascii="Arial Narrow"/>
                <w:sz w:val="21"/>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-7,121,997.43</w:t>
            </w:r>
            <w:r>
              <w:rPr>
                <w:rFonts w:ascii="Arial Narrow"/>
                <w:sz w:val="21"/>
              </w:rPr>
            </w:r>
          </w:p>
        </w:tc>
      </w:tr>
    </w:tbl>
    <w:p>
      <w:pPr>
        <w:spacing w:line="240" w:lineRule="auto" w:before="3"/>
        <w:rPr>
          <w:rFonts w:ascii="宋体" w:hAnsi="宋体" w:cs="宋体" w:eastAsia="宋体" w:hint="default"/>
          <w:sz w:val="19"/>
          <w:szCs w:val="19"/>
        </w:rPr>
      </w:pPr>
    </w:p>
    <w:p>
      <w:pPr>
        <w:spacing w:line="506" w:lineRule="auto" w:before="36"/>
        <w:ind w:left="558" w:right="672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、公允价值变动收益</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before="104"/>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61</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5251"/>
        <w:gridCol w:w="1857"/>
        <w:gridCol w:w="1630"/>
      </w:tblGrid>
      <w:tr>
        <w:trPr>
          <w:trHeight w:val="322" w:hRule="exact"/>
        </w:trPr>
        <w:tc>
          <w:tcPr>
            <w:tcW w:w="5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0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80"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2" w:hRule="exact"/>
        </w:trPr>
        <w:tc>
          <w:tcPr>
            <w:tcW w:w="5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1857"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18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3,719,977.82</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1,382,565.19</w:t>
            </w:r>
            <w:r>
              <w:rPr>
                <w:rFonts w:ascii="Arial Narrow"/>
                <w:sz w:val="21"/>
              </w:rPr>
            </w:r>
          </w:p>
        </w:tc>
      </w:tr>
      <w:tr>
        <w:trPr>
          <w:trHeight w:val="323" w:hRule="exact"/>
        </w:trPr>
        <w:tc>
          <w:tcPr>
            <w:tcW w:w="5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185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1,012,174.06</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r>
      <w:tr>
        <w:trPr>
          <w:trHeight w:val="323" w:hRule="exact"/>
        </w:trPr>
        <w:tc>
          <w:tcPr>
            <w:tcW w:w="5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1857"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持有至到期投资取得的投资收益期间取得的投资收益</w:t>
            </w:r>
          </w:p>
        </w:tc>
        <w:tc>
          <w:tcPr>
            <w:tcW w:w="1857"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持有可供出售金融资产等期间取得的投资收益</w:t>
            </w:r>
          </w:p>
        </w:tc>
        <w:tc>
          <w:tcPr>
            <w:tcW w:w="1857"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1857"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w:t>
            </w:r>
          </w:p>
        </w:tc>
        <w:tc>
          <w:tcPr>
            <w:tcW w:w="1857"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5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1857" w:type="dxa"/>
            <w:tcBorders>
              <w:top w:val="single" w:sz="4" w:space="0" w:color="000000"/>
              <w:left w:val="single" w:sz="12"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007" w:top="1160" w:bottom="1200" w:left="1240" w:right="1260"/>
        </w:sectPr>
      </w:pPr>
    </w:p>
    <w:p>
      <w:pPr>
        <w:spacing w:line="240" w:lineRule="auto" w:before="13"/>
        <w:rPr>
          <w:rFonts w:ascii="宋体" w:hAnsi="宋体" w:cs="宋体" w:eastAsia="宋体" w:hint="default"/>
          <w:sz w:val="19"/>
          <w:szCs w:val="19"/>
        </w:rPr>
      </w:pPr>
    </w:p>
    <w:tbl>
      <w:tblPr>
        <w:tblW w:w="0" w:type="auto"/>
        <w:jc w:val="left"/>
        <w:tblInd w:w="524" w:type="dxa"/>
        <w:tblLayout w:type="fixed"/>
        <w:tblCellMar>
          <w:top w:w="0" w:type="dxa"/>
          <w:left w:w="0" w:type="dxa"/>
          <w:bottom w:w="0" w:type="dxa"/>
          <w:right w:w="0" w:type="dxa"/>
        </w:tblCellMar>
        <w:tblLook w:val="01E0"/>
      </w:tblPr>
      <w:tblGrid>
        <w:gridCol w:w="5274"/>
        <w:gridCol w:w="1846"/>
        <w:gridCol w:w="1630"/>
      </w:tblGrid>
      <w:tr>
        <w:trPr>
          <w:trHeight w:val="322" w:hRule="exact"/>
        </w:trPr>
        <w:tc>
          <w:tcPr>
            <w:tcW w:w="5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315.29</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324.93</w:t>
            </w:r>
            <w:r>
              <w:rPr>
                <w:rFonts w:ascii="Arial Narrow"/>
                <w:sz w:val="21"/>
              </w:rPr>
            </w:r>
          </w:p>
        </w:tc>
      </w:tr>
      <w:tr>
        <w:trPr>
          <w:trHeight w:val="322" w:hRule="exact"/>
        </w:trPr>
        <w:tc>
          <w:tcPr>
            <w:tcW w:w="5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4,732,467.17</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1,382,890.12</w:t>
            </w:r>
            <w:r>
              <w:rPr>
                <w:rFonts w:ascii="Arial Narrow"/>
                <w:sz w:val="21"/>
              </w:rPr>
            </w:r>
          </w:p>
        </w:tc>
      </w:tr>
    </w:tbl>
    <w:p>
      <w:pPr>
        <w:spacing w:line="240" w:lineRule="auto" w:before="3"/>
        <w:rPr>
          <w:rFonts w:ascii="宋体" w:hAnsi="宋体" w:cs="宋体" w:eastAsia="宋体" w:hint="default"/>
          <w:sz w:val="19"/>
          <w:szCs w:val="19"/>
        </w:rPr>
      </w:pPr>
    </w:p>
    <w:p>
      <w:pPr>
        <w:spacing w:line="506" w:lineRule="auto" w:before="36"/>
        <w:ind w:left="558" w:right="4987"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）按成本法核算的长期股权投资收益</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sz w:val="21"/>
          <w:szCs w:val="21"/>
        </w:rPr>
        <w:t>无</w:t>
      </w:r>
    </w:p>
    <w:p>
      <w:pPr>
        <w:spacing w:before="104"/>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）按权益法核算的长期股权投资收益</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679"/>
        <w:gridCol w:w="1822"/>
        <w:gridCol w:w="1577"/>
        <w:gridCol w:w="2672"/>
      </w:tblGrid>
      <w:tr>
        <w:trPr>
          <w:trHeight w:val="32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08" w:right="0"/>
              <w:jc w:val="left"/>
              <w:rPr>
                <w:rFonts w:ascii="宋体" w:hAnsi="宋体" w:cs="宋体" w:eastAsia="宋体" w:hint="default"/>
                <w:sz w:val="21"/>
                <w:szCs w:val="21"/>
              </w:rPr>
            </w:pPr>
            <w:r>
              <w:rPr>
                <w:rFonts w:ascii="宋体" w:hAnsi="宋体" w:cs="宋体" w:eastAsia="宋体" w:hint="default"/>
                <w:b/>
                <w:bCs/>
                <w:sz w:val="21"/>
                <w:szCs w:val="21"/>
              </w:rPr>
              <w:t>被投资单位</w:t>
            </w:r>
            <w:r>
              <w:rPr>
                <w:rFonts w:ascii="宋体" w:hAnsi="宋体" w:cs="宋体" w:eastAsia="宋体" w:hint="default"/>
                <w:sz w:val="21"/>
                <w:szCs w:val="21"/>
              </w:rPr>
            </w:r>
          </w:p>
        </w:tc>
        <w:tc>
          <w:tcPr>
            <w:tcW w:w="18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7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5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4" w:right="0"/>
              <w:jc w:val="left"/>
              <w:rPr>
                <w:rFonts w:ascii="宋体" w:hAnsi="宋体" w:cs="宋体" w:eastAsia="宋体" w:hint="default"/>
                <w:sz w:val="21"/>
                <w:szCs w:val="21"/>
              </w:rPr>
            </w:pPr>
            <w:r>
              <w:rPr>
                <w:rFonts w:ascii="宋体" w:hAnsi="宋体" w:cs="宋体" w:eastAsia="宋体" w:hint="default"/>
                <w:b/>
                <w:bCs/>
                <w:sz w:val="21"/>
                <w:szCs w:val="21"/>
              </w:rPr>
              <w:t>本期比上期增减变动的原因</w:t>
            </w:r>
            <w:r>
              <w:rPr>
                <w:rFonts w:ascii="宋体" w:hAnsi="宋体" w:cs="宋体" w:eastAsia="宋体" w:hint="default"/>
                <w:sz w:val="21"/>
                <w:szCs w:val="21"/>
              </w:rPr>
            </w:r>
          </w:p>
        </w:tc>
      </w:tr>
      <w:tr>
        <w:trPr>
          <w:trHeight w:val="322"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浙江中科数城软件有限公司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-114,988.64</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-327,418.55</w:t>
            </w:r>
            <w:r>
              <w:rPr>
                <w:rFonts w:ascii="Arial Narrow"/>
                <w:sz w:val="21"/>
              </w:rPr>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r>
        <w:trPr>
          <w:trHeight w:val="946" w:hRule="exact"/>
        </w:trPr>
        <w:tc>
          <w:tcPr>
            <w:tcW w:w="267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20"/>
              <w:jc w:val="left"/>
              <w:rPr>
                <w:rFonts w:ascii="宋体" w:hAnsi="宋体" w:cs="宋体" w:eastAsia="宋体" w:hint="default"/>
                <w:sz w:val="21"/>
                <w:szCs w:val="21"/>
              </w:rPr>
            </w:pPr>
            <w:r>
              <w:rPr>
                <w:rFonts w:ascii="宋体" w:hAnsi="宋体" w:cs="宋体" w:eastAsia="宋体" w:hint="default"/>
                <w:spacing w:val="-2"/>
                <w:sz w:val="21"/>
                <w:szCs w:val="21"/>
              </w:rPr>
              <w:t>北京国遥新天地信息技术有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0"/>
              <w:jc w:val="right"/>
              <w:rPr>
                <w:rFonts w:ascii="Arial Narrow" w:hAnsi="Arial Narrow" w:cs="Arial Narrow" w:eastAsia="Arial Narrow" w:hint="default"/>
                <w:sz w:val="21"/>
                <w:szCs w:val="21"/>
              </w:rPr>
            </w:pPr>
            <w:r>
              <w:rPr>
                <w:rFonts w:ascii="Arial Narrow"/>
                <w:spacing w:val="-1"/>
                <w:sz w:val="21"/>
              </w:rPr>
              <w:t>4,847,140.52</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spacing w:val="-1"/>
                <w:sz w:val="21"/>
              </w:rPr>
              <w:t>1,709,983.74</w:t>
            </w:r>
            <w:r>
              <w:rPr>
                <w:rFonts w:ascii="Arial Narrow"/>
                <w:sz w:val="21"/>
              </w:rPr>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13"/>
              <w:jc w:val="both"/>
              <w:rPr>
                <w:rFonts w:ascii="宋体" w:hAnsi="宋体" w:cs="宋体" w:eastAsia="宋体" w:hint="default"/>
                <w:sz w:val="21"/>
                <w:szCs w:val="21"/>
              </w:rPr>
            </w:pPr>
            <w:r>
              <w:rPr>
                <w:rFonts w:ascii="宋体" w:hAnsi="宋体" w:cs="宋体" w:eastAsia="宋体" w:hint="default"/>
                <w:spacing w:val="-2"/>
                <w:sz w:val="21"/>
                <w:szCs w:val="21"/>
              </w:rPr>
              <w:t>被投资单位净利润变化及处</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置被投资单位股权确认的当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期损益</w:t>
            </w:r>
          </w:p>
        </w:tc>
      </w:tr>
      <w:tr>
        <w:trPr>
          <w:trHeight w:val="322" w:hRule="exact"/>
        </w:trPr>
        <w:tc>
          <w:tcPr>
            <w:tcW w:w="2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4,732,151.88</w:t>
            </w:r>
            <w:r>
              <w:rPr>
                <w:rFonts w:ascii="Arial Narrow"/>
                <w:sz w:val="21"/>
              </w:rPr>
            </w:r>
          </w:p>
        </w:tc>
        <w:tc>
          <w:tcPr>
            <w:tcW w:w="157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33"/>
              <w:ind w:right="12"/>
              <w:jc w:val="right"/>
              <w:rPr>
                <w:rFonts w:ascii="Arial Narrow" w:hAnsi="Arial Narrow" w:cs="Arial Narrow" w:eastAsia="Arial Narrow" w:hint="default"/>
                <w:sz w:val="21"/>
                <w:szCs w:val="21"/>
              </w:rPr>
            </w:pPr>
            <w:r>
              <w:rPr>
                <w:rFonts w:ascii="Arial Narrow"/>
                <w:spacing w:val="-1"/>
                <w:sz w:val="21"/>
              </w:rPr>
              <w:t>1,382,565.19</w:t>
            </w:r>
            <w:r>
              <w:rPr>
                <w:rFonts w:ascii="Arial Narrow"/>
                <w:sz w:val="21"/>
              </w:rPr>
            </w:r>
          </w:p>
        </w:tc>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Calibri" w:hAnsi="Calibri" w:cs="Calibri" w:eastAsia="Calibri" w:hint="default"/>
                <w:sz w:val="21"/>
                <w:szCs w:val="21"/>
              </w:rPr>
            </w:pPr>
            <w:r>
              <w:rPr>
                <w:rFonts w:ascii="Calibri"/>
                <w:sz w:val="21"/>
              </w:rPr>
              <w:t>--</w:t>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879"/>
        <w:gridCol w:w="2321"/>
        <w:gridCol w:w="2549"/>
      </w:tblGrid>
      <w:tr>
        <w:trPr>
          <w:trHeight w:val="322" w:hRule="exact"/>
        </w:trPr>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3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5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4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2" w:hRule="exact"/>
        </w:trPr>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-1,882,088.54</w:t>
            </w:r>
            <w:r>
              <w:rPr>
                <w:rFonts w:ascii="Arial Narrow"/>
                <w:sz w:val="21"/>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10,106,168.76</w:t>
            </w:r>
            <w:r>
              <w:rPr>
                <w:rFonts w:ascii="Arial Narrow"/>
                <w:sz w:val="21"/>
              </w:rPr>
            </w:r>
          </w:p>
        </w:tc>
      </w:tr>
      <w:tr>
        <w:trPr>
          <w:trHeight w:val="323" w:hRule="exact"/>
        </w:trPr>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530,754.18</w:t>
            </w:r>
            <w:r>
              <w:rPr>
                <w:rFonts w:ascii="Arial Narrow"/>
                <w:sz w:val="21"/>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421,542.01</w:t>
            </w:r>
            <w:r>
              <w:rPr>
                <w:rFonts w:ascii="Arial Narrow"/>
                <w:sz w:val="21"/>
              </w:rPr>
            </w:r>
          </w:p>
        </w:tc>
      </w:tr>
      <w:tr>
        <w:trPr>
          <w:trHeight w:val="323" w:hRule="exact"/>
        </w:trPr>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321" w:type="dxa"/>
            <w:tcBorders>
              <w:top w:val="single" w:sz="4" w:space="0" w:color="000000"/>
              <w:left w:val="single" w:sz="13" w:space="0" w:color="D2D2D2"/>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321" w:type="dxa"/>
            <w:tcBorders>
              <w:top w:val="single" w:sz="4" w:space="0" w:color="000000"/>
              <w:left w:val="single" w:sz="13" w:space="0" w:color="D2D2D2"/>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321" w:type="dxa"/>
            <w:tcBorders>
              <w:top w:val="single" w:sz="4" w:space="0" w:color="000000"/>
              <w:left w:val="single" w:sz="13" w:space="0" w:color="D2D2D2"/>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321" w:type="dxa"/>
            <w:tcBorders>
              <w:top w:val="single" w:sz="4" w:space="0" w:color="000000"/>
              <w:left w:val="single" w:sz="13" w:space="0" w:color="D2D2D2"/>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321" w:type="dxa"/>
            <w:tcBorders>
              <w:top w:val="single" w:sz="4" w:space="0" w:color="000000"/>
              <w:left w:val="single" w:sz="13" w:space="0" w:color="D2D2D2"/>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321" w:type="dxa"/>
            <w:tcBorders>
              <w:top w:val="single" w:sz="4" w:space="0" w:color="000000"/>
              <w:left w:val="single" w:sz="13" w:space="0" w:color="D2D2D2"/>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321" w:type="dxa"/>
            <w:tcBorders>
              <w:top w:val="single" w:sz="4" w:space="0" w:color="000000"/>
              <w:left w:val="single" w:sz="13" w:space="0" w:color="D2D2D2"/>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321" w:type="dxa"/>
            <w:tcBorders>
              <w:top w:val="single" w:sz="4" w:space="0" w:color="000000"/>
              <w:left w:val="single" w:sz="13" w:space="0" w:color="D2D2D2"/>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321" w:type="dxa"/>
            <w:tcBorders>
              <w:top w:val="single" w:sz="4" w:space="0" w:color="000000"/>
              <w:left w:val="single" w:sz="13" w:space="0" w:color="D2D2D2"/>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321" w:type="dxa"/>
            <w:tcBorders>
              <w:top w:val="single" w:sz="4" w:space="0" w:color="000000"/>
              <w:left w:val="single" w:sz="13" w:space="0" w:color="D2D2D2"/>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321" w:type="dxa"/>
            <w:tcBorders>
              <w:top w:val="single" w:sz="4" w:space="0" w:color="000000"/>
              <w:left w:val="single" w:sz="13" w:space="0" w:color="D2D2D2"/>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321" w:type="dxa"/>
            <w:tcBorders>
              <w:top w:val="single" w:sz="4" w:space="0" w:color="000000"/>
              <w:left w:val="single" w:sz="13" w:space="0" w:color="D2D2D2"/>
              <w:bottom w:val="single" w:sz="4" w:space="0" w:color="000000"/>
              <w:right w:val="single" w:sz="4" w:space="0" w:color="000000"/>
            </w:tcBorders>
          </w:tcPr>
          <w:p>
            <w:pPr/>
          </w:p>
        </w:tc>
        <w:tc>
          <w:tcPr>
            <w:tcW w:w="254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0"/>
              <w:jc w:val="right"/>
              <w:rPr>
                <w:rFonts w:ascii="Arial Narrow" w:hAnsi="Arial Narrow" w:cs="Arial Narrow" w:eastAsia="Arial Narrow" w:hint="default"/>
                <w:sz w:val="21"/>
                <w:szCs w:val="21"/>
              </w:rPr>
            </w:pPr>
            <w:r>
              <w:rPr>
                <w:rFonts w:ascii="Arial Narrow"/>
                <w:b/>
                <w:spacing w:val="-1"/>
                <w:sz w:val="21"/>
              </w:rPr>
              <w:t>-1,351,334.36</w:t>
            </w:r>
            <w:r>
              <w:rPr>
                <w:rFonts w:ascii="Arial Narrow"/>
                <w:sz w:val="21"/>
              </w:rPr>
            </w:r>
          </w:p>
        </w:tc>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Arial Narrow" w:hAnsi="Arial Narrow" w:cs="Arial Narrow" w:eastAsia="Arial Narrow" w:hint="default"/>
                <w:sz w:val="21"/>
                <w:szCs w:val="21"/>
              </w:rPr>
            </w:pPr>
            <w:r>
              <w:rPr>
                <w:rFonts w:ascii="Arial Narrow"/>
                <w:b/>
                <w:spacing w:val="-1"/>
                <w:sz w:val="21"/>
              </w:rPr>
              <w:t>10,527,710.77</w:t>
            </w:r>
            <w:r>
              <w:rPr>
                <w:rFonts w:ascii="Arial Narrow"/>
                <w:sz w:val="21"/>
              </w:rPr>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63</w:t>
      </w:r>
      <w:r>
        <w:rPr>
          <w:rFonts w:ascii="宋体" w:hAnsi="宋体" w:cs="宋体" w:eastAsia="宋体" w:hint="default"/>
          <w:b/>
          <w:bCs/>
          <w:sz w:val="21"/>
          <w:szCs w:val="21"/>
        </w:rPr>
        <w:t>、营业外收入</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013"/>
        <w:gridCol w:w="1788"/>
        <w:gridCol w:w="1975"/>
        <w:gridCol w:w="1961"/>
      </w:tblGrid>
      <w:tr>
        <w:trPr>
          <w:trHeight w:val="634" w:hRule="exact"/>
        </w:trPr>
        <w:tc>
          <w:tcPr>
            <w:tcW w:w="3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360"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45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1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59" w:right="17" w:hanging="529"/>
              <w:jc w:val="left"/>
              <w:rPr>
                <w:rFonts w:ascii="宋体" w:hAnsi="宋体" w:cs="宋体" w:eastAsia="宋体" w:hint="default"/>
                <w:sz w:val="21"/>
                <w:szCs w:val="21"/>
              </w:rPr>
            </w:pPr>
            <w:r>
              <w:rPr>
                <w:rFonts w:ascii="宋体" w:hAnsi="宋体" w:cs="宋体" w:eastAsia="宋体" w:hint="default"/>
                <w:b/>
                <w:bCs/>
                <w:sz w:val="21"/>
                <w:szCs w:val="21"/>
              </w:rPr>
              <w:t>计入当期非经常性损</w:t>
            </w:r>
            <w:r>
              <w:rPr>
                <w:rFonts w:ascii="宋体" w:hAnsi="宋体" w:cs="宋体" w:eastAsia="宋体" w:hint="default"/>
                <w:b/>
                <w:bCs/>
                <w:spacing w:val="-103"/>
                <w:sz w:val="21"/>
                <w:szCs w:val="21"/>
              </w:rPr>
              <w:t> </w:t>
            </w:r>
            <w:r>
              <w:rPr>
                <w:rFonts w:ascii="宋体" w:hAnsi="宋体" w:cs="宋体" w:eastAsia="宋体" w:hint="default"/>
                <w:b/>
                <w:bCs/>
                <w:sz w:val="21"/>
                <w:szCs w:val="21"/>
              </w:rPr>
              <w:t>益的金额</w:t>
            </w:r>
            <w:r>
              <w:rPr>
                <w:rFonts w:ascii="宋体" w:hAnsi="宋体" w:cs="宋体" w:eastAsia="宋体" w:hint="default"/>
                <w:sz w:val="21"/>
                <w:szCs w:val="21"/>
              </w:rPr>
            </w:r>
          </w:p>
        </w:tc>
      </w:tr>
    </w:tbl>
    <w:p>
      <w:pPr>
        <w:spacing w:after="0" w:line="273" w:lineRule="auto"/>
        <w:jc w:val="left"/>
        <w:rPr>
          <w:rFonts w:ascii="宋体" w:hAnsi="宋体" w:cs="宋体" w:eastAsia="宋体" w:hint="default"/>
          <w:sz w:val="21"/>
          <w:szCs w:val="21"/>
        </w:rPr>
        <w:sectPr>
          <w:pgSz w:w="11910" w:h="16840"/>
          <w:pgMar w:header="884" w:footer="1007" w:top="1160" w:bottom="1200" w:left="1240" w:right="1260"/>
        </w:sectPr>
      </w:pPr>
    </w:p>
    <w:p>
      <w:pPr>
        <w:spacing w:line="240" w:lineRule="auto" w:before="13"/>
        <w:rPr>
          <w:rFonts w:ascii="宋体" w:hAnsi="宋体" w:cs="宋体" w:eastAsia="宋体" w:hint="default"/>
          <w:sz w:val="19"/>
          <w:szCs w:val="19"/>
        </w:rPr>
      </w:pPr>
    </w:p>
    <w:tbl>
      <w:tblPr>
        <w:tblW w:w="0" w:type="auto"/>
        <w:jc w:val="left"/>
        <w:tblInd w:w="524" w:type="dxa"/>
        <w:tblLayout w:type="fixed"/>
        <w:tblCellMar>
          <w:top w:w="0" w:type="dxa"/>
          <w:left w:w="0" w:type="dxa"/>
          <w:bottom w:w="0" w:type="dxa"/>
          <w:right w:w="0" w:type="dxa"/>
        </w:tblCellMar>
        <w:tblLook w:val="01E0"/>
      </w:tblPr>
      <w:tblGrid>
        <w:gridCol w:w="3000"/>
        <w:gridCol w:w="1800"/>
        <w:gridCol w:w="1975"/>
        <w:gridCol w:w="1973"/>
      </w:tblGrid>
      <w:tr>
        <w:trPr>
          <w:trHeight w:val="32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53,356.43</w:t>
            </w:r>
            <w:r>
              <w:rPr>
                <w:rFonts w:ascii="Arial Narrow"/>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1"/>
              <w:jc w:val="right"/>
              <w:rPr>
                <w:rFonts w:ascii="Arial Narrow" w:hAnsi="Arial Narrow" w:cs="Arial Narrow" w:eastAsia="Arial Narrow" w:hint="default"/>
                <w:sz w:val="21"/>
                <w:szCs w:val="21"/>
              </w:rPr>
            </w:pPr>
            <w:r>
              <w:rPr>
                <w:rFonts w:ascii="Arial Narrow"/>
                <w:w w:val="100"/>
                <w:sz w:val="21"/>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53,356.43</w:t>
            </w:r>
            <w:r>
              <w:rPr>
                <w:rFonts w:ascii="Arial Narrow"/>
                <w:sz w:val="21"/>
              </w:rPr>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53,356.43</w:t>
            </w:r>
            <w:r>
              <w:rPr>
                <w:rFonts w:ascii="Arial Narrow"/>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53,356.43</w:t>
            </w:r>
            <w:r>
              <w:rPr>
                <w:rFonts w:ascii="Arial Narrow"/>
                <w:sz w:val="21"/>
              </w:rPr>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55" w:right="0"/>
              <w:jc w:val="left"/>
              <w:rPr>
                <w:rFonts w:ascii="宋体" w:hAnsi="宋体" w:cs="宋体" w:eastAsia="宋体" w:hint="default"/>
                <w:sz w:val="21"/>
                <w:szCs w:val="21"/>
              </w:rPr>
            </w:pPr>
            <w:r>
              <w:rPr>
                <w:rFonts w:ascii="宋体" w:hAnsi="宋体" w:cs="宋体" w:eastAsia="宋体" w:hint="default"/>
                <w:sz w:val="21"/>
                <w:szCs w:val="21"/>
              </w:rPr>
              <w:t>无形资产处置利得</w:t>
            </w:r>
          </w:p>
        </w:tc>
        <w:tc>
          <w:tcPr>
            <w:tcW w:w="1800" w:type="dxa"/>
            <w:tcBorders>
              <w:top w:val="single" w:sz="4" w:space="0" w:color="000000"/>
              <w:left w:val="single" w:sz="10" w:space="0" w:color="D2D2D2"/>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1800" w:type="dxa"/>
            <w:tcBorders>
              <w:top w:val="single" w:sz="4" w:space="0" w:color="000000"/>
              <w:left w:val="single" w:sz="10" w:space="0" w:color="D2D2D2"/>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非货币性资产交换利得</w:t>
            </w:r>
          </w:p>
        </w:tc>
        <w:tc>
          <w:tcPr>
            <w:tcW w:w="1800" w:type="dxa"/>
            <w:tcBorders>
              <w:top w:val="single" w:sz="4" w:space="0" w:color="000000"/>
              <w:left w:val="single" w:sz="10" w:space="0" w:color="D2D2D2"/>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1800" w:type="dxa"/>
            <w:tcBorders>
              <w:top w:val="single" w:sz="4" w:space="0" w:color="000000"/>
              <w:left w:val="single" w:sz="10" w:space="0" w:color="D2D2D2"/>
              <w:bottom w:val="single" w:sz="4" w:space="0" w:color="000000"/>
              <w:right w:val="single" w:sz="4" w:space="0" w:color="000000"/>
            </w:tcBorders>
          </w:tcPr>
          <w:p>
            <w:pPr/>
          </w:p>
        </w:tc>
        <w:tc>
          <w:tcPr>
            <w:tcW w:w="1975" w:type="dxa"/>
            <w:tcBorders>
              <w:top w:val="single" w:sz="4" w:space="0" w:color="000000"/>
              <w:left w:val="single" w:sz="4" w:space="0" w:color="000000"/>
              <w:bottom w:val="single" w:sz="4" w:space="0" w:color="000000"/>
              <w:right w:val="single" w:sz="4" w:space="0" w:color="000000"/>
            </w:tcBorders>
          </w:tcPr>
          <w:p>
            <w:pPr/>
          </w:p>
        </w:tc>
        <w:tc>
          <w:tcPr>
            <w:tcW w:w="1973"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17,508,032.80</w:t>
            </w:r>
            <w:r>
              <w:rPr>
                <w:rFonts w:ascii="Arial Narrow"/>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13,615,056.18</w:t>
            </w:r>
            <w:r>
              <w:rPr>
                <w:rFonts w:ascii="Arial Narrow"/>
                <w:sz w:val="21"/>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10,521,056.76</w:t>
            </w:r>
            <w:r>
              <w:rPr>
                <w:rFonts w:ascii="Arial Narrow"/>
                <w:sz w:val="21"/>
              </w:rPr>
            </w:r>
          </w:p>
        </w:tc>
      </w:tr>
      <w:tr>
        <w:trPr>
          <w:trHeight w:val="322" w:hRule="exact"/>
        </w:trPr>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1,410.55</w:t>
            </w:r>
            <w:r>
              <w:rPr>
                <w:rFonts w:ascii="Arial Narrow"/>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27,700.93</w:t>
            </w:r>
            <w:r>
              <w:rPr>
                <w:rFonts w:ascii="Arial Narrow"/>
                <w:sz w:val="21"/>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1,410.55</w:t>
            </w:r>
            <w:r>
              <w:rPr>
                <w:rFonts w:ascii="Arial Narrow"/>
                <w:sz w:val="21"/>
              </w:rPr>
            </w:r>
          </w:p>
        </w:tc>
      </w:tr>
      <w:tr>
        <w:trPr>
          <w:trHeight w:val="324" w:hRule="exact"/>
        </w:trPr>
        <w:tc>
          <w:tcPr>
            <w:tcW w:w="3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17,562,799.78</w:t>
            </w:r>
            <w:r>
              <w:rPr>
                <w:rFonts w:ascii="Arial Narrow"/>
                <w:sz w:val="21"/>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13,642,757.11</w:t>
            </w:r>
            <w:r>
              <w:rPr>
                <w:rFonts w:ascii="Arial Narrow"/>
                <w:sz w:val="21"/>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10,575,823.74</w:t>
            </w:r>
            <w:r>
              <w:rPr>
                <w:rFonts w:ascii="Arial Narrow"/>
                <w:sz w:val="21"/>
              </w:rPr>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）政府补助明细</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36"/>
        <w:ind w:left="0" w:right="154" w:firstLine="0"/>
        <w:jc w:val="right"/>
        <w:rPr>
          <w:rFonts w:ascii="宋体" w:hAnsi="宋体" w:cs="宋体" w:eastAsia="宋体" w:hint="default"/>
          <w:sz w:val="21"/>
          <w:szCs w:val="21"/>
        </w:rPr>
      </w:pPr>
      <w:r>
        <w:rPr>
          <w:rFonts w:ascii="宋体" w:hAnsi="宋体" w:cs="宋体" w:eastAsia="宋体" w:hint="default"/>
          <w:b/>
          <w:bCs/>
          <w:sz w:val="21"/>
          <w:szCs w:val="21"/>
        </w:rPr>
        <w:t>单位：</w:t>
      </w:r>
      <w:r>
        <w:rPr>
          <w:rFonts w:ascii="宋体" w:hAnsi="宋体" w:cs="宋体" w:eastAsia="宋体" w:hint="default"/>
          <w:b/>
          <w:bCs/>
          <w:spacing w:val="-2"/>
          <w:sz w:val="21"/>
          <w:szCs w:val="21"/>
        </w:rPr>
        <w:t> </w:t>
      </w:r>
      <w:r>
        <w:rPr>
          <w:rFonts w:ascii="宋体" w:hAnsi="宋体" w:cs="宋体" w:eastAsia="宋体" w:hint="default"/>
          <w:b/>
          <w:bCs/>
          <w:sz w:val="21"/>
          <w:szCs w:val="21"/>
        </w:rPr>
        <w:t>元</w:t>
      </w:r>
      <w:r>
        <w:rPr>
          <w:rFonts w:ascii="宋体" w:hAnsi="宋体" w:cs="宋体" w:eastAsia="宋体" w:hint="default"/>
          <w:sz w:val="21"/>
          <w:szCs w:val="21"/>
        </w:rPr>
      </w:r>
    </w:p>
    <w:p>
      <w:pPr>
        <w:spacing w:line="240" w:lineRule="auto" w:before="10"/>
        <w:rPr>
          <w:rFonts w:ascii="宋体" w:hAnsi="宋体" w:cs="宋体" w:eastAsia="宋体" w:hint="default"/>
          <w:b/>
          <w:bCs/>
          <w:sz w:val="3"/>
          <w:szCs w:val="3"/>
        </w:rPr>
      </w:pPr>
    </w:p>
    <w:tbl>
      <w:tblPr>
        <w:tblW w:w="0" w:type="auto"/>
        <w:jc w:val="left"/>
        <w:tblInd w:w="524" w:type="dxa"/>
        <w:tblLayout w:type="fixed"/>
        <w:tblCellMar>
          <w:top w:w="0" w:type="dxa"/>
          <w:left w:w="0" w:type="dxa"/>
          <w:bottom w:w="0" w:type="dxa"/>
          <w:right w:w="0" w:type="dxa"/>
        </w:tblCellMar>
        <w:tblLook w:val="01E0"/>
      </w:tblPr>
      <w:tblGrid>
        <w:gridCol w:w="3761"/>
        <w:gridCol w:w="1296"/>
        <w:gridCol w:w="1294"/>
        <w:gridCol w:w="2398"/>
      </w:tblGrid>
      <w:tr>
        <w:trPr>
          <w:trHeight w:val="322" w:hRule="exact"/>
        </w:trPr>
        <w:tc>
          <w:tcPr>
            <w:tcW w:w="3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2"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说明</w:t>
            </w:r>
            <w:r>
              <w:rPr>
                <w:rFonts w:ascii="宋体" w:hAnsi="宋体" w:cs="宋体" w:eastAsia="宋体" w:hint="default"/>
                <w:sz w:val="21"/>
                <w:szCs w:val="21"/>
              </w:rPr>
            </w:r>
          </w:p>
        </w:tc>
      </w:tr>
      <w:tr>
        <w:trPr>
          <w:trHeight w:val="324"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软件销售增值税退税</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3"/>
              <w:jc w:val="right"/>
              <w:rPr>
                <w:rFonts w:ascii="Arial Narrow" w:hAnsi="Arial Narrow" w:cs="Arial Narrow" w:eastAsia="Arial Narrow" w:hint="default"/>
                <w:sz w:val="21"/>
                <w:szCs w:val="21"/>
              </w:rPr>
            </w:pPr>
            <w:r>
              <w:rPr>
                <w:rFonts w:ascii="Arial Narrow"/>
                <w:spacing w:val="-1"/>
                <w:sz w:val="21"/>
              </w:rPr>
              <w:t>6,986,976.04</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8,832,330.18</w:t>
            </w:r>
            <w:r>
              <w:rPr>
                <w:rFonts w:ascii="Arial Narrow"/>
                <w:sz w:val="21"/>
              </w:rPr>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软件销售增值税退税</w:t>
            </w:r>
          </w:p>
        </w:tc>
      </w:tr>
      <w:tr>
        <w:trPr>
          <w:trHeight w:val="634"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Calibri" w:hAnsi="Calibri" w:cs="Calibri" w:eastAsia="Calibri" w:hint="default"/>
                <w:sz w:val="21"/>
                <w:szCs w:val="21"/>
              </w:rPr>
            </w:pPr>
            <w:r>
              <w:rPr>
                <w:rFonts w:ascii="宋体" w:hAnsi="宋体" w:cs="宋体" w:eastAsia="宋体" w:hint="default"/>
                <w:sz w:val="21"/>
                <w:szCs w:val="21"/>
              </w:rPr>
              <w:t>气象专业</w:t>
            </w:r>
            <w:r>
              <w:rPr>
                <w:rFonts w:ascii="宋体" w:hAnsi="宋体" w:cs="宋体" w:eastAsia="宋体" w:hint="default"/>
                <w:spacing w:val="-58"/>
                <w:sz w:val="21"/>
                <w:szCs w:val="21"/>
              </w:rPr>
              <w:t> </w:t>
            </w:r>
            <w:r>
              <w:rPr>
                <w:rFonts w:ascii="Calibri" w:hAnsi="Calibri" w:cs="Calibri" w:eastAsia="Calibri" w:hint="default"/>
                <w:sz w:val="21"/>
                <w:szCs w:val="21"/>
              </w:rPr>
              <w:t>GIS </w:t>
            </w:r>
            <w:r>
              <w:rPr>
                <w:rFonts w:ascii="宋体" w:hAnsi="宋体" w:cs="宋体" w:eastAsia="宋体" w:hint="default"/>
                <w:sz w:val="21"/>
                <w:szCs w:val="21"/>
              </w:rPr>
              <w:t>基础平台（</w:t>
            </w:r>
            <w:r>
              <w:rPr>
                <w:rFonts w:ascii="Calibri" w:hAnsi="Calibri" w:cs="Calibri" w:eastAsia="Calibri" w:hint="default"/>
                <w:sz w:val="21"/>
                <w:szCs w:val="21"/>
              </w:rPr>
              <w:t>METEOGIS)</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3"/>
              <w:jc w:val="right"/>
              <w:rPr>
                <w:rFonts w:ascii="Arial Narrow" w:hAnsi="Arial Narrow" w:cs="Arial Narrow" w:eastAsia="Arial Narrow" w:hint="default"/>
                <w:sz w:val="21"/>
                <w:szCs w:val="21"/>
              </w:rPr>
            </w:pPr>
            <w:r>
              <w:rPr>
                <w:rFonts w:ascii="Arial Narrow"/>
                <w:spacing w:val="-1"/>
                <w:sz w:val="21"/>
              </w:rPr>
              <w:t>3,840,000.00</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宋体" w:hAnsi="宋体" w:cs="宋体" w:eastAsia="宋体" w:hint="default"/>
                <w:sz w:val="21"/>
                <w:szCs w:val="21"/>
              </w:rPr>
              <w:t>气象专业</w:t>
            </w:r>
            <w:r>
              <w:rPr>
                <w:rFonts w:ascii="宋体" w:hAnsi="宋体" w:cs="宋体" w:eastAsia="宋体" w:hint="default"/>
                <w:spacing w:val="-54"/>
                <w:sz w:val="21"/>
                <w:szCs w:val="21"/>
              </w:rPr>
              <w:t> </w:t>
            </w:r>
            <w:r>
              <w:rPr>
                <w:rFonts w:ascii="Calibri" w:hAnsi="Calibri" w:cs="Calibri" w:eastAsia="Calibri" w:hint="default"/>
                <w:sz w:val="21"/>
                <w:szCs w:val="21"/>
              </w:rPr>
              <w:t>GIS</w:t>
            </w:r>
            <w:r>
              <w:rPr>
                <w:rFonts w:ascii="Calibri" w:hAnsi="Calibri" w:cs="Calibri" w:eastAsia="Calibri" w:hint="default"/>
                <w:spacing w:val="5"/>
                <w:sz w:val="21"/>
                <w:szCs w:val="21"/>
              </w:rPr>
              <w:t> </w:t>
            </w:r>
            <w:r>
              <w:rPr>
                <w:rFonts w:ascii="宋体" w:hAnsi="宋体" w:cs="宋体" w:eastAsia="宋体" w:hint="default"/>
                <w:sz w:val="21"/>
                <w:szCs w:val="21"/>
              </w:rPr>
              <w:t>基础平台</w:t>
            </w:r>
          </w:p>
          <w:p>
            <w:pPr>
              <w:pStyle w:val="TableParagraph"/>
              <w:spacing w:line="240" w:lineRule="auto" w:before="10"/>
              <w:ind w:left="23" w:right="0"/>
              <w:jc w:val="left"/>
              <w:rPr>
                <w:rFonts w:ascii="Calibri" w:hAnsi="Calibri" w:cs="Calibri" w:eastAsia="Calibri" w:hint="default"/>
                <w:sz w:val="21"/>
                <w:szCs w:val="21"/>
              </w:rPr>
            </w:pPr>
            <w:r>
              <w:rPr>
                <w:rFonts w:ascii="宋体" w:hAnsi="宋体" w:cs="宋体" w:eastAsia="宋体" w:hint="default"/>
                <w:sz w:val="21"/>
                <w:szCs w:val="21"/>
              </w:rPr>
              <w:t>（</w:t>
            </w:r>
            <w:r>
              <w:rPr>
                <w:rFonts w:ascii="Calibri" w:hAnsi="Calibri" w:cs="Calibri" w:eastAsia="Calibri" w:hint="default"/>
                <w:sz w:val="21"/>
                <w:szCs w:val="21"/>
              </w:rPr>
              <w:t>METEOGIS)</w:t>
            </w:r>
          </w:p>
        </w:tc>
      </w:tr>
      <w:tr>
        <w:trPr>
          <w:trHeight w:val="946"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143"/>
              <w:ind w:left="23" w:right="29"/>
              <w:jc w:val="left"/>
              <w:rPr>
                <w:rFonts w:ascii="宋体" w:hAnsi="宋体" w:cs="宋体" w:eastAsia="宋体" w:hint="default"/>
                <w:sz w:val="21"/>
                <w:szCs w:val="21"/>
              </w:rPr>
            </w:pPr>
            <w:r>
              <w:rPr>
                <w:rFonts w:ascii="Calibri" w:hAnsi="Calibri" w:cs="Calibri" w:eastAsia="Calibri" w:hint="default"/>
                <w:sz w:val="21"/>
                <w:szCs w:val="21"/>
              </w:rPr>
              <w:t>GIS</w:t>
            </w:r>
            <w:r>
              <w:rPr>
                <w:rFonts w:ascii="Calibri" w:hAnsi="Calibri" w:cs="Calibri" w:eastAsia="Calibri" w:hint="default"/>
                <w:spacing w:val="1"/>
                <w:sz w:val="21"/>
                <w:szCs w:val="21"/>
              </w:rPr>
              <w:t> </w:t>
            </w:r>
            <w:r>
              <w:rPr>
                <w:rFonts w:ascii="宋体" w:hAnsi="宋体" w:cs="宋体" w:eastAsia="宋体" w:hint="default"/>
                <w:sz w:val="21"/>
                <w:szCs w:val="21"/>
              </w:rPr>
              <w:t>云计算服务平台关键技术北京市工程</w:t>
            </w:r>
            <w:r>
              <w:rPr>
                <w:rFonts w:ascii="宋体" w:hAnsi="宋体" w:cs="宋体" w:eastAsia="宋体" w:hint="default"/>
                <w:w w:val="100"/>
                <w:sz w:val="21"/>
                <w:szCs w:val="21"/>
              </w:rPr>
              <w:t> </w:t>
            </w:r>
            <w:r>
              <w:rPr>
                <w:rFonts w:ascii="宋体" w:hAnsi="宋体" w:cs="宋体" w:eastAsia="宋体" w:hint="default"/>
                <w:sz w:val="21"/>
                <w:szCs w:val="21"/>
              </w:rPr>
              <w:t>实验室创新能力建设项目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3"/>
              <w:jc w:val="right"/>
              <w:rPr>
                <w:rFonts w:ascii="Arial Narrow" w:hAnsi="Arial Narrow" w:cs="Arial Narrow" w:eastAsia="Arial Narrow" w:hint="default"/>
                <w:sz w:val="21"/>
                <w:szCs w:val="21"/>
              </w:rPr>
            </w:pPr>
            <w:r>
              <w:rPr>
                <w:rFonts w:ascii="Arial Narrow"/>
                <w:spacing w:val="-1"/>
                <w:sz w:val="21"/>
              </w:rPr>
              <w:t>1,995,380.00</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23" w:right="48"/>
              <w:jc w:val="left"/>
              <w:rPr>
                <w:rFonts w:ascii="宋体" w:hAnsi="宋体" w:cs="宋体" w:eastAsia="宋体" w:hint="default"/>
                <w:sz w:val="21"/>
                <w:szCs w:val="21"/>
              </w:rPr>
            </w:pPr>
            <w:r>
              <w:rPr>
                <w:rFonts w:ascii="Calibri" w:hAnsi="Calibri" w:cs="Calibri" w:eastAsia="Calibri" w:hint="default"/>
                <w:sz w:val="21"/>
                <w:szCs w:val="21"/>
              </w:rPr>
              <w:t>GIS</w:t>
            </w:r>
            <w:r>
              <w:rPr>
                <w:rFonts w:ascii="Calibri" w:hAnsi="Calibri" w:cs="Calibri" w:eastAsia="Calibri" w:hint="default"/>
                <w:spacing w:val="4"/>
                <w:sz w:val="21"/>
                <w:szCs w:val="21"/>
              </w:rPr>
              <w:t> </w:t>
            </w:r>
            <w:r>
              <w:rPr>
                <w:rFonts w:ascii="宋体" w:hAnsi="宋体" w:cs="宋体" w:eastAsia="宋体" w:hint="default"/>
                <w:sz w:val="21"/>
                <w:szCs w:val="21"/>
              </w:rPr>
              <w:t>云计算服务平台关键</w:t>
            </w:r>
            <w:r>
              <w:rPr>
                <w:rFonts w:ascii="宋体" w:hAnsi="宋体" w:cs="宋体" w:eastAsia="宋体" w:hint="default"/>
                <w:w w:val="100"/>
                <w:sz w:val="21"/>
                <w:szCs w:val="21"/>
              </w:rPr>
              <w:t> </w:t>
            </w:r>
            <w:r>
              <w:rPr>
                <w:rFonts w:ascii="宋体" w:hAnsi="宋体" w:cs="宋体" w:eastAsia="宋体" w:hint="default"/>
                <w:spacing w:val="-2"/>
                <w:sz w:val="21"/>
                <w:szCs w:val="21"/>
              </w:rPr>
              <w:t>技术北京市工程实验室创</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新能力建设项目</w:t>
            </w:r>
          </w:p>
        </w:tc>
      </w:tr>
      <w:tr>
        <w:trPr>
          <w:trHeight w:val="634"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sz w:val="21"/>
                <w:szCs w:val="21"/>
              </w:rPr>
              <w:t>超图数字城管综合应用平台产业化</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800,000.00</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8"/>
              <w:jc w:val="left"/>
              <w:rPr>
                <w:rFonts w:ascii="宋体" w:hAnsi="宋体" w:cs="宋体" w:eastAsia="宋体" w:hint="default"/>
                <w:sz w:val="21"/>
                <w:szCs w:val="21"/>
              </w:rPr>
            </w:pPr>
            <w:r>
              <w:rPr>
                <w:rFonts w:ascii="宋体" w:hAnsi="宋体" w:cs="宋体" w:eastAsia="宋体" w:hint="default"/>
                <w:spacing w:val="-2"/>
                <w:sz w:val="21"/>
                <w:szCs w:val="21"/>
              </w:rPr>
              <w:t>超图数字城管综合应用平</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台产业化</w:t>
            </w:r>
          </w:p>
        </w:tc>
      </w:tr>
      <w:tr>
        <w:trPr>
          <w:trHeight w:val="634"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地理信息拓扑与网络分析工具集研发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0"/>
              <w:jc w:val="right"/>
              <w:rPr>
                <w:rFonts w:ascii="Arial Narrow" w:hAnsi="Arial Narrow" w:cs="Arial Narrow" w:eastAsia="Arial Narrow" w:hint="default"/>
                <w:sz w:val="21"/>
                <w:szCs w:val="21"/>
              </w:rPr>
            </w:pPr>
            <w:r>
              <w:rPr>
                <w:rFonts w:ascii="Arial Narrow"/>
                <w:spacing w:val="-1"/>
                <w:sz w:val="21"/>
              </w:rPr>
              <w:t>733,333.34</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8"/>
              <w:jc w:val="left"/>
              <w:rPr>
                <w:rFonts w:ascii="宋体" w:hAnsi="宋体" w:cs="宋体" w:eastAsia="宋体" w:hint="default"/>
                <w:sz w:val="21"/>
                <w:szCs w:val="21"/>
              </w:rPr>
            </w:pPr>
            <w:r>
              <w:rPr>
                <w:rFonts w:ascii="宋体" w:hAnsi="宋体" w:cs="宋体" w:eastAsia="宋体" w:hint="default"/>
                <w:spacing w:val="-2"/>
                <w:sz w:val="21"/>
                <w:szCs w:val="21"/>
              </w:rPr>
              <w:t>地理信息拓扑与网络分析</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工具集研发</w:t>
            </w:r>
          </w:p>
        </w:tc>
      </w:tr>
      <w:tr>
        <w:trPr>
          <w:trHeight w:val="634"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3" w:right="23"/>
              <w:jc w:val="left"/>
              <w:rPr>
                <w:rFonts w:ascii="宋体" w:hAnsi="宋体" w:cs="宋体" w:eastAsia="宋体" w:hint="default"/>
                <w:sz w:val="21"/>
                <w:szCs w:val="21"/>
              </w:rPr>
            </w:pPr>
            <w:r>
              <w:rPr>
                <w:rFonts w:ascii="宋体" w:hAnsi="宋体" w:cs="宋体" w:eastAsia="宋体" w:hint="default"/>
                <w:sz w:val="21"/>
                <w:szCs w:val="21"/>
              </w:rPr>
              <w:t>面向服务支持多类型移动终端的</w:t>
            </w:r>
            <w:r>
              <w:rPr>
                <w:rFonts w:ascii="宋体" w:hAnsi="宋体" w:cs="宋体" w:eastAsia="宋体" w:hint="default"/>
                <w:spacing w:val="-75"/>
                <w:sz w:val="21"/>
                <w:szCs w:val="21"/>
              </w:rPr>
              <w:t> </w:t>
            </w:r>
            <w:r>
              <w:rPr>
                <w:rFonts w:ascii="Calibri" w:hAnsi="Calibri" w:cs="Calibri" w:eastAsia="Calibri" w:hint="default"/>
                <w:sz w:val="21"/>
                <w:szCs w:val="21"/>
              </w:rPr>
              <w:t>GIS</w:t>
            </w:r>
            <w:r>
              <w:rPr>
                <w:rFonts w:ascii="Calibri" w:hAnsi="Calibri" w:cs="Calibri" w:eastAsia="Calibri" w:hint="default"/>
                <w:spacing w:val="-17"/>
                <w:sz w:val="21"/>
                <w:szCs w:val="21"/>
              </w:rPr>
              <w:t> </w:t>
            </w:r>
            <w:r>
              <w:rPr>
                <w:rFonts w:ascii="宋体" w:hAnsi="宋体" w:cs="宋体" w:eastAsia="宋体" w:hint="default"/>
                <w:spacing w:val="-3"/>
                <w:sz w:val="21"/>
                <w:szCs w:val="21"/>
              </w:rPr>
              <w:t>关键</w:t>
            </w:r>
            <w:r>
              <w:rPr>
                <w:rFonts w:ascii="宋体" w:hAnsi="宋体" w:cs="宋体" w:eastAsia="宋体" w:hint="default"/>
                <w:spacing w:val="-3"/>
                <w:w w:val="100"/>
                <w:sz w:val="21"/>
                <w:szCs w:val="21"/>
              </w:rPr>
              <w:t> </w:t>
            </w:r>
            <w:r>
              <w:rPr>
                <w:rFonts w:ascii="宋体" w:hAnsi="宋体" w:cs="宋体" w:eastAsia="宋体" w:hint="default"/>
                <w:sz w:val="21"/>
                <w:szCs w:val="21"/>
              </w:rPr>
              <w:t>技术研发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611,111.11</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625,000.00</w:t>
            </w:r>
            <w:r>
              <w:rPr>
                <w:rFonts w:ascii="Arial Narrow"/>
                <w:sz w:val="21"/>
              </w:rPr>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8"/>
              <w:jc w:val="left"/>
              <w:rPr>
                <w:rFonts w:ascii="宋体" w:hAnsi="宋体" w:cs="宋体" w:eastAsia="宋体" w:hint="default"/>
                <w:sz w:val="21"/>
                <w:szCs w:val="21"/>
              </w:rPr>
            </w:pPr>
            <w:r>
              <w:rPr>
                <w:rFonts w:ascii="宋体" w:hAnsi="宋体" w:cs="宋体" w:eastAsia="宋体" w:hint="default"/>
                <w:spacing w:val="-2"/>
                <w:sz w:val="21"/>
                <w:szCs w:val="21"/>
              </w:rPr>
              <w:t>面向服务支持多类型移动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终端的</w:t>
            </w:r>
            <w:r>
              <w:rPr>
                <w:rFonts w:ascii="宋体" w:hAnsi="宋体" w:cs="宋体" w:eastAsia="宋体" w:hint="default"/>
                <w:spacing w:val="-52"/>
                <w:sz w:val="21"/>
                <w:szCs w:val="21"/>
              </w:rPr>
              <w:t> </w:t>
            </w:r>
            <w:r>
              <w:rPr>
                <w:rFonts w:ascii="Calibri" w:hAnsi="Calibri" w:cs="Calibri" w:eastAsia="Calibri" w:hint="default"/>
                <w:sz w:val="21"/>
                <w:szCs w:val="21"/>
              </w:rPr>
              <w:t>GIS</w:t>
            </w:r>
            <w:r>
              <w:rPr>
                <w:rFonts w:ascii="Calibri" w:hAnsi="Calibri" w:cs="Calibri" w:eastAsia="Calibri" w:hint="default"/>
                <w:spacing w:val="3"/>
                <w:sz w:val="21"/>
                <w:szCs w:val="21"/>
              </w:rPr>
              <w:t> </w:t>
            </w:r>
            <w:r>
              <w:rPr>
                <w:rFonts w:ascii="宋体" w:hAnsi="宋体" w:cs="宋体" w:eastAsia="宋体" w:hint="default"/>
                <w:sz w:val="21"/>
                <w:szCs w:val="21"/>
              </w:rPr>
              <w:t>关键技术研发</w:t>
            </w:r>
          </w:p>
        </w:tc>
      </w:tr>
      <w:tr>
        <w:trPr>
          <w:trHeight w:val="636"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卫星及应用产业发展专项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600,000.00</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卫星及应用产业发展专项</w:t>
            </w:r>
          </w:p>
        </w:tc>
      </w:tr>
      <w:tr>
        <w:trPr>
          <w:trHeight w:val="634"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3" w:right="96"/>
              <w:jc w:val="left"/>
              <w:rPr>
                <w:rFonts w:ascii="宋体" w:hAnsi="宋体" w:cs="宋体" w:eastAsia="宋体" w:hint="default"/>
                <w:sz w:val="21"/>
                <w:szCs w:val="21"/>
              </w:rPr>
            </w:pPr>
            <w:r>
              <w:rPr>
                <w:rFonts w:ascii="Calibri" w:hAnsi="Calibri" w:cs="Calibri" w:eastAsia="Calibri" w:hint="default"/>
                <w:sz w:val="21"/>
                <w:szCs w:val="21"/>
              </w:rPr>
              <w:t>2011 </w:t>
            </w:r>
            <w:r>
              <w:rPr>
                <w:rFonts w:ascii="宋体" w:hAnsi="宋体" w:cs="宋体" w:eastAsia="宋体" w:hint="default"/>
                <w:sz w:val="21"/>
                <w:szCs w:val="21"/>
              </w:rPr>
              <w:t>年度北京市文化创意产业发展专项</w:t>
            </w:r>
            <w:r>
              <w:rPr>
                <w:rFonts w:ascii="宋体" w:hAnsi="宋体" w:cs="宋体" w:eastAsia="宋体" w:hint="default"/>
                <w:w w:val="100"/>
                <w:sz w:val="21"/>
                <w:szCs w:val="21"/>
              </w:rPr>
              <w:t> </w:t>
            </w:r>
            <w:r>
              <w:rPr>
                <w:rFonts w:ascii="宋体" w:hAnsi="宋体" w:cs="宋体" w:eastAsia="宋体" w:hint="default"/>
                <w:sz w:val="21"/>
                <w:szCs w:val="21"/>
              </w:rPr>
              <w:t>资金奖励</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500,000.00</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3" w:right="48"/>
              <w:jc w:val="left"/>
              <w:rPr>
                <w:rFonts w:ascii="宋体" w:hAnsi="宋体" w:cs="宋体" w:eastAsia="宋体" w:hint="default"/>
                <w:sz w:val="21"/>
                <w:szCs w:val="21"/>
              </w:rPr>
            </w:pPr>
            <w:r>
              <w:rPr>
                <w:rFonts w:ascii="Calibri" w:hAnsi="Calibri" w:cs="Calibri" w:eastAsia="Calibri" w:hint="default"/>
                <w:sz w:val="21"/>
                <w:szCs w:val="21"/>
              </w:rPr>
              <w:t>2011</w:t>
            </w:r>
            <w:r>
              <w:rPr>
                <w:rFonts w:ascii="Calibri" w:hAnsi="Calibri" w:cs="Calibri" w:eastAsia="Calibri" w:hint="default"/>
                <w:spacing w:val="3"/>
                <w:sz w:val="21"/>
                <w:szCs w:val="21"/>
              </w:rPr>
              <w:t> </w:t>
            </w:r>
            <w:r>
              <w:rPr>
                <w:rFonts w:ascii="宋体" w:hAnsi="宋体" w:cs="宋体" w:eastAsia="宋体" w:hint="default"/>
                <w:sz w:val="21"/>
                <w:szCs w:val="21"/>
              </w:rPr>
              <w:t>年度北京市文化创</w:t>
            </w:r>
            <w:r>
              <w:rPr>
                <w:rFonts w:ascii="宋体" w:hAnsi="宋体" w:cs="宋体" w:eastAsia="宋体" w:hint="default"/>
                <w:w w:val="100"/>
                <w:sz w:val="21"/>
                <w:szCs w:val="21"/>
              </w:rPr>
              <w:t> </w:t>
            </w:r>
            <w:r>
              <w:rPr>
                <w:rFonts w:ascii="宋体" w:hAnsi="宋体" w:cs="宋体" w:eastAsia="宋体" w:hint="default"/>
                <w:spacing w:val="-2"/>
                <w:sz w:val="21"/>
                <w:szCs w:val="21"/>
              </w:rPr>
              <w:t>意产业发展专项资金奖励</w:t>
            </w:r>
          </w:p>
        </w:tc>
      </w:tr>
      <w:tr>
        <w:trPr>
          <w:trHeight w:val="946"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43"/>
              <w:ind w:left="23" w:right="23"/>
              <w:jc w:val="left"/>
              <w:rPr>
                <w:rFonts w:ascii="宋体" w:hAnsi="宋体" w:cs="宋体" w:eastAsia="宋体" w:hint="default"/>
                <w:sz w:val="21"/>
                <w:szCs w:val="21"/>
              </w:rPr>
            </w:pPr>
            <w:r>
              <w:rPr>
                <w:rFonts w:ascii="宋体" w:hAnsi="宋体" w:cs="宋体" w:eastAsia="宋体" w:hint="default"/>
                <w:sz w:val="21"/>
                <w:szCs w:val="21"/>
              </w:rPr>
              <w:t>面向服务支持多类型移动终端的</w:t>
            </w:r>
            <w:r>
              <w:rPr>
                <w:rFonts w:ascii="宋体" w:hAnsi="宋体" w:cs="宋体" w:eastAsia="宋体" w:hint="default"/>
                <w:spacing w:val="-76"/>
                <w:sz w:val="21"/>
                <w:szCs w:val="21"/>
              </w:rPr>
              <w:t> </w:t>
            </w:r>
            <w:r>
              <w:rPr>
                <w:rFonts w:ascii="Calibri" w:hAnsi="Calibri" w:cs="Calibri" w:eastAsia="Calibri" w:hint="default"/>
                <w:sz w:val="21"/>
                <w:szCs w:val="21"/>
              </w:rPr>
              <w:t>GIS</w:t>
            </w:r>
            <w:r>
              <w:rPr>
                <w:rFonts w:ascii="Calibri" w:hAnsi="Calibri" w:cs="Calibri" w:eastAsia="Calibri" w:hint="default"/>
                <w:spacing w:val="-17"/>
                <w:sz w:val="21"/>
                <w:szCs w:val="21"/>
              </w:rPr>
              <w:t> </w:t>
            </w:r>
            <w:r>
              <w:rPr>
                <w:rFonts w:ascii="宋体" w:hAnsi="宋体" w:cs="宋体" w:eastAsia="宋体" w:hint="default"/>
                <w:spacing w:val="-3"/>
                <w:sz w:val="21"/>
                <w:szCs w:val="21"/>
              </w:rPr>
              <w:t>关键</w:t>
            </w:r>
            <w:r>
              <w:rPr>
                <w:rFonts w:ascii="宋体" w:hAnsi="宋体" w:cs="宋体" w:eastAsia="宋体" w:hint="default"/>
                <w:spacing w:val="-3"/>
                <w:w w:val="100"/>
                <w:sz w:val="21"/>
                <w:szCs w:val="21"/>
              </w:rPr>
              <w:t> </w:t>
            </w:r>
            <w:r>
              <w:rPr>
                <w:rFonts w:ascii="宋体" w:hAnsi="宋体" w:cs="宋体" w:eastAsia="宋体" w:hint="default"/>
                <w:sz w:val="21"/>
                <w:szCs w:val="21"/>
              </w:rPr>
              <w:t>技术与系统平台</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spacing w:val="-1"/>
                <w:sz w:val="21"/>
              </w:rPr>
              <w:t>375,000.00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388,888.89</w:t>
            </w:r>
            <w:r>
              <w:rPr>
                <w:rFonts w:ascii="Arial Narrow"/>
                <w:sz w:val="21"/>
              </w:rPr>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3" w:right="48"/>
              <w:jc w:val="both"/>
              <w:rPr>
                <w:rFonts w:ascii="宋体" w:hAnsi="宋体" w:cs="宋体" w:eastAsia="宋体" w:hint="default"/>
                <w:sz w:val="21"/>
                <w:szCs w:val="21"/>
              </w:rPr>
            </w:pPr>
            <w:r>
              <w:rPr>
                <w:rFonts w:ascii="宋体" w:hAnsi="宋体" w:cs="宋体" w:eastAsia="宋体" w:hint="default"/>
                <w:spacing w:val="-2"/>
                <w:sz w:val="21"/>
                <w:szCs w:val="21"/>
              </w:rPr>
              <w:t>面向服务支持多类型移动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终端的</w:t>
            </w:r>
            <w:r>
              <w:rPr>
                <w:rFonts w:ascii="宋体" w:hAnsi="宋体" w:cs="宋体" w:eastAsia="宋体" w:hint="default"/>
                <w:spacing w:val="-52"/>
                <w:sz w:val="21"/>
                <w:szCs w:val="21"/>
              </w:rPr>
              <w:t> </w:t>
            </w:r>
            <w:r>
              <w:rPr>
                <w:rFonts w:ascii="Calibri" w:hAnsi="Calibri" w:cs="Calibri" w:eastAsia="Calibri" w:hint="default"/>
                <w:sz w:val="21"/>
                <w:szCs w:val="21"/>
              </w:rPr>
              <w:t>GIS</w:t>
            </w:r>
            <w:r>
              <w:rPr>
                <w:rFonts w:ascii="Calibri" w:hAnsi="Calibri" w:cs="Calibri" w:eastAsia="Calibri" w:hint="default"/>
                <w:spacing w:val="3"/>
                <w:sz w:val="21"/>
                <w:szCs w:val="21"/>
              </w:rPr>
              <w:t> </w:t>
            </w:r>
            <w:r>
              <w:rPr>
                <w:rFonts w:ascii="宋体" w:hAnsi="宋体" w:cs="宋体" w:eastAsia="宋体" w:hint="default"/>
                <w:sz w:val="21"/>
                <w:szCs w:val="21"/>
              </w:rPr>
              <w:t>关键技术与系</w:t>
            </w:r>
            <w:r>
              <w:rPr>
                <w:rFonts w:ascii="宋体" w:hAnsi="宋体" w:cs="宋体" w:eastAsia="宋体" w:hint="default"/>
                <w:w w:val="100"/>
                <w:sz w:val="21"/>
                <w:szCs w:val="21"/>
              </w:rPr>
              <w:t> </w:t>
            </w:r>
            <w:r>
              <w:rPr>
                <w:rFonts w:ascii="宋体" w:hAnsi="宋体" w:cs="宋体" w:eastAsia="宋体" w:hint="default"/>
                <w:sz w:val="21"/>
                <w:szCs w:val="21"/>
              </w:rPr>
              <w:t>统平台</w:t>
            </w:r>
          </w:p>
        </w:tc>
      </w:tr>
      <w:tr>
        <w:trPr>
          <w:trHeight w:val="634"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51"/>
              <w:jc w:val="left"/>
              <w:rPr>
                <w:rFonts w:ascii="宋体" w:hAnsi="宋体" w:cs="宋体" w:eastAsia="宋体" w:hint="default"/>
                <w:sz w:val="21"/>
                <w:szCs w:val="21"/>
              </w:rPr>
            </w:pPr>
            <w:r>
              <w:rPr>
                <w:rFonts w:ascii="宋体" w:hAnsi="宋体" w:cs="宋体" w:eastAsia="宋体" w:hint="default"/>
                <w:spacing w:val="-2"/>
                <w:sz w:val="21"/>
                <w:szCs w:val="21"/>
              </w:rPr>
              <w:t>企业级服务式地理信息开发平台软件研</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发及产业化</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300,000.00</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8"/>
              <w:jc w:val="left"/>
              <w:rPr>
                <w:rFonts w:ascii="宋体" w:hAnsi="宋体" w:cs="宋体" w:eastAsia="宋体" w:hint="default"/>
                <w:sz w:val="21"/>
                <w:szCs w:val="21"/>
              </w:rPr>
            </w:pPr>
            <w:r>
              <w:rPr>
                <w:rFonts w:ascii="宋体" w:hAnsi="宋体" w:cs="宋体" w:eastAsia="宋体" w:hint="default"/>
                <w:spacing w:val="-2"/>
                <w:sz w:val="21"/>
                <w:szCs w:val="21"/>
              </w:rPr>
              <w:t>企业级服务式地理信息开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发平台软件研发及产业化</w:t>
            </w:r>
          </w:p>
        </w:tc>
      </w:tr>
      <w:tr>
        <w:trPr>
          <w:trHeight w:val="634"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51"/>
              <w:jc w:val="left"/>
              <w:rPr>
                <w:rFonts w:ascii="宋体" w:hAnsi="宋体" w:cs="宋体" w:eastAsia="宋体" w:hint="default"/>
                <w:sz w:val="21"/>
                <w:szCs w:val="21"/>
              </w:rPr>
            </w:pPr>
            <w:r>
              <w:rPr>
                <w:rFonts w:ascii="宋体" w:hAnsi="宋体" w:cs="宋体" w:eastAsia="宋体" w:hint="default"/>
                <w:spacing w:val="-2"/>
                <w:sz w:val="21"/>
                <w:szCs w:val="21"/>
              </w:rPr>
              <w:t>北京朝阳海外学人中心海外高层次人才</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奖励金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200,000.00</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8"/>
              <w:jc w:val="left"/>
              <w:rPr>
                <w:rFonts w:ascii="宋体" w:hAnsi="宋体" w:cs="宋体" w:eastAsia="宋体" w:hint="default"/>
                <w:sz w:val="21"/>
                <w:szCs w:val="21"/>
              </w:rPr>
            </w:pPr>
            <w:r>
              <w:rPr>
                <w:rFonts w:ascii="宋体" w:hAnsi="宋体" w:cs="宋体" w:eastAsia="宋体" w:hint="default"/>
                <w:spacing w:val="-2"/>
                <w:sz w:val="21"/>
                <w:szCs w:val="21"/>
              </w:rPr>
              <w:t>北京朝阳海外学人中心海</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外高层次人才奖励金</w:t>
            </w:r>
          </w:p>
        </w:tc>
      </w:tr>
      <w:tr>
        <w:trPr>
          <w:trHeight w:val="1258"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143"/>
              <w:ind w:left="23" w:right="74"/>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5"/>
                <w:sz w:val="21"/>
                <w:szCs w:val="21"/>
              </w:rPr>
              <w:t> </w:t>
            </w:r>
            <w:r>
              <w:rPr>
                <w:rFonts w:ascii="Calibri" w:hAnsi="Calibri" w:cs="Calibri" w:eastAsia="Calibri" w:hint="default"/>
                <w:sz w:val="21"/>
                <w:szCs w:val="21"/>
              </w:rPr>
              <w:t>2011</w:t>
            </w:r>
            <w:r>
              <w:rPr>
                <w:rFonts w:ascii="Calibri" w:hAnsi="Calibri" w:cs="Calibri" w:eastAsia="Calibri" w:hint="default"/>
                <w:spacing w:val="6"/>
                <w:sz w:val="21"/>
                <w:szCs w:val="21"/>
              </w:rPr>
              <w:t> </w:t>
            </w:r>
            <w:r>
              <w:rPr>
                <w:rFonts w:ascii="宋体" w:hAnsi="宋体" w:cs="宋体" w:eastAsia="宋体" w:hint="default"/>
                <w:sz w:val="21"/>
                <w:szCs w:val="21"/>
              </w:rPr>
              <w:t>年基于二维</w:t>
            </w:r>
            <w:r>
              <w:rPr>
                <w:rFonts w:ascii="宋体" w:hAnsi="宋体" w:cs="宋体" w:eastAsia="宋体" w:hint="default"/>
                <w:spacing w:val="-55"/>
                <w:sz w:val="21"/>
                <w:szCs w:val="21"/>
              </w:rPr>
              <w:t> </w:t>
            </w:r>
            <w:r>
              <w:rPr>
                <w:rFonts w:ascii="Calibri" w:hAnsi="Calibri" w:cs="Calibri" w:eastAsia="Calibri" w:hint="default"/>
                <w:sz w:val="21"/>
                <w:szCs w:val="21"/>
              </w:rPr>
              <w:t>GIS</w:t>
            </w:r>
            <w:r>
              <w:rPr>
                <w:rFonts w:ascii="Calibri" w:hAnsi="Calibri" w:cs="Calibri" w:eastAsia="Calibri" w:hint="default"/>
                <w:spacing w:val="4"/>
                <w:sz w:val="21"/>
                <w:szCs w:val="21"/>
              </w:rPr>
              <w:t> </w:t>
            </w:r>
            <w:r>
              <w:rPr>
                <w:rFonts w:ascii="宋体" w:hAnsi="宋体" w:cs="宋体" w:eastAsia="宋体" w:hint="default"/>
                <w:sz w:val="21"/>
                <w:szCs w:val="21"/>
              </w:rPr>
              <w:t>软件平台的二三</w:t>
            </w:r>
            <w:r>
              <w:rPr>
                <w:rFonts w:ascii="宋体" w:hAnsi="宋体" w:cs="宋体" w:eastAsia="宋体" w:hint="default"/>
                <w:w w:val="100"/>
                <w:sz w:val="21"/>
                <w:szCs w:val="21"/>
              </w:rPr>
              <w:t> </w:t>
            </w:r>
            <w:r>
              <w:rPr>
                <w:rFonts w:ascii="宋体" w:hAnsi="宋体" w:cs="宋体" w:eastAsia="宋体" w:hint="default"/>
                <w:sz w:val="21"/>
                <w:szCs w:val="21"/>
              </w:rPr>
              <w:t>维一体化技术升级改造及产业化项目给</w:t>
            </w:r>
            <w:r>
              <w:rPr>
                <w:rFonts w:ascii="宋体" w:hAnsi="宋体" w:cs="宋体" w:eastAsia="宋体" w:hint="default"/>
                <w:w w:val="100"/>
                <w:sz w:val="21"/>
                <w:szCs w:val="21"/>
              </w:rPr>
              <w:t> </w:t>
            </w:r>
            <w:r>
              <w:rPr>
                <w:rFonts w:ascii="宋体" w:hAnsi="宋体" w:cs="宋体" w:eastAsia="宋体" w:hint="default"/>
                <w:sz w:val="21"/>
                <w:szCs w:val="21"/>
              </w:rPr>
              <w:t>予的配套资金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160,000.00</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3" w:right="19"/>
              <w:jc w:val="both"/>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65"/>
                <w:sz w:val="21"/>
                <w:szCs w:val="21"/>
              </w:rPr>
              <w:t> </w:t>
            </w:r>
            <w:r>
              <w:rPr>
                <w:rFonts w:ascii="Calibri" w:hAnsi="Calibri" w:cs="Calibri" w:eastAsia="Calibri" w:hint="default"/>
                <w:sz w:val="21"/>
                <w:szCs w:val="21"/>
              </w:rPr>
              <w:t>2011</w:t>
            </w:r>
            <w:r>
              <w:rPr>
                <w:rFonts w:ascii="Calibri" w:hAnsi="Calibri" w:cs="Calibri" w:eastAsia="Calibri" w:hint="default"/>
                <w:spacing w:val="-8"/>
                <w:sz w:val="21"/>
                <w:szCs w:val="21"/>
              </w:rPr>
              <w:t> </w:t>
            </w:r>
            <w:r>
              <w:rPr>
                <w:rFonts w:ascii="宋体" w:hAnsi="宋体" w:cs="宋体" w:eastAsia="宋体" w:hint="default"/>
                <w:sz w:val="21"/>
                <w:szCs w:val="21"/>
              </w:rPr>
              <w:t>年基于二维</w:t>
            </w:r>
            <w:r>
              <w:rPr>
                <w:rFonts w:ascii="宋体" w:hAnsi="宋体" w:cs="宋体" w:eastAsia="宋体" w:hint="default"/>
                <w:spacing w:val="-64"/>
                <w:sz w:val="21"/>
                <w:szCs w:val="21"/>
              </w:rPr>
              <w:t> </w:t>
            </w:r>
            <w:r>
              <w:rPr>
                <w:rFonts w:ascii="Calibri" w:hAnsi="Calibri" w:cs="Calibri" w:eastAsia="Calibri" w:hint="default"/>
                <w:sz w:val="21"/>
                <w:szCs w:val="21"/>
              </w:rPr>
              <w:t>GIS</w:t>
            </w:r>
            <w:r>
              <w:rPr>
                <w:rFonts w:ascii="Calibri" w:hAnsi="Calibri" w:cs="Calibri" w:eastAsia="Calibri" w:hint="default"/>
                <w:spacing w:val="-11"/>
                <w:sz w:val="21"/>
                <w:szCs w:val="21"/>
              </w:rPr>
              <w:t> </w:t>
            </w:r>
            <w:r>
              <w:rPr>
                <w:rFonts w:ascii="宋体" w:hAnsi="宋体" w:cs="宋体" w:eastAsia="宋体" w:hint="default"/>
                <w:sz w:val="21"/>
                <w:szCs w:val="21"/>
              </w:rPr>
              <w:t>软</w:t>
            </w:r>
            <w:r>
              <w:rPr>
                <w:rFonts w:ascii="宋体" w:hAnsi="宋体" w:cs="宋体" w:eastAsia="宋体" w:hint="default"/>
                <w:w w:val="100"/>
                <w:sz w:val="21"/>
                <w:szCs w:val="21"/>
              </w:rPr>
              <w:t> </w:t>
            </w:r>
            <w:r>
              <w:rPr>
                <w:rFonts w:ascii="宋体" w:hAnsi="宋体" w:cs="宋体" w:eastAsia="宋体" w:hint="default"/>
                <w:sz w:val="21"/>
                <w:szCs w:val="21"/>
              </w:rPr>
              <w:t>件平台的二三维一体化技</w:t>
            </w:r>
            <w:r>
              <w:rPr>
                <w:rFonts w:ascii="宋体" w:hAnsi="宋体" w:cs="宋体" w:eastAsia="宋体" w:hint="default"/>
                <w:w w:val="100"/>
                <w:sz w:val="21"/>
                <w:szCs w:val="21"/>
              </w:rPr>
              <w:t> </w:t>
            </w:r>
            <w:r>
              <w:rPr>
                <w:rFonts w:ascii="宋体" w:hAnsi="宋体" w:cs="宋体" w:eastAsia="宋体" w:hint="default"/>
                <w:sz w:val="21"/>
                <w:szCs w:val="21"/>
              </w:rPr>
              <w:t>术升级改造及产业化项目</w:t>
            </w:r>
            <w:r>
              <w:rPr>
                <w:rFonts w:ascii="宋体" w:hAnsi="宋体" w:cs="宋体" w:eastAsia="宋体" w:hint="default"/>
                <w:w w:val="100"/>
                <w:sz w:val="21"/>
                <w:szCs w:val="21"/>
              </w:rPr>
              <w:t> </w:t>
            </w:r>
            <w:r>
              <w:rPr>
                <w:rFonts w:ascii="宋体" w:hAnsi="宋体" w:cs="宋体" w:eastAsia="宋体" w:hint="default"/>
                <w:sz w:val="21"/>
                <w:szCs w:val="21"/>
              </w:rPr>
              <w:t>给予的配套资金</w:t>
            </w:r>
          </w:p>
        </w:tc>
      </w:tr>
      <w:tr>
        <w:trPr>
          <w:trHeight w:val="634"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51"/>
              <w:jc w:val="left"/>
              <w:rPr>
                <w:rFonts w:ascii="宋体" w:hAnsi="宋体" w:cs="宋体" w:eastAsia="宋体" w:hint="default"/>
                <w:sz w:val="21"/>
                <w:szCs w:val="21"/>
              </w:rPr>
            </w:pPr>
            <w:r>
              <w:rPr>
                <w:rFonts w:ascii="宋体" w:hAnsi="宋体" w:cs="宋体" w:eastAsia="宋体" w:hint="default"/>
                <w:spacing w:val="-2"/>
                <w:sz w:val="21"/>
                <w:szCs w:val="21"/>
              </w:rPr>
              <w:t>朝阳区科学技术委员会发放科学技术奖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奖金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100,000.00</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8"/>
              <w:jc w:val="left"/>
              <w:rPr>
                <w:rFonts w:ascii="宋体" w:hAnsi="宋体" w:cs="宋体" w:eastAsia="宋体" w:hint="default"/>
                <w:sz w:val="21"/>
                <w:szCs w:val="21"/>
              </w:rPr>
            </w:pPr>
            <w:r>
              <w:rPr>
                <w:rFonts w:ascii="宋体" w:hAnsi="宋体" w:cs="宋体" w:eastAsia="宋体" w:hint="default"/>
                <w:spacing w:val="-2"/>
                <w:sz w:val="21"/>
                <w:szCs w:val="21"/>
              </w:rPr>
              <w:t>朝阳区科学技术委员会发</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放科学技术奖奖金</w:t>
            </w:r>
          </w:p>
        </w:tc>
      </w:tr>
      <w:tr>
        <w:trPr>
          <w:trHeight w:val="324"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北京市“新世纪百千万人才工程”培养经</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2"/>
              <w:jc w:val="right"/>
              <w:rPr>
                <w:rFonts w:ascii="Arial Narrow" w:hAnsi="Arial Narrow" w:cs="Arial Narrow" w:eastAsia="Arial Narrow" w:hint="default"/>
                <w:sz w:val="21"/>
                <w:szCs w:val="21"/>
              </w:rPr>
            </w:pPr>
            <w:r>
              <w:rPr>
                <w:rFonts w:ascii="Arial Narrow"/>
                <w:spacing w:val="-1"/>
                <w:sz w:val="21"/>
              </w:rPr>
              <w:t>50,000.00</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1"/>
              <w:jc w:val="right"/>
              <w:rPr>
                <w:rFonts w:ascii="Arial Narrow" w:hAnsi="Arial Narrow" w:cs="Arial Narrow" w:eastAsia="Arial Narrow" w:hint="default"/>
                <w:sz w:val="21"/>
                <w:szCs w:val="21"/>
              </w:rPr>
            </w:pPr>
            <w:r>
              <w:rPr>
                <w:rFonts w:ascii="Arial Narrow"/>
                <w:w w:val="100"/>
                <w:sz w:val="21"/>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北京市“新世纪百千万人</w:t>
            </w:r>
          </w:p>
        </w:tc>
      </w:tr>
    </w:tbl>
    <w:p>
      <w:pPr>
        <w:spacing w:after="0" w:line="265" w:lineRule="exact"/>
        <w:jc w:val="left"/>
        <w:rPr>
          <w:rFonts w:ascii="宋体" w:hAnsi="宋体" w:cs="宋体" w:eastAsia="宋体" w:hint="default"/>
          <w:sz w:val="21"/>
          <w:szCs w:val="21"/>
        </w:rPr>
        <w:sectPr>
          <w:pgSz w:w="11910" w:h="16840"/>
          <w:pgMar w:header="884" w:footer="1007" w:top="1160" w:bottom="1200" w:left="1240" w:right="1260"/>
        </w:sectPr>
      </w:pPr>
    </w:p>
    <w:p>
      <w:pPr>
        <w:spacing w:line="240" w:lineRule="auto" w:before="13"/>
        <w:rPr>
          <w:rFonts w:ascii="宋体" w:hAnsi="宋体" w:cs="宋体" w:eastAsia="宋体" w:hint="default"/>
          <w:b/>
          <w:bCs/>
          <w:sz w:val="19"/>
          <w:szCs w:val="19"/>
        </w:rPr>
      </w:pPr>
    </w:p>
    <w:tbl>
      <w:tblPr>
        <w:tblW w:w="0" w:type="auto"/>
        <w:jc w:val="left"/>
        <w:tblInd w:w="524" w:type="dxa"/>
        <w:tblLayout w:type="fixed"/>
        <w:tblCellMar>
          <w:top w:w="0" w:type="dxa"/>
          <w:left w:w="0" w:type="dxa"/>
          <w:bottom w:w="0" w:type="dxa"/>
          <w:right w:w="0" w:type="dxa"/>
        </w:tblCellMar>
        <w:tblLook w:val="01E0"/>
      </w:tblPr>
      <w:tblGrid>
        <w:gridCol w:w="3761"/>
        <w:gridCol w:w="1296"/>
        <w:gridCol w:w="1294"/>
        <w:gridCol w:w="2398"/>
      </w:tblGrid>
      <w:tr>
        <w:trPr>
          <w:trHeight w:val="322"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费</w:t>
            </w:r>
          </w:p>
        </w:tc>
        <w:tc>
          <w:tcPr>
            <w:tcW w:w="1296" w:type="dxa"/>
            <w:tcBorders>
              <w:top w:val="single" w:sz="4" w:space="0" w:color="000000"/>
              <w:left w:val="single" w:sz="4" w:space="0" w:color="000000"/>
              <w:bottom w:val="single" w:sz="4" w:space="0" w:color="000000"/>
              <w:right w:val="single" w:sz="4" w:space="0" w:color="000000"/>
            </w:tcBorders>
          </w:tcPr>
          <w:p>
            <w:pPr/>
          </w:p>
        </w:tc>
        <w:tc>
          <w:tcPr>
            <w:tcW w:w="1294" w:type="dxa"/>
            <w:tcBorders>
              <w:top w:val="single" w:sz="4" w:space="0" w:color="000000"/>
              <w:left w:val="single" w:sz="4" w:space="0" w:color="000000"/>
              <w:bottom w:val="single" w:sz="4" w:space="0" w:color="000000"/>
              <w:right w:val="single" w:sz="4" w:space="0" w:color="000000"/>
            </w:tcBorders>
          </w:tcPr>
          <w:p>
            <w:pP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才工程”培养经费</w:t>
            </w:r>
          </w:p>
        </w:tc>
      </w:tr>
      <w:tr>
        <w:trPr>
          <w:trHeight w:val="946"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143"/>
              <w:ind w:left="23" w:right="96"/>
              <w:jc w:val="left"/>
              <w:rPr>
                <w:rFonts w:ascii="宋体" w:hAnsi="宋体" w:cs="宋体" w:eastAsia="宋体" w:hint="default"/>
                <w:sz w:val="21"/>
                <w:szCs w:val="21"/>
              </w:rPr>
            </w:pPr>
            <w:r>
              <w:rPr>
                <w:rFonts w:ascii="Calibri" w:hAnsi="Calibri" w:cs="Calibri" w:eastAsia="Calibri" w:hint="default"/>
                <w:sz w:val="21"/>
                <w:szCs w:val="21"/>
              </w:rPr>
              <w:t>2012 </w:t>
            </w:r>
            <w:r>
              <w:rPr>
                <w:rFonts w:ascii="宋体" w:hAnsi="宋体" w:cs="宋体" w:eastAsia="宋体" w:hint="default"/>
                <w:sz w:val="21"/>
                <w:szCs w:val="21"/>
              </w:rPr>
              <w:t>中国（青岛）国际软件融合创新博</w:t>
            </w:r>
            <w:r>
              <w:rPr>
                <w:rFonts w:ascii="宋体" w:hAnsi="宋体" w:cs="宋体" w:eastAsia="宋体" w:hint="default"/>
                <w:w w:val="100"/>
                <w:sz w:val="21"/>
                <w:szCs w:val="21"/>
              </w:rPr>
              <w:t> </w:t>
            </w:r>
            <w:r>
              <w:rPr>
                <w:rFonts w:ascii="宋体" w:hAnsi="宋体" w:cs="宋体" w:eastAsia="宋体" w:hint="default"/>
                <w:sz w:val="21"/>
                <w:szCs w:val="21"/>
              </w:rPr>
              <w:t>览会重点参展企业专项补贴</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20,000.00</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ind w:left="23" w:right="19"/>
              <w:jc w:val="both"/>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5"/>
                <w:sz w:val="21"/>
                <w:szCs w:val="21"/>
              </w:rPr>
              <w:t> </w:t>
            </w:r>
            <w:r>
              <w:rPr>
                <w:rFonts w:ascii="宋体" w:hAnsi="宋体" w:cs="宋体" w:eastAsia="宋体" w:hint="default"/>
                <w:spacing w:val="-5"/>
                <w:sz w:val="21"/>
                <w:szCs w:val="21"/>
              </w:rPr>
              <w:t>中国（青岛）国际软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件融合创新博览会重点参</w:t>
            </w:r>
            <w:r>
              <w:rPr>
                <w:rFonts w:ascii="宋体" w:hAnsi="宋体" w:cs="宋体" w:eastAsia="宋体" w:hint="default"/>
                <w:w w:val="100"/>
                <w:sz w:val="21"/>
                <w:szCs w:val="21"/>
              </w:rPr>
              <w:t> </w:t>
            </w:r>
            <w:r>
              <w:rPr>
                <w:rFonts w:ascii="宋体" w:hAnsi="宋体" w:cs="宋体" w:eastAsia="宋体" w:hint="default"/>
                <w:sz w:val="21"/>
                <w:szCs w:val="21"/>
              </w:rPr>
              <w:t>展企业专项补贴</w:t>
            </w:r>
          </w:p>
        </w:tc>
      </w:tr>
      <w:tr>
        <w:trPr>
          <w:trHeight w:val="634"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北京市朝阳区高新技术企业协会</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16,400.00</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8"/>
              <w:jc w:val="left"/>
              <w:rPr>
                <w:rFonts w:ascii="宋体" w:hAnsi="宋体" w:cs="宋体" w:eastAsia="宋体" w:hint="default"/>
                <w:sz w:val="21"/>
                <w:szCs w:val="21"/>
              </w:rPr>
            </w:pPr>
            <w:r>
              <w:rPr>
                <w:rFonts w:ascii="宋体" w:hAnsi="宋体" w:cs="宋体" w:eastAsia="宋体" w:hint="default"/>
                <w:spacing w:val="-2"/>
                <w:sz w:val="21"/>
                <w:szCs w:val="21"/>
              </w:rPr>
              <w:t>北京市朝阳区高新技术企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业协会</w:t>
            </w:r>
          </w:p>
        </w:tc>
      </w:tr>
      <w:tr>
        <w:trPr>
          <w:trHeight w:val="636"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收中国技术交易所有限公司补贴收入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10,000.00</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8"/>
              <w:jc w:val="left"/>
              <w:rPr>
                <w:rFonts w:ascii="宋体" w:hAnsi="宋体" w:cs="宋体" w:eastAsia="宋体" w:hint="default"/>
                <w:sz w:val="21"/>
                <w:szCs w:val="21"/>
              </w:rPr>
            </w:pPr>
            <w:r>
              <w:rPr>
                <w:rFonts w:ascii="宋体" w:hAnsi="宋体" w:cs="宋体" w:eastAsia="宋体" w:hint="default"/>
                <w:spacing w:val="-2"/>
                <w:sz w:val="21"/>
                <w:szCs w:val="21"/>
              </w:rPr>
              <w:t>收中国技术交易所有限公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司补贴收入</w:t>
            </w:r>
          </w:p>
        </w:tc>
      </w:tr>
      <w:tr>
        <w:trPr>
          <w:trHeight w:val="634"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Calibri" w:hAnsi="Calibri" w:cs="Calibri" w:eastAsia="Calibri" w:hint="default"/>
                <w:sz w:val="21"/>
                <w:szCs w:val="21"/>
              </w:rPr>
              <w:t>1-8</w:t>
            </w:r>
            <w:r>
              <w:rPr>
                <w:rFonts w:ascii="Calibri" w:hAnsi="Calibri" w:cs="Calibri" w:eastAsia="Calibri" w:hint="default"/>
                <w:spacing w:val="3"/>
                <w:sz w:val="21"/>
                <w:szCs w:val="21"/>
              </w:rPr>
              <w:t> </w:t>
            </w:r>
            <w:r>
              <w:rPr>
                <w:rFonts w:ascii="宋体" w:hAnsi="宋体" w:cs="宋体" w:eastAsia="宋体" w:hint="default"/>
                <w:sz w:val="21"/>
                <w:szCs w:val="21"/>
              </w:rPr>
              <w:t>月中介服务支持资金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10,000.00</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ind w:left="23" w:right="29"/>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Calibri" w:hAnsi="Calibri" w:cs="Calibri" w:eastAsia="Calibri" w:hint="default"/>
                <w:sz w:val="21"/>
                <w:szCs w:val="21"/>
              </w:rPr>
              <w:t>1-8</w:t>
            </w:r>
            <w:r>
              <w:rPr>
                <w:rFonts w:ascii="Calibri" w:hAnsi="Calibri" w:cs="Calibri" w:eastAsia="Calibri" w:hint="default"/>
                <w:spacing w:val="3"/>
                <w:sz w:val="21"/>
                <w:szCs w:val="21"/>
              </w:rPr>
              <w:t> </w:t>
            </w:r>
            <w:r>
              <w:rPr>
                <w:rFonts w:ascii="宋体" w:hAnsi="宋体" w:cs="宋体" w:eastAsia="宋体" w:hint="default"/>
                <w:sz w:val="21"/>
                <w:szCs w:val="21"/>
              </w:rPr>
              <w:t>月中介服务支</w:t>
            </w:r>
            <w:r>
              <w:rPr>
                <w:rFonts w:ascii="宋体" w:hAnsi="宋体" w:cs="宋体" w:eastAsia="宋体" w:hint="default"/>
                <w:w w:val="100"/>
                <w:sz w:val="21"/>
                <w:szCs w:val="21"/>
              </w:rPr>
              <w:t> </w:t>
            </w:r>
            <w:r>
              <w:rPr>
                <w:rFonts w:ascii="宋体" w:hAnsi="宋体" w:cs="宋体" w:eastAsia="宋体" w:hint="default"/>
                <w:sz w:val="21"/>
                <w:szCs w:val="21"/>
              </w:rPr>
              <w:t>持资金</w:t>
            </w:r>
          </w:p>
        </w:tc>
      </w:tr>
      <w:tr>
        <w:trPr>
          <w:trHeight w:val="946"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144"/>
              <w:ind w:left="23" w:right="19"/>
              <w:jc w:val="left"/>
              <w:rPr>
                <w:rFonts w:ascii="宋体" w:hAnsi="宋体" w:cs="宋体" w:eastAsia="宋体" w:hint="default"/>
                <w:sz w:val="21"/>
                <w:szCs w:val="21"/>
              </w:rPr>
            </w:pPr>
            <w:r>
              <w:rPr>
                <w:rFonts w:ascii="宋体" w:hAnsi="宋体" w:cs="宋体" w:eastAsia="宋体" w:hint="default"/>
                <w:sz w:val="21"/>
                <w:szCs w:val="21"/>
              </w:rPr>
              <w:t>基于二维</w:t>
            </w:r>
            <w:r>
              <w:rPr>
                <w:rFonts w:ascii="宋体" w:hAnsi="宋体" w:cs="宋体" w:eastAsia="宋体" w:hint="default"/>
                <w:spacing w:val="-76"/>
                <w:sz w:val="21"/>
                <w:szCs w:val="21"/>
              </w:rPr>
              <w:t> </w:t>
            </w:r>
            <w:r>
              <w:rPr>
                <w:rFonts w:ascii="Calibri" w:hAnsi="Calibri" w:cs="Calibri" w:eastAsia="Calibri" w:hint="default"/>
                <w:sz w:val="21"/>
                <w:szCs w:val="21"/>
              </w:rPr>
              <w:t>GIS</w:t>
            </w:r>
            <w:r>
              <w:rPr>
                <w:rFonts w:ascii="Calibri" w:hAnsi="Calibri" w:cs="Calibri" w:eastAsia="Calibri" w:hint="default"/>
                <w:spacing w:val="-19"/>
                <w:sz w:val="21"/>
                <w:szCs w:val="21"/>
              </w:rPr>
              <w:t> </w:t>
            </w:r>
            <w:r>
              <w:rPr>
                <w:rFonts w:ascii="宋体" w:hAnsi="宋体" w:cs="宋体" w:eastAsia="宋体" w:hint="default"/>
                <w:sz w:val="21"/>
                <w:szCs w:val="21"/>
              </w:rPr>
              <w:t>软件平台的二三维一体化技</w:t>
            </w:r>
            <w:r>
              <w:rPr>
                <w:rFonts w:ascii="宋体" w:hAnsi="宋体" w:cs="宋体" w:eastAsia="宋体" w:hint="default"/>
                <w:w w:val="100"/>
                <w:sz w:val="21"/>
                <w:szCs w:val="21"/>
              </w:rPr>
              <w:t> </w:t>
            </w:r>
            <w:r>
              <w:rPr>
                <w:rFonts w:ascii="宋体" w:hAnsi="宋体" w:cs="宋体" w:eastAsia="宋体" w:hint="default"/>
                <w:sz w:val="21"/>
                <w:szCs w:val="21"/>
              </w:rPr>
              <w:t>术升级改造及产业化项目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1,690,000.00</w:t>
            </w:r>
            <w:r>
              <w:rPr>
                <w:rFonts w:ascii="Arial Narrow"/>
                <w:sz w:val="21"/>
              </w:rPr>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23" w:right="48"/>
              <w:jc w:val="both"/>
              <w:rPr>
                <w:rFonts w:ascii="宋体" w:hAnsi="宋体" w:cs="宋体" w:eastAsia="宋体" w:hint="default"/>
                <w:sz w:val="21"/>
                <w:szCs w:val="21"/>
              </w:rPr>
            </w:pPr>
            <w:r>
              <w:rPr>
                <w:rFonts w:ascii="宋体" w:hAnsi="宋体" w:cs="宋体" w:eastAsia="宋体" w:hint="default"/>
                <w:sz w:val="21"/>
                <w:szCs w:val="21"/>
              </w:rPr>
              <w:t>基于二维</w:t>
            </w:r>
            <w:r>
              <w:rPr>
                <w:rFonts w:ascii="宋体" w:hAnsi="宋体" w:cs="宋体" w:eastAsia="宋体" w:hint="default"/>
                <w:spacing w:val="-54"/>
                <w:sz w:val="21"/>
                <w:szCs w:val="21"/>
              </w:rPr>
              <w:t> </w:t>
            </w:r>
            <w:r>
              <w:rPr>
                <w:rFonts w:ascii="Calibri" w:hAnsi="Calibri" w:cs="Calibri" w:eastAsia="Calibri" w:hint="default"/>
                <w:sz w:val="21"/>
                <w:szCs w:val="21"/>
              </w:rPr>
              <w:t>GIS</w:t>
            </w:r>
            <w:r>
              <w:rPr>
                <w:rFonts w:ascii="Calibri" w:hAnsi="Calibri" w:cs="Calibri" w:eastAsia="Calibri" w:hint="default"/>
                <w:spacing w:val="5"/>
                <w:sz w:val="21"/>
                <w:szCs w:val="21"/>
              </w:rPr>
              <w:t> </w:t>
            </w:r>
            <w:r>
              <w:rPr>
                <w:rFonts w:ascii="宋体" w:hAnsi="宋体" w:cs="宋体" w:eastAsia="宋体" w:hint="default"/>
                <w:sz w:val="21"/>
                <w:szCs w:val="21"/>
              </w:rPr>
              <w:t>软件平台的</w:t>
            </w:r>
            <w:r>
              <w:rPr>
                <w:rFonts w:ascii="宋体" w:hAnsi="宋体" w:cs="宋体" w:eastAsia="宋体" w:hint="default"/>
                <w:w w:val="100"/>
                <w:sz w:val="21"/>
                <w:szCs w:val="21"/>
              </w:rPr>
              <w:t> </w:t>
            </w:r>
            <w:r>
              <w:rPr>
                <w:rFonts w:ascii="宋体" w:hAnsi="宋体" w:cs="宋体" w:eastAsia="宋体" w:hint="default"/>
                <w:spacing w:val="-2"/>
                <w:sz w:val="21"/>
                <w:szCs w:val="21"/>
              </w:rPr>
              <w:t>二三维一体化技术升级改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造及产业化项目</w:t>
            </w:r>
          </w:p>
        </w:tc>
      </w:tr>
      <w:tr>
        <w:trPr>
          <w:trHeight w:val="946"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51"/>
              <w:jc w:val="left"/>
              <w:rPr>
                <w:rFonts w:ascii="宋体" w:hAnsi="宋体" w:cs="宋体" w:eastAsia="宋体" w:hint="default"/>
                <w:sz w:val="21"/>
                <w:szCs w:val="21"/>
              </w:rPr>
            </w:pPr>
            <w:r>
              <w:rPr>
                <w:rFonts w:ascii="宋体" w:hAnsi="宋体" w:cs="宋体" w:eastAsia="宋体" w:hint="default"/>
                <w:spacing w:val="-2"/>
                <w:sz w:val="21"/>
                <w:szCs w:val="21"/>
              </w:rPr>
              <w:t>朝阳区高技术产业与现代制造业发展专</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项资金支持项目</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500,000.00</w:t>
            </w:r>
            <w:r>
              <w:rPr>
                <w:rFonts w:ascii="Arial Narrow"/>
                <w:sz w:val="21"/>
              </w:rPr>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8"/>
              <w:jc w:val="both"/>
              <w:rPr>
                <w:rFonts w:ascii="宋体" w:hAnsi="宋体" w:cs="宋体" w:eastAsia="宋体" w:hint="default"/>
                <w:sz w:val="21"/>
                <w:szCs w:val="21"/>
              </w:rPr>
            </w:pPr>
            <w:r>
              <w:rPr>
                <w:rFonts w:ascii="宋体" w:hAnsi="宋体" w:cs="宋体" w:eastAsia="宋体" w:hint="default"/>
                <w:spacing w:val="-2"/>
                <w:sz w:val="21"/>
                <w:szCs w:val="21"/>
              </w:rPr>
              <w:t>朝阳区高技术产业与现代</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制造业发展专项资金支持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项目</w:t>
            </w:r>
          </w:p>
        </w:tc>
      </w:tr>
      <w:tr>
        <w:trPr>
          <w:trHeight w:val="634"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中国巨灾应急救援信息集成系统与示范</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355,555.56</w:t>
            </w:r>
            <w:r>
              <w:rPr>
                <w:rFonts w:ascii="Arial Narrow"/>
                <w:sz w:val="21"/>
              </w:rPr>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8"/>
              <w:jc w:val="left"/>
              <w:rPr>
                <w:rFonts w:ascii="宋体" w:hAnsi="宋体" w:cs="宋体" w:eastAsia="宋体" w:hint="default"/>
                <w:sz w:val="21"/>
                <w:szCs w:val="21"/>
              </w:rPr>
            </w:pPr>
            <w:r>
              <w:rPr>
                <w:rFonts w:ascii="宋体" w:hAnsi="宋体" w:cs="宋体" w:eastAsia="宋体" w:hint="default"/>
                <w:spacing w:val="-2"/>
                <w:sz w:val="21"/>
                <w:szCs w:val="21"/>
              </w:rPr>
              <w:t>中国巨灾应急救援信息集</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成系统与示范</w:t>
            </w:r>
          </w:p>
        </w:tc>
      </w:tr>
      <w:tr>
        <w:trPr>
          <w:trHeight w:val="634"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51"/>
              <w:jc w:val="left"/>
              <w:rPr>
                <w:rFonts w:ascii="宋体" w:hAnsi="宋体" w:cs="宋体" w:eastAsia="宋体" w:hint="default"/>
                <w:sz w:val="21"/>
                <w:szCs w:val="21"/>
              </w:rPr>
            </w:pPr>
            <w:r>
              <w:rPr>
                <w:rFonts w:ascii="宋体" w:hAnsi="宋体" w:cs="宋体" w:eastAsia="宋体" w:hint="default"/>
                <w:spacing w:val="-2"/>
                <w:sz w:val="21"/>
                <w:szCs w:val="21"/>
              </w:rPr>
              <w:t>新一代空间数据在线更新管理关键技术</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的研发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325,000.00</w:t>
            </w:r>
            <w:r>
              <w:rPr>
                <w:rFonts w:ascii="Arial Narrow"/>
                <w:sz w:val="21"/>
              </w:rPr>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8"/>
              <w:jc w:val="left"/>
              <w:rPr>
                <w:rFonts w:ascii="宋体" w:hAnsi="宋体" w:cs="宋体" w:eastAsia="宋体" w:hint="default"/>
                <w:sz w:val="21"/>
                <w:szCs w:val="21"/>
              </w:rPr>
            </w:pPr>
            <w:r>
              <w:rPr>
                <w:rFonts w:ascii="宋体" w:hAnsi="宋体" w:cs="宋体" w:eastAsia="宋体" w:hint="default"/>
                <w:spacing w:val="-2"/>
                <w:sz w:val="21"/>
                <w:szCs w:val="21"/>
              </w:rPr>
              <w:t>新一代空间数据在线更新</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管理关键技术的研发</w:t>
            </w:r>
          </w:p>
        </w:tc>
      </w:tr>
      <w:tr>
        <w:trPr>
          <w:trHeight w:val="636"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财政部拨付国家新产品项目补助</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300,000.00</w:t>
            </w:r>
            <w:r>
              <w:rPr>
                <w:rFonts w:ascii="Arial Narrow"/>
                <w:sz w:val="21"/>
              </w:rPr>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8"/>
              <w:jc w:val="left"/>
              <w:rPr>
                <w:rFonts w:ascii="宋体" w:hAnsi="宋体" w:cs="宋体" w:eastAsia="宋体" w:hint="default"/>
                <w:sz w:val="21"/>
                <w:szCs w:val="21"/>
              </w:rPr>
            </w:pPr>
            <w:r>
              <w:rPr>
                <w:rFonts w:ascii="宋体" w:hAnsi="宋体" w:cs="宋体" w:eastAsia="宋体" w:hint="default"/>
                <w:spacing w:val="-2"/>
                <w:sz w:val="21"/>
                <w:szCs w:val="21"/>
              </w:rPr>
              <w:t>财政部拨付国家新产品项</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目补助</w:t>
            </w:r>
          </w:p>
        </w:tc>
      </w:tr>
      <w:tr>
        <w:trPr>
          <w:trHeight w:val="634"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农村住宅规划设计与建设标准研究</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169,780.00</w:t>
            </w:r>
            <w:r>
              <w:rPr>
                <w:rFonts w:ascii="Arial Narrow"/>
                <w:sz w:val="21"/>
              </w:rPr>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8"/>
              <w:jc w:val="left"/>
              <w:rPr>
                <w:rFonts w:ascii="宋体" w:hAnsi="宋体" w:cs="宋体" w:eastAsia="宋体" w:hint="default"/>
                <w:sz w:val="21"/>
                <w:szCs w:val="21"/>
              </w:rPr>
            </w:pPr>
            <w:r>
              <w:rPr>
                <w:rFonts w:ascii="宋体" w:hAnsi="宋体" w:cs="宋体" w:eastAsia="宋体" w:hint="default"/>
                <w:spacing w:val="-2"/>
                <w:sz w:val="21"/>
                <w:szCs w:val="21"/>
              </w:rPr>
              <w:t>农村住宅规划设计与建设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标准研究</w:t>
            </w:r>
          </w:p>
        </w:tc>
      </w:tr>
      <w:tr>
        <w:trPr>
          <w:trHeight w:val="1258"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22"/>
                <w:szCs w:val="22"/>
              </w:rPr>
            </w:pPr>
          </w:p>
          <w:p>
            <w:pPr>
              <w:pStyle w:val="TableParagraph"/>
              <w:spacing w:line="240" w:lineRule="auto"/>
              <w:ind w:left="23" w:right="0"/>
              <w:jc w:val="left"/>
              <w:rPr>
                <w:rFonts w:ascii="Calibri" w:hAnsi="Calibri" w:cs="Calibri" w:eastAsia="Calibri" w:hint="default"/>
                <w:sz w:val="21"/>
                <w:szCs w:val="21"/>
              </w:rPr>
            </w:pPr>
            <w:r>
              <w:rPr>
                <w:rFonts w:ascii="宋体" w:hAnsi="宋体" w:cs="宋体" w:eastAsia="宋体" w:hint="default"/>
                <w:sz w:val="21"/>
                <w:szCs w:val="21"/>
              </w:rPr>
              <w:t>北京市朝阳区财政局国库集中收付</w:t>
            </w:r>
            <w:r>
              <w:rPr>
                <w:rFonts w:ascii="宋体" w:hAnsi="宋体" w:cs="宋体" w:eastAsia="宋体" w:hint="default"/>
                <w:spacing w:val="-57"/>
                <w:sz w:val="21"/>
                <w:szCs w:val="21"/>
              </w:rPr>
              <w:t> </w:t>
            </w:r>
            <w:r>
              <w:rPr>
                <w:rFonts w:ascii="Calibri" w:hAnsi="Calibri" w:cs="Calibri" w:eastAsia="Calibri" w:hint="default"/>
                <w:sz w:val="21"/>
                <w:szCs w:val="21"/>
              </w:rPr>
              <w:t>2010</w:t>
            </w:r>
          </w:p>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年度第二批中小企业开拓国际市场资金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34"/>
              <w:ind w:right="22"/>
              <w:jc w:val="right"/>
              <w:rPr>
                <w:rFonts w:ascii="Arial Narrow" w:hAnsi="Arial Narrow" w:cs="Arial Narrow" w:eastAsia="Arial Narrow" w:hint="default"/>
                <w:sz w:val="21"/>
                <w:szCs w:val="21"/>
              </w:rPr>
            </w:pPr>
            <w:r>
              <w:rPr>
                <w:rFonts w:ascii="Arial Narrow"/>
                <w:spacing w:val="-1"/>
                <w:sz w:val="21"/>
              </w:rPr>
              <w:t>118,307.00</w:t>
            </w:r>
            <w:r>
              <w:rPr>
                <w:rFonts w:ascii="Arial Narrow"/>
                <w:sz w:val="21"/>
              </w:rPr>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ind w:left="23" w:right="48"/>
              <w:jc w:val="left"/>
              <w:rPr>
                <w:rFonts w:ascii="宋体" w:hAnsi="宋体" w:cs="宋体" w:eastAsia="宋体" w:hint="default"/>
                <w:sz w:val="21"/>
                <w:szCs w:val="21"/>
              </w:rPr>
            </w:pPr>
            <w:r>
              <w:rPr>
                <w:rFonts w:ascii="宋体" w:hAnsi="宋体" w:cs="宋体" w:eastAsia="宋体" w:hint="default"/>
                <w:spacing w:val="-2"/>
                <w:sz w:val="21"/>
                <w:szCs w:val="21"/>
              </w:rPr>
              <w:t>北京市朝阳区财政局国库</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集中收付</w:t>
            </w:r>
            <w:r>
              <w:rPr>
                <w:rFonts w:ascii="宋体" w:hAnsi="宋体" w:cs="宋体" w:eastAsia="宋体" w:hint="default"/>
                <w:spacing w:val="-55"/>
                <w:sz w:val="21"/>
                <w:szCs w:val="21"/>
              </w:rPr>
              <w:t> </w:t>
            </w:r>
            <w:r>
              <w:rPr>
                <w:rFonts w:ascii="Calibri" w:hAnsi="Calibri" w:cs="Calibri" w:eastAsia="Calibri" w:hint="default"/>
                <w:sz w:val="21"/>
                <w:szCs w:val="21"/>
              </w:rPr>
              <w:t>2010</w:t>
            </w:r>
            <w:r>
              <w:rPr>
                <w:rFonts w:ascii="Calibri" w:hAnsi="Calibri" w:cs="Calibri" w:eastAsia="Calibri" w:hint="default"/>
                <w:spacing w:val="4"/>
                <w:sz w:val="21"/>
                <w:szCs w:val="21"/>
              </w:rPr>
              <w:t> </w:t>
            </w:r>
            <w:r>
              <w:rPr>
                <w:rFonts w:ascii="宋体" w:hAnsi="宋体" w:cs="宋体" w:eastAsia="宋体" w:hint="default"/>
                <w:sz w:val="21"/>
                <w:szCs w:val="21"/>
              </w:rPr>
              <w:t>年度第二</w:t>
            </w:r>
            <w:r>
              <w:rPr>
                <w:rFonts w:ascii="宋体" w:hAnsi="宋体" w:cs="宋体" w:eastAsia="宋体" w:hint="default"/>
                <w:w w:val="100"/>
                <w:sz w:val="21"/>
                <w:szCs w:val="21"/>
              </w:rPr>
              <w:t> </w:t>
            </w:r>
            <w:r>
              <w:rPr>
                <w:rFonts w:ascii="宋体" w:hAnsi="宋体" w:cs="宋体" w:eastAsia="宋体" w:hint="default"/>
                <w:spacing w:val="-2"/>
                <w:sz w:val="21"/>
                <w:szCs w:val="21"/>
              </w:rPr>
              <w:t>批中小企业开拓国际市场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资金</w:t>
            </w:r>
          </w:p>
        </w:tc>
      </w:tr>
      <w:tr>
        <w:trPr>
          <w:trHeight w:val="634"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51"/>
              <w:jc w:val="left"/>
              <w:rPr>
                <w:rFonts w:ascii="宋体" w:hAnsi="宋体" w:cs="宋体" w:eastAsia="宋体" w:hint="default"/>
                <w:sz w:val="21"/>
                <w:szCs w:val="21"/>
              </w:rPr>
            </w:pPr>
            <w:r>
              <w:rPr>
                <w:rFonts w:ascii="宋体" w:hAnsi="宋体" w:cs="宋体" w:eastAsia="宋体" w:hint="default"/>
                <w:spacing w:val="-2"/>
                <w:sz w:val="21"/>
                <w:szCs w:val="21"/>
              </w:rPr>
              <w:t>北京市科学技术委员会拨付科技新星合</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同经费</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w w:val="100"/>
                <w:sz w:val="21"/>
              </w:rPr>
              <w:t>-</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20,000.00</w:t>
            </w:r>
            <w:r>
              <w:rPr>
                <w:rFonts w:ascii="Arial Narrow"/>
                <w:sz w:val="21"/>
              </w:rPr>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8"/>
              <w:jc w:val="left"/>
              <w:rPr>
                <w:rFonts w:ascii="宋体" w:hAnsi="宋体" w:cs="宋体" w:eastAsia="宋体" w:hint="default"/>
                <w:sz w:val="21"/>
                <w:szCs w:val="21"/>
              </w:rPr>
            </w:pPr>
            <w:r>
              <w:rPr>
                <w:rFonts w:ascii="宋体" w:hAnsi="宋体" w:cs="宋体" w:eastAsia="宋体" w:hint="default"/>
                <w:spacing w:val="-2"/>
                <w:sz w:val="21"/>
                <w:szCs w:val="21"/>
              </w:rPr>
              <w:t>北京市科学技术委员会拨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付科技新星合同经费</w:t>
            </w:r>
          </w:p>
        </w:tc>
      </w:tr>
      <w:tr>
        <w:trPr>
          <w:trHeight w:val="946" w:hRule="exact"/>
        </w:trPr>
        <w:tc>
          <w:tcPr>
            <w:tcW w:w="376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3"/>
              <w:ind w:left="23" w:right="19"/>
              <w:jc w:val="left"/>
              <w:rPr>
                <w:rFonts w:ascii="宋体" w:hAnsi="宋体" w:cs="宋体" w:eastAsia="宋体" w:hint="default"/>
                <w:sz w:val="21"/>
                <w:szCs w:val="21"/>
              </w:rPr>
            </w:pPr>
            <w:r>
              <w:rPr>
                <w:rFonts w:ascii="宋体" w:hAnsi="宋体" w:cs="宋体" w:eastAsia="宋体" w:hint="default"/>
                <w:spacing w:val="-6"/>
                <w:sz w:val="21"/>
                <w:szCs w:val="21"/>
              </w:rPr>
              <w:t>其他一次性计入当期损益的各种补贴、奖</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励、扶持资金</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199,832.31</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290,194.55</w:t>
            </w:r>
            <w:r>
              <w:rPr>
                <w:rFonts w:ascii="Arial Narrow"/>
                <w:sz w:val="21"/>
              </w:rPr>
            </w:r>
          </w:p>
        </w:tc>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48"/>
              <w:jc w:val="both"/>
              <w:rPr>
                <w:rFonts w:ascii="宋体" w:hAnsi="宋体" w:cs="宋体" w:eastAsia="宋体" w:hint="default"/>
                <w:sz w:val="21"/>
                <w:szCs w:val="21"/>
              </w:rPr>
            </w:pPr>
            <w:r>
              <w:rPr>
                <w:rFonts w:ascii="宋体" w:hAnsi="宋体" w:cs="宋体" w:eastAsia="宋体" w:hint="default"/>
                <w:spacing w:val="-2"/>
                <w:sz w:val="21"/>
                <w:szCs w:val="21"/>
              </w:rPr>
              <w:t>其他一次性计入当期损益</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2"/>
                <w:sz w:val="21"/>
                <w:szCs w:val="21"/>
              </w:rPr>
              <w:t>的各种补贴、奖励、扶持</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资金</w:t>
            </w:r>
          </w:p>
        </w:tc>
      </w:tr>
      <w:tr>
        <w:trPr>
          <w:trHeight w:val="636" w:hRule="exact"/>
        </w:trPr>
        <w:tc>
          <w:tcPr>
            <w:tcW w:w="3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3"/>
              <w:jc w:val="right"/>
              <w:rPr>
                <w:rFonts w:ascii="Arial Narrow" w:hAnsi="Arial Narrow" w:cs="Arial Narrow" w:eastAsia="Arial Narrow" w:hint="default"/>
                <w:sz w:val="21"/>
                <w:szCs w:val="21"/>
              </w:rPr>
            </w:pPr>
            <w:r>
              <w:rPr>
                <w:rFonts w:ascii="Arial Narrow"/>
                <w:spacing w:val="-1"/>
                <w:sz w:val="21"/>
              </w:rPr>
              <w:t>17,508,032.80</w:t>
            </w:r>
            <w:r>
              <w:rPr>
                <w:rFonts w:ascii="Arial Narrow"/>
                <w:sz w:val="21"/>
              </w:rPr>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13,615,056.18</w:t>
            </w:r>
            <w:r>
              <w:rPr>
                <w:rFonts w:ascii="Arial Narrow"/>
                <w:sz w:val="21"/>
              </w:rPr>
            </w:r>
          </w:p>
        </w:tc>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营业外收入说明：无</w:t>
      </w:r>
    </w:p>
    <w:p>
      <w:pPr>
        <w:spacing w:line="240" w:lineRule="auto" w:before="10"/>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3392"/>
        <w:gridCol w:w="1846"/>
        <w:gridCol w:w="1750"/>
        <w:gridCol w:w="1750"/>
      </w:tblGrid>
      <w:tr>
        <w:trPr>
          <w:trHeight w:val="161" w:hRule="exact"/>
        </w:trPr>
        <w:tc>
          <w:tcPr>
            <w:tcW w:w="3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0"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343" w:right="22" w:hanging="318"/>
              <w:jc w:val="left"/>
              <w:rPr>
                <w:rFonts w:ascii="宋体" w:hAnsi="宋体" w:cs="宋体" w:eastAsia="宋体" w:hint="default"/>
                <w:sz w:val="21"/>
                <w:szCs w:val="21"/>
              </w:rPr>
            </w:pPr>
            <w:r>
              <w:rPr>
                <w:rFonts w:ascii="宋体" w:hAnsi="宋体" w:cs="宋体" w:eastAsia="宋体" w:hint="default"/>
                <w:b/>
                <w:bCs/>
                <w:sz w:val="21"/>
                <w:szCs w:val="21"/>
              </w:rPr>
              <w:t>计入当期非经常性</w:t>
            </w:r>
            <w:r>
              <w:rPr>
                <w:rFonts w:ascii="宋体" w:hAnsi="宋体" w:cs="宋体" w:eastAsia="宋体" w:hint="default"/>
                <w:b/>
                <w:bCs/>
                <w:spacing w:val="-103"/>
                <w:sz w:val="21"/>
                <w:szCs w:val="21"/>
              </w:rPr>
              <w:t> </w:t>
            </w:r>
            <w:r>
              <w:rPr>
                <w:rFonts w:ascii="宋体" w:hAnsi="宋体" w:cs="宋体" w:eastAsia="宋体" w:hint="default"/>
                <w:b/>
                <w:bCs/>
                <w:sz w:val="21"/>
                <w:szCs w:val="21"/>
              </w:rPr>
              <w:t>损益的金额</w:t>
            </w:r>
            <w:r>
              <w:rPr>
                <w:rFonts w:ascii="宋体" w:hAnsi="宋体" w:cs="宋体" w:eastAsia="宋体" w:hint="default"/>
                <w:sz w:val="21"/>
                <w:szCs w:val="21"/>
              </w:rPr>
            </w:r>
          </w:p>
        </w:tc>
      </w:tr>
      <w:tr>
        <w:trPr>
          <w:trHeight w:val="312" w:hRule="exact"/>
        </w:trPr>
        <w:tc>
          <w:tcPr>
            <w:tcW w:w="3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1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38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7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343"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1750" w:type="dxa"/>
            <w:vMerge/>
            <w:tcBorders>
              <w:left w:val="single" w:sz="4" w:space="0" w:color="000000"/>
              <w:right w:val="single" w:sz="4" w:space="0" w:color="000000"/>
            </w:tcBorders>
            <w:shd w:val="clear" w:color="auto" w:fill="D2D2D2"/>
          </w:tcPr>
          <w:p>
            <w:pPr/>
          </w:p>
        </w:tc>
      </w:tr>
      <w:tr>
        <w:trPr>
          <w:trHeight w:val="161" w:hRule="exact"/>
        </w:trPr>
        <w:tc>
          <w:tcPr>
            <w:tcW w:w="3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0"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18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84,175.36</w:t>
            </w:r>
            <w:r>
              <w:rPr>
                <w:rFonts w:ascii="Arial Narrow"/>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423,261.20</w:t>
            </w:r>
            <w:r>
              <w:rPr>
                <w:rFonts w:ascii="Arial Narrow"/>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84,175.36</w:t>
            </w:r>
            <w:r>
              <w:rPr>
                <w:rFonts w:ascii="Arial Narrow"/>
                <w:sz w:val="21"/>
              </w:rPr>
            </w:r>
          </w:p>
        </w:tc>
      </w:tr>
      <w:tr>
        <w:trPr>
          <w:trHeight w:val="323" w:hRule="exact"/>
        </w:trPr>
        <w:tc>
          <w:tcPr>
            <w:tcW w:w="3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18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0"/>
              <w:jc w:val="right"/>
              <w:rPr>
                <w:rFonts w:ascii="Arial Narrow" w:hAnsi="Arial Narrow" w:cs="Arial Narrow" w:eastAsia="Arial Narrow" w:hint="default"/>
                <w:sz w:val="21"/>
                <w:szCs w:val="21"/>
              </w:rPr>
            </w:pPr>
            <w:r>
              <w:rPr>
                <w:rFonts w:ascii="Arial Narrow"/>
                <w:spacing w:val="-1"/>
                <w:sz w:val="21"/>
              </w:rPr>
              <w:t>84,175.36</w:t>
            </w:r>
            <w:r>
              <w:rPr>
                <w:rFonts w:ascii="Arial Narrow"/>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Arial Narrow" w:hAnsi="Arial Narrow" w:cs="Arial Narrow" w:eastAsia="Arial Narrow" w:hint="default"/>
                <w:sz w:val="21"/>
                <w:szCs w:val="21"/>
              </w:rPr>
            </w:pPr>
            <w:r>
              <w:rPr>
                <w:rFonts w:ascii="Arial Narrow"/>
                <w:spacing w:val="-1"/>
                <w:sz w:val="21"/>
              </w:rPr>
              <w:t>423,261.20</w:t>
            </w:r>
            <w:r>
              <w:rPr>
                <w:rFonts w:ascii="Arial Narrow"/>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Arial Narrow" w:hAnsi="Arial Narrow" w:cs="Arial Narrow" w:eastAsia="Arial Narrow" w:hint="default"/>
                <w:sz w:val="21"/>
                <w:szCs w:val="21"/>
              </w:rPr>
            </w:pPr>
            <w:r>
              <w:rPr>
                <w:rFonts w:ascii="Arial Narrow"/>
                <w:spacing w:val="-1"/>
                <w:sz w:val="21"/>
              </w:rPr>
              <w:t>84,175.36</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884" w:footer="1007" w:top="1160" w:bottom="1200" w:left="1240" w:right="1260"/>
        </w:sectPr>
      </w:pPr>
    </w:p>
    <w:p>
      <w:pPr>
        <w:spacing w:line="240" w:lineRule="auto" w:before="13"/>
        <w:rPr>
          <w:rFonts w:ascii="宋体" w:hAnsi="宋体" w:cs="宋体" w:eastAsia="宋体" w:hint="default"/>
          <w:sz w:val="19"/>
          <w:szCs w:val="19"/>
        </w:rPr>
      </w:pPr>
    </w:p>
    <w:tbl>
      <w:tblPr>
        <w:tblW w:w="0" w:type="auto"/>
        <w:jc w:val="left"/>
        <w:tblInd w:w="524" w:type="dxa"/>
        <w:tblLayout w:type="fixed"/>
        <w:tblCellMar>
          <w:top w:w="0" w:type="dxa"/>
          <w:left w:w="0" w:type="dxa"/>
          <w:bottom w:w="0" w:type="dxa"/>
          <w:right w:w="0" w:type="dxa"/>
        </w:tblCellMar>
        <w:tblLook w:val="01E0"/>
      </w:tblPr>
      <w:tblGrid>
        <w:gridCol w:w="3404"/>
        <w:gridCol w:w="1846"/>
        <w:gridCol w:w="1750"/>
        <w:gridCol w:w="1750"/>
      </w:tblGrid>
      <w:tr>
        <w:trPr>
          <w:trHeight w:val="322"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655" w:right="0"/>
              <w:jc w:val="left"/>
              <w:rPr>
                <w:rFonts w:ascii="宋体" w:hAnsi="宋体" w:cs="宋体" w:eastAsia="宋体" w:hint="default"/>
                <w:sz w:val="21"/>
                <w:szCs w:val="21"/>
              </w:rPr>
            </w:pPr>
            <w:r>
              <w:rPr>
                <w:rFonts w:ascii="宋体" w:hAnsi="宋体" w:cs="宋体" w:eastAsia="宋体" w:hint="default"/>
                <w:sz w:val="21"/>
                <w:szCs w:val="21"/>
              </w:rPr>
              <w:t>无形资产处置损失</w:t>
            </w:r>
          </w:p>
        </w:tc>
        <w:tc>
          <w:tcPr>
            <w:tcW w:w="1846" w:type="dxa"/>
            <w:tcBorders>
              <w:top w:val="single" w:sz="4" w:space="0" w:color="000000"/>
              <w:left w:val="single" w:sz="13"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债务重组损失</w:t>
            </w:r>
          </w:p>
        </w:tc>
        <w:tc>
          <w:tcPr>
            <w:tcW w:w="1846" w:type="dxa"/>
            <w:tcBorders>
              <w:top w:val="single" w:sz="4" w:space="0" w:color="000000"/>
              <w:left w:val="single" w:sz="13"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非货币性资产交换损失</w:t>
            </w:r>
          </w:p>
        </w:tc>
        <w:tc>
          <w:tcPr>
            <w:tcW w:w="1846" w:type="dxa"/>
            <w:tcBorders>
              <w:top w:val="single" w:sz="4" w:space="0" w:color="000000"/>
              <w:left w:val="single" w:sz="13"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1846" w:type="dxa"/>
            <w:tcBorders>
              <w:top w:val="single" w:sz="4" w:space="0" w:color="000000"/>
              <w:left w:val="single" w:sz="13" w:space="0" w:color="D2D2D2"/>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罚没支出</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244,961.40</w:t>
            </w:r>
            <w:r>
              <w:rPr>
                <w:rFonts w:ascii="Arial Narrow"/>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244,961.40</w:t>
            </w:r>
            <w:r>
              <w:rPr>
                <w:rFonts w:ascii="Arial Narrow"/>
                <w:sz w:val="21"/>
              </w:rPr>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16,538.19</w:t>
            </w:r>
            <w:r>
              <w:rPr>
                <w:rFonts w:ascii="Arial Narrow"/>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9,827.37</w:t>
            </w:r>
            <w:r>
              <w:rPr>
                <w:rFonts w:ascii="Arial Narrow"/>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16,538.19</w:t>
            </w:r>
            <w:r>
              <w:rPr>
                <w:rFonts w:ascii="Arial Narrow"/>
                <w:sz w:val="21"/>
              </w:rPr>
            </w:r>
          </w:p>
        </w:tc>
      </w:tr>
      <w:tr>
        <w:trPr>
          <w:trHeight w:val="322" w:hRule="exact"/>
        </w:trPr>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345,674.95</w:t>
            </w:r>
            <w:r>
              <w:rPr>
                <w:rFonts w:ascii="Arial Narrow"/>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433,088.57</w:t>
            </w:r>
            <w:r>
              <w:rPr>
                <w:rFonts w:ascii="Arial Narrow"/>
                <w:sz w:val="21"/>
              </w:rPr>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b/>
                <w:spacing w:val="-1"/>
                <w:sz w:val="21"/>
              </w:rPr>
              <w:t>345,674.95</w:t>
            </w:r>
            <w:r>
              <w:rPr>
                <w:rFonts w:ascii="Arial Narrow"/>
                <w:sz w:val="21"/>
              </w:rPr>
            </w:r>
          </w:p>
        </w:tc>
      </w:tr>
    </w:tbl>
    <w:p>
      <w:pPr>
        <w:spacing w:line="262" w:lineRule="exact" w:before="0"/>
        <w:ind w:left="558" w:right="82" w:firstLine="0"/>
        <w:jc w:val="left"/>
        <w:rPr>
          <w:rFonts w:ascii="宋体" w:hAnsi="宋体" w:cs="宋体" w:eastAsia="宋体" w:hint="default"/>
          <w:sz w:val="21"/>
          <w:szCs w:val="21"/>
        </w:rPr>
      </w:pPr>
      <w:r>
        <w:rPr>
          <w:rFonts w:ascii="宋体" w:hAnsi="宋体" w:cs="宋体" w:eastAsia="宋体" w:hint="default"/>
          <w:sz w:val="21"/>
          <w:szCs w:val="21"/>
        </w:rPr>
        <w:t>营业外支出说明</w:t>
      </w:r>
    </w:p>
    <w:p>
      <w:pPr>
        <w:spacing w:line="240" w:lineRule="auto" w:before="10"/>
        <w:rPr>
          <w:rFonts w:ascii="宋体" w:hAnsi="宋体" w:cs="宋体" w:eastAsia="宋体" w:hint="default"/>
          <w:sz w:val="25"/>
          <w:szCs w:val="25"/>
        </w:rPr>
      </w:pPr>
    </w:p>
    <w:p>
      <w:pPr>
        <w:spacing w:before="0"/>
        <w:ind w:left="558" w:right="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、所得税费用</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36"/>
        <w:ind w:left="0" w:right="2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4246"/>
        <w:gridCol w:w="2319"/>
        <w:gridCol w:w="2185"/>
      </w:tblGrid>
      <w:tr>
        <w:trPr>
          <w:trHeight w:val="322"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3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2"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3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spacing w:val="-1"/>
                <w:sz w:val="21"/>
              </w:rPr>
              <w:t>702,805.36</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8,163,139.27</w:t>
            </w:r>
            <w:r>
              <w:rPr>
                <w:rFonts w:ascii="Arial Narrow"/>
                <w:sz w:val="21"/>
              </w:rPr>
            </w:r>
          </w:p>
        </w:tc>
      </w:tr>
      <w:tr>
        <w:trPr>
          <w:trHeight w:val="32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3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spacing w:val="-1"/>
                <w:sz w:val="21"/>
              </w:rPr>
              <w:t>-1,311,171.09</w:t>
            </w:r>
            <w:r>
              <w:rPr>
                <w:rFonts w:ascii="Arial Narrow"/>
                <w:sz w:val="21"/>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-1,541,258.44</w:t>
            </w:r>
            <w:r>
              <w:rPr>
                <w:rFonts w:ascii="Arial Narrow"/>
                <w:sz w:val="21"/>
              </w:rPr>
            </w:r>
          </w:p>
        </w:tc>
      </w:tr>
      <w:tr>
        <w:trPr>
          <w:trHeight w:val="323" w:hRule="exact"/>
        </w:trPr>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19"/>
              <w:jc w:val="right"/>
              <w:rPr>
                <w:rFonts w:ascii="Arial Narrow" w:hAnsi="Arial Narrow" w:cs="Arial Narrow" w:eastAsia="Arial Narrow" w:hint="default"/>
                <w:sz w:val="21"/>
                <w:szCs w:val="21"/>
              </w:rPr>
            </w:pPr>
            <w:r>
              <w:rPr>
                <w:rFonts w:ascii="Arial Narrow"/>
                <w:spacing w:val="-1"/>
                <w:sz w:val="21"/>
              </w:rPr>
              <w:t>-608,357.97</w:t>
            </w:r>
            <w:r>
              <w:rPr>
                <w:rFonts w:ascii="Arial Narrow"/>
                <w:sz w:val="21"/>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Arial Narrow" w:hAnsi="Arial Narrow" w:cs="Arial Narrow" w:eastAsia="Arial Narrow" w:hint="default"/>
                <w:sz w:val="21"/>
                <w:szCs w:val="21"/>
              </w:rPr>
            </w:pPr>
            <w:r>
              <w:rPr>
                <w:rFonts w:ascii="Arial Narrow"/>
                <w:spacing w:val="-1"/>
                <w:sz w:val="21"/>
              </w:rPr>
              <w:t>6,621,880.83</w:t>
            </w:r>
            <w:r>
              <w:rPr>
                <w:rFonts w:ascii="Arial Narrow"/>
                <w:sz w:val="21"/>
              </w:rPr>
            </w:r>
          </w:p>
        </w:tc>
      </w:tr>
    </w:tbl>
    <w:p>
      <w:pPr>
        <w:spacing w:line="240" w:lineRule="auto" w:before="3"/>
        <w:rPr>
          <w:rFonts w:ascii="宋体" w:hAnsi="宋体" w:cs="宋体" w:eastAsia="宋体" w:hint="default"/>
          <w:sz w:val="19"/>
          <w:szCs w:val="19"/>
        </w:rPr>
      </w:pPr>
    </w:p>
    <w:p>
      <w:pPr>
        <w:spacing w:before="36"/>
        <w:ind w:left="558" w:right="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450" w:type="dxa"/>
        <w:tblLayout w:type="fixed"/>
        <w:tblCellMar>
          <w:top w:w="0" w:type="dxa"/>
          <w:left w:w="0" w:type="dxa"/>
          <w:bottom w:w="0" w:type="dxa"/>
          <w:right w:w="0" w:type="dxa"/>
        </w:tblCellMar>
        <w:tblLook w:val="01E0"/>
      </w:tblPr>
      <w:tblGrid>
        <w:gridCol w:w="3793"/>
        <w:gridCol w:w="1826"/>
        <w:gridCol w:w="1924"/>
        <w:gridCol w:w="1365"/>
      </w:tblGrid>
      <w:tr>
        <w:trPr>
          <w:trHeight w:val="583" w:hRule="exact"/>
        </w:trPr>
        <w:tc>
          <w:tcPr>
            <w:tcW w:w="3793" w:type="dxa"/>
            <w:tcBorders>
              <w:top w:val="single" w:sz="8" w:space="0" w:color="000000"/>
              <w:left w:val="nil" w:sz="6" w:space="0" w:color="auto"/>
              <w:bottom w:val="single" w:sz="4" w:space="0" w:color="000000"/>
              <w:right w:val="nil" w:sz="6" w:space="0" w:color="auto"/>
            </w:tcBorders>
          </w:tcPr>
          <w:p>
            <w:pPr>
              <w:pStyle w:val="TableParagraph"/>
              <w:spacing w:line="240" w:lineRule="auto" w:before="48"/>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项目</w:t>
            </w:r>
            <w:r>
              <w:rPr>
                <w:rFonts w:ascii="Microsoft JhengHei" w:hAnsi="Microsoft JhengHei" w:cs="Microsoft JhengHei" w:eastAsia="Microsoft JhengHei" w:hint="default"/>
                <w:sz w:val="21"/>
                <w:szCs w:val="21"/>
              </w:rPr>
            </w:r>
          </w:p>
        </w:tc>
        <w:tc>
          <w:tcPr>
            <w:tcW w:w="1826" w:type="dxa"/>
            <w:tcBorders>
              <w:top w:val="single" w:sz="8" w:space="0" w:color="000000"/>
              <w:left w:val="nil" w:sz="6" w:space="0" w:color="auto"/>
              <w:bottom w:val="single" w:sz="4" w:space="0" w:color="000000"/>
              <w:right w:val="nil" w:sz="6" w:space="0" w:color="auto"/>
            </w:tcBorders>
          </w:tcPr>
          <w:p>
            <w:pPr>
              <w:pStyle w:val="TableParagraph"/>
              <w:spacing w:line="240" w:lineRule="auto" w:before="48"/>
              <w:ind w:right="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代码</w:t>
            </w:r>
            <w:r>
              <w:rPr>
                <w:rFonts w:ascii="Microsoft JhengHei" w:hAnsi="Microsoft JhengHei" w:cs="Microsoft JhengHei" w:eastAsia="Microsoft JhengHei" w:hint="default"/>
                <w:sz w:val="21"/>
                <w:szCs w:val="21"/>
              </w:rPr>
            </w:r>
          </w:p>
        </w:tc>
        <w:tc>
          <w:tcPr>
            <w:tcW w:w="1924" w:type="dxa"/>
            <w:tcBorders>
              <w:top w:val="single" w:sz="8" w:space="0" w:color="000000"/>
              <w:left w:val="nil" w:sz="6" w:space="0" w:color="auto"/>
              <w:bottom w:val="single" w:sz="4" w:space="0" w:color="000000"/>
              <w:right w:val="nil" w:sz="6" w:space="0" w:color="auto"/>
            </w:tcBorders>
          </w:tcPr>
          <w:p>
            <w:pPr>
              <w:pStyle w:val="TableParagraph"/>
              <w:spacing w:line="240" w:lineRule="auto" w:before="48"/>
              <w:ind w:right="15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365" w:type="dxa"/>
            <w:tcBorders>
              <w:top w:val="single" w:sz="8" w:space="0" w:color="000000"/>
              <w:left w:val="nil" w:sz="6" w:space="0" w:color="auto"/>
              <w:bottom w:val="single" w:sz="4" w:space="0" w:color="000000"/>
              <w:right w:val="nil" w:sz="6" w:space="0" w:color="auto"/>
            </w:tcBorders>
          </w:tcPr>
          <w:p>
            <w:pPr>
              <w:pStyle w:val="TableParagraph"/>
              <w:spacing w:line="240" w:lineRule="auto" w:before="48"/>
              <w:ind w:right="10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607" w:hRule="exact"/>
        </w:trPr>
        <w:tc>
          <w:tcPr>
            <w:tcW w:w="3793" w:type="dxa"/>
            <w:tcBorders>
              <w:top w:val="single" w:sz="4" w:space="0" w:color="000000"/>
              <w:left w:val="nil" w:sz="6" w:space="0" w:color="auto"/>
              <w:bottom w:val="nil" w:sz="6" w:space="0" w:color="auto"/>
              <w:right w:val="nil" w:sz="6" w:space="0" w:color="auto"/>
            </w:tcBorders>
          </w:tcPr>
          <w:p>
            <w:pPr>
              <w:pStyle w:val="TableParagraph"/>
              <w:spacing w:line="272" w:lineRule="exact" w:before="6"/>
              <w:ind w:left="107" w:right="568"/>
              <w:jc w:val="left"/>
              <w:rPr>
                <w:rFonts w:ascii="宋体" w:hAnsi="宋体" w:cs="宋体" w:eastAsia="宋体" w:hint="default"/>
                <w:sz w:val="21"/>
                <w:szCs w:val="21"/>
              </w:rPr>
            </w:pPr>
            <w:r>
              <w:rPr>
                <w:rFonts w:ascii="宋体" w:hAnsi="宋体" w:cs="宋体" w:eastAsia="宋体" w:hint="default"/>
                <w:spacing w:val="9"/>
                <w:sz w:val="21"/>
                <w:szCs w:val="21"/>
              </w:rPr>
              <w:t>报告期归属于公司普通股股东的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净利润</w:t>
            </w:r>
          </w:p>
        </w:tc>
        <w:tc>
          <w:tcPr>
            <w:tcW w:w="182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
              <w:jc w:val="center"/>
              <w:rPr>
                <w:rFonts w:ascii="Arial Narrow" w:hAnsi="Arial Narrow" w:cs="Arial Narrow" w:eastAsia="Arial Narrow" w:hint="default"/>
                <w:sz w:val="21"/>
                <w:szCs w:val="21"/>
              </w:rPr>
            </w:pPr>
            <w:r>
              <w:rPr>
                <w:rFonts w:ascii="Arial Narrow"/>
                <w:sz w:val="21"/>
              </w:rPr>
              <w:t>P1</w:t>
            </w:r>
          </w:p>
        </w:tc>
        <w:tc>
          <w:tcPr>
            <w:tcW w:w="1924"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53"/>
              <w:jc w:val="right"/>
              <w:rPr>
                <w:rFonts w:ascii="Arial Narrow" w:hAnsi="Arial Narrow" w:cs="Arial Narrow" w:eastAsia="Arial Narrow" w:hint="default"/>
                <w:sz w:val="21"/>
                <w:szCs w:val="21"/>
              </w:rPr>
            </w:pPr>
            <w:r>
              <w:rPr>
                <w:rFonts w:ascii="Arial Narrow"/>
                <w:spacing w:val="-1"/>
                <w:sz w:val="21"/>
              </w:rPr>
              <w:t>5,371,349.59</w:t>
            </w:r>
            <w:r>
              <w:rPr>
                <w:rFonts w:ascii="Arial Narrow"/>
                <w:sz w:val="21"/>
              </w:rPr>
            </w:r>
          </w:p>
        </w:tc>
        <w:tc>
          <w:tcPr>
            <w:tcW w:w="1365"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04"/>
              <w:jc w:val="right"/>
              <w:rPr>
                <w:rFonts w:ascii="Arial Narrow" w:hAnsi="Arial Narrow" w:cs="Arial Narrow" w:eastAsia="Arial Narrow" w:hint="default"/>
                <w:sz w:val="21"/>
                <w:szCs w:val="21"/>
              </w:rPr>
            </w:pPr>
            <w:r>
              <w:rPr>
                <w:rFonts w:ascii="Arial Narrow"/>
                <w:spacing w:val="-1"/>
                <w:sz w:val="21"/>
              </w:rPr>
              <w:t>46,761,088.46</w:t>
            </w:r>
            <w:r>
              <w:rPr>
                <w:rFonts w:ascii="Arial Narrow"/>
                <w:sz w:val="21"/>
              </w:rPr>
            </w:r>
          </w:p>
        </w:tc>
      </w:tr>
      <w:tr>
        <w:trPr>
          <w:trHeight w:val="641" w:hRule="exact"/>
        </w:trPr>
        <w:tc>
          <w:tcPr>
            <w:tcW w:w="379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7" w:right="568"/>
              <w:jc w:val="left"/>
              <w:rPr>
                <w:rFonts w:ascii="宋体" w:hAnsi="宋体" w:cs="宋体" w:eastAsia="宋体" w:hint="default"/>
                <w:sz w:val="21"/>
                <w:szCs w:val="21"/>
              </w:rPr>
            </w:pPr>
            <w:r>
              <w:rPr>
                <w:rFonts w:ascii="宋体" w:hAnsi="宋体" w:cs="宋体" w:eastAsia="宋体" w:hint="default"/>
                <w:spacing w:val="9"/>
                <w:sz w:val="21"/>
                <w:szCs w:val="21"/>
              </w:rPr>
              <w:t>报告期归属于公司普通股股东的</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非经常性损益</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w w:val="100"/>
                <w:sz w:val="21"/>
              </w:rPr>
              <w:t>F</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53"/>
              <w:jc w:val="right"/>
              <w:rPr>
                <w:rFonts w:ascii="Arial Narrow" w:hAnsi="Arial Narrow" w:cs="Arial Narrow" w:eastAsia="Arial Narrow" w:hint="default"/>
                <w:sz w:val="21"/>
                <w:szCs w:val="21"/>
              </w:rPr>
            </w:pPr>
            <w:r>
              <w:rPr>
                <w:rFonts w:ascii="Arial Narrow"/>
                <w:spacing w:val="-1"/>
                <w:sz w:val="21"/>
              </w:rPr>
              <w:t>5,151,561.03</w:t>
            </w:r>
            <w:r>
              <w:rPr>
                <w:rFonts w:ascii="Arial Narrow"/>
                <w:sz w:val="21"/>
              </w:rPr>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3,560,441.88</w:t>
            </w:r>
            <w:r>
              <w:rPr>
                <w:rFonts w:ascii="Arial Narrow"/>
                <w:sz w:val="21"/>
              </w:rPr>
            </w:r>
          </w:p>
        </w:tc>
      </w:tr>
      <w:tr>
        <w:trPr>
          <w:trHeight w:val="623" w:hRule="exact"/>
        </w:trPr>
        <w:tc>
          <w:tcPr>
            <w:tcW w:w="3793" w:type="dxa"/>
            <w:tcBorders>
              <w:top w:val="nil" w:sz="6" w:space="0" w:color="auto"/>
              <w:left w:val="nil" w:sz="6" w:space="0" w:color="auto"/>
              <w:bottom w:val="nil" w:sz="6" w:space="0" w:color="auto"/>
              <w:right w:val="nil" w:sz="6" w:space="0" w:color="auto"/>
            </w:tcBorders>
          </w:tcPr>
          <w:p>
            <w:pPr>
              <w:pStyle w:val="TableParagraph"/>
              <w:spacing w:line="272" w:lineRule="exact" w:before="42"/>
              <w:ind w:left="107" w:right="568"/>
              <w:jc w:val="left"/>
              <w:rPr>
                <w:rFonts w:ascii="宋体" w:hAnsi="宋体" w:cs="宋体" w:eastAsia="宋体" w:hint="default"/>
                <w:sz w:val="21"/>
                <w:szCs w:val="21"/>
              </w:rPr>
            </w:pPr>
            <w:r>
              <w:rPr>
                <w:rFonts w:ascii="宋体" w:hAnsi="宋体" w:cs="宋体" w:eastAsia="宋体" w:hint="default"/>
                <w:spacing w:val="9"/>
                <w:sz w:val="21"/>
                <w:szCs w:val="21"/>
              </w:rPr>
              <w:t>报告期扣除非经常性损益后归属</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于公司普通股股东的净利润</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 w:right="0"/>
              <w:jc w:val="center"/>
              <w:rPr>
                <w:rFonts w:ascii="Arial Narrow" w:hAnsi="Arial Narrow" w:cs="Arial Narrow" w:eastAsia="Arial Narrow" w:hint="default"/>
                <w:sz w:val="21"/>
                <w:szCs w:val="21"/>
              </w:rPr>
            </w:pPr>
            <w:r>
              <w:rPr>
                <w:rFonts w:ascii="Arial Narrow"/>
                <w:sz w:val="21"/>
              </w:rPr>
              <w:t>P2=P1-F</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53"/>
              <w:jc w:val="right"/>
              <w:rPr>
                <w:rFonts w:ascii="Arial Narrow" w:hAnsi="Arial Narrow" w:cs="Arial Narrow" w:eastAsia="Arial Narrow" w:hint="default"/>
                <w:sz w:val="21"/>
                <w:szCs w:val="21"/>
              </w:rPr>
            </w:pPr>
            <w:r>
              <w:rPr>
                <w:rFonts w:ascii="Arial Narrow"/>
                <w:spacing w:val="-1"/>
                <w:sz w:val="21"/>
              </w:rPr>
              <w:t>219,788.56</w:t>
            </w:r>
            <w:r>
              <w:rPr>
                <w:rFonts w:ascii="Arial Narrow"/>
                <w:sz w:val="21"/>
              </w:rPr>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43,200,646.58</w:t>
            </w:r>
            <w:r>
              <w:rPr>
                <w:rFonts w:ascii="Arial Narrow"/>
                <w:sz w:val="21"/>
              </w:rPr>
            </w:r>
          </w:p>
        </w:tc>
      </w:tr>
      <w:tr>
        <w:trPr>
          <w:trHeight w:val="601" w:hRule="exact"/>
        </w:trPr>
        <w:tc>
          <w:tcPr>
            <w:tcW w:w="3793" w:type="dxa"/>
            <w:tcBorders>
              <w:top w:val="nil" w:sz="6" w:space="0" w:color="auto"/>
              <w:left w:val="nil" w:sz="6" w:space="0" w:color="auto"/>
              <w:bottom w:val="nil" w:sz="6" w:space="0" w:color="auto"/>
              <w:right w:val="nil" w:sz="6" w:space="0" w:color="auto"/>
            </w:tcBorders>
          </w:tcPr>
          <w:p>
            <w:pPr>
              <w:pStyle w:val="TableParagraph"/>
              <w:spacing w:line="272" w:lineRule="exact" w:before="26"/>
              <w:ind w:left="107" w:right="568"/>
              <w:jc w:val="left"/>
              <w:rPr>
                <w:rFonts w:ascii="宋体" w:hAnsi="宋体" w:cs="宋体" w:eastAsia="宋体" w:hint="default"/>
                <w:sz w:val="21"/>
                <w:szCs w:val="21"/>
              </w:rPr>
            </w:pPr>
            <w:r>
              <w:rPr>
                <w:rFonts w:ascii="宋体" w:hAnsi="宋体" w:cs="宋体" w:eastAsia="宋体" w:hint="default"/>
                <w:spacing w:val="9"/>
                <w:sz w:val="21"/>
                <w:szCs w:val="21"/>
              </w:rPr>
              <w:t>稀释事项对归属于公司普通股股</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东的净利润的影响</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
              <w:jc w:val="center"/>
              <w:rPr>
                <w:rFonts w:ascii="Arial Narrow" w:hAnsi="Arial Narrow" w:cs="Arial Narrow" w:eastAsia="Arial Narrow" w:hint="default"/>
                <w:sz w:val="21"/>
                <w:szCs w:val="21"/>
              </w:rPr>
            </w:pPr>
            <w:r>
              <w:rPr>
                <w:rFonts w:ascii="Arial Narrow"/>
                <w:sz w:val="21"/>
              </w:rPr>
              <w:t>P3</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54"/>
              <w:jc w:val="right"/>
              <w:rPr>
                <w:rFonts w:ascii="Arial Narrow" w:hAnsi="Arial Narrow" w:cs="Arial Narrow" w:eastAsia="Arial Narrow" w:hint="default"/>
                <w:sz w:val="21"/>
                <w:szCs w:val="21"/>
              </w:rPr>
            </w:pPr>
            <w:r>
              <w:rPr>
                <w:rFonts w:ascii="Arial Narrow"/>
                <w:w w:val="100"/>
                <w:sz w:val="21"/>
              </w:rPr>
              <w:t>-</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5"/>
              <w:jc w:val="right"/>
              <w:rPr>
                <w:rFonts w:ascii="Arial Narrow" w:hAnsi="Arial Narrow" w:cs="Arial Narrow" w:eastAsia="Arial Narrow" w:hint="default"/>
                <w:sz w:val="21"/>
                <w:szCs w:val="21"/>
              </w:rPr>
            </w:pPr>
            <w:r>
              <w:rPr>
                <w:rFonts w:ascii="Arial Narrow"/>
                <w:w w:val="100"/>
                <w:sz w:val="21"/>
              </w:rPr>
              <w:t>-</w:t>
            </w:r>
          </w:p>
        </w:tc>
      </w:tr>
      <w:tr>
        <w:trPr>
          <w:trHeight w:val="917" w:hRule="exact"/>
        </w:trPr>
        <w:tc>
          <w:tcPr>
            <w:tcW w:w="3793" w:type="dxa"/>
            <w:tcBorders>
              <w:top w:val="nil" w:sz="6" w:space="0" w:color="auto"/>
              <w:left w:val="nil" w:sz="6" w:space="0" w:color="auto"/>
              <w:bottom w:val="nil" w:sz="6" w:space="0" w:color="auto"/>
              <w:right w:val="nil" w:sz="6" w:space="0" w:color="auto"/>
            </w:tcBorders>
          </w:tcPr>
          <w:p>
            <w:pPr>
              <w:pStyle w:val="TableParagraph"/>
              <w:spacing w:line="237" w:lineRule="auto"/>
              <w:ind w:left="107" w:right="568"/>
              <w:jc w:val="both"/>
              <w:rPr>
                <w:rFonts w:ascii="宋体" w:hAnsi="宋体" w:cs="宋体" w:eastAsia="宋体" w:hint="default"/>
                <w:sz w:val="21"/>
                <w:szCs w:val="21"/>
              </w:rPr>
            </w:pPr>
            <w:r>
              <w:rPr>
                <w:rFonts w:ascii="宋体" w:hAnsi="宋体" w:cs="宋体" w:eastAsia="宋体" w:hint="default"/>
                <w:spacing w:val="9"/>
                <w:sz w:val="21"/>
                <w:szCs w:val="21"/>
              </w:rPr>
              <w:t>稀释事项对扣除非经常性损益后</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pacing w:val="9"/>
                <w:sz w:val="21"/>
                <w:szCs w:val="21"/>
              </w:rPr>
              <w:t>归属于公司普通股股东的净利润</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的影响</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P4</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154"/>
              <w:jc w:val="right"/>
              <w:rPr>
                <w:rFonts w:ascii="Arial Narrow" w:hAnsi="Arial Narrow" w:cs="Arial Narrow" w:eastAsia="Arial Narrow" w:hint="default"/>
                <w:sz w:val="21"/>
                <w:szCs w:val="21"/>
              </w:rPr>
            </w:pPr>
            <w:r>
              <w:rPr>
                <w:rFonts w:ascii="Arial Narrow"/>
                <w:w w:val="100"/>
                <w:sz w:val="21"/>
              </w:rPr>
              <w:t>-</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23"/>
                <w:szCs w:val="23"/>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w w:val="100"/>
                <w:sz w:val="21"/>
              </w:rPr>
              <w:t>-</w:t>
            </w:r>
          </w:p>
        </w:tc>
      </w:tr>
      <w:tr>
        <w:trPr>
          <w:trHeight w:val="429" w:hRule="exact"/>
        </w:trPr>
        <w:tc>
          <w:tcPr>
            <w:tcW w:w="3793"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07" w:right="0"/>
              <w:jc w:val="left"/>
              <w:rPr>
                <w:rFonts w:ascii="宋体" w:hAnsi="宋体" w:cs="宋体" w:eastAsia="宋体" w:hint="default"/>
                <w:sz w:val="21"/>
                <w:szCs w:val="21"/>
              </w:rPr>
            </w:pPr>
            <w:r>
              <w:rPr>
                <w:rFonts w:ascii="宋体" w:hAnsi="宋体" w:cs="宋体" w:eastAsia="宋体" w:hint="default"/>
                <w:sz w:val="21"/>
                <w:szCs w:val="21"/>
              </w:rPr>
              <w:t>期初股份总数</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
              <w:jc w:val="center"/>
              <w:rPr>
                <w:rFonts w:ascii="Arial Narrow" w:hAnsi="Arial Narrow" w:cs="Arial Narrow" w:eastAsia="Arial Narrow" w:hint="default"/>
                <w:sz w:val="21"/>
                <w:szCs w:val="21"/>
              </w:rPr>
            </w:pPr>
            <w:r>
              <w:rPr>
                <w:rFonts w:ascii="Arial Narrow"/>
                <w:sz w:val="21"/>
              </w:rPr>
              <w:t>S0</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53"/>
              <w:jc w:val="right"/>
              <w:rPr>
                <w:rFonts w:ascii="Arial Narrow" w:hAnsi="Arial Narrow" w:cs="Arial Narrow" w:eastAsia="Arial Narrow" w:hint="default"/>
                <w:sz w:val="21"/>
                <w:szCs w:val="21"/>
              </w:rPr>
            </w:pPr>
            <w:r>
              <w:rPr>
                <w:rFonts w:ascii="Arial Narrow"/>
                <w:spacing w:val="-1"/>
                <w:sz w:val="21"/>
              </w:rPr>
              <w:t>120,000,000.00</w:t>
            </w:r>
            <w:r>
              <w:rPr>
                <w:rFonts w:ascii="Arial Narrow"/>
                <w:sz w:val="21"/>
              </w:rPr>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4"/>
              <w:jc w:val="right"/>
              <w:rPr>
                <w:rFonts w:ascii="Arial Narrow" w:hAnsi="Arial Narrow" w:cs="Arial Narrow" w:eastAsia="Arial Narrow" w:hint="default"/>
                <w:sz w:val="21"/>
                <w:szCs w:val="21"/>
              </w:rPr>
            </w:pPr>
            <w:r>
              <w:rPr>
                <w:rFonts w:ascii="Arial Narrow"/>
                <w:spacing w:val="-1"/>
                <w:sz w:val="21"/>
              </w:rPr>
              <w:t>75,000,000.00</w:t>
            </w:r>
            <w:r>
              <w:rPr>
                <w:rFonts w:ascii="Arial Narrow"/>
                <w:sz w:val="21"/>
              </w:rPr>
            </w:r>
          </w:p>
        </w:tc>
      </w:tr>
      <w:tr>
        <w:trPr>
          <w:trHeight w:val="664" w:hRule="exact"/>
        </w:trPr>
        <w:tc>
          <w:tcPr>
            <w:tcW w:w="3793"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7" w:right="568"/>
              <w:jc w:val="left"/>
              <w:rPr>
                <w:rFonts w:ascii="宋体" w:hAnsi="宋体" w:cs="宋体" w:eastAsia="宋体" w:hint="default"/>
                <w:sz w:val="21"/>
                <w:szCs w:val="21"/>
              </w:rPr>
            </w:pPr>
            <w:r>
              <w:rPr>
                <w:rFonts w:ascii="宋体" w:hAnsi="宋体" w:cs="宋体" w:eastAsia="宋体" w:hint="default"/>
                <w:spacing w:val="9"/>
                <w:sz w:val="21"/>
                <w:szCs w:val="21"/>
              </w:rPr>
              <w:t>报告期因公积金转增股本或股票</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股利分配等增加股份数</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
              <w:jc w:val="center"/>
              <w:rPr>
                <w:rFonts w:ascii="Arial Narrow" w:hAnsi="Arial Narrow" w:cs="Arial Narrow" w:eastAsia="Arial Narrow" w:hint="default"/>
                <w:sz w:val="21"/>
                <w:szCs w:val="21"/>
              </w:rPr>
            </w:pPr>
            <w:r>
              <w:rPr>
                <w:rFonts w:ascii="Arial Narrow"/>
                <w:sz w:val="21"/>
              </w:rPr>
              <w:t>S1</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54"/>
              <w:jc w:val="right"/>
              <w:rPr>
                <w:rFonts w:ascii="Arial Narrow" w:hAnsi="Arial Narrow" w:cs="Arial Narrow" w:eastAsia="Arial Narrow" w:hint="default"/>
                <w:sz w:val="21"/>
                <w:szCs w:val="21"/>
              </w:rPr>
            </w:pPr>
            <w:r>
              <w:rPr>
                <w:rFonts w:ascii="Arial Narrow"/>
                <w:w w:val="100"/>
                <w:sz w:val="21"/>
              </w:rPr>
              <w:t>-</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40" w:lineRule="auto"/>
              <w:ind w:right="104"/>
              <w:jc w:val="right"/>
              <w:rPr>
                <w:rFonts w:ascii="Arial Narrow" w:hAnsi="Arial Narrow" w:cs="Arial Narrow" w:eastAsia="Arial Narrow" w:hint="default"/>
                <w:sz w:val="21"/>
                <w:szCs w:val="21"/>
              </w:rPr>
            </w:pPr>
            <w:r>
              <w:rPr>
                <w:rFonts w:ascii="Arial Narrow"/>
                <w:spacing w:val="-1"/>
                <w:sz w:val="21"/>
              </w:rPr>
              <w:t>45,000,000.00</w:t>
            </w:r>
            <w:r>
              <w:rPr>
                <w:rFonts w:ascii="Arial Narrow"/>
                <w:sz w:val="21"/>
              </w:rPr>
            </w:r>
          </w:p>
        </w:tc>
      </w:tr>
      <w:tr>
        <w:trPr>
          <w:trHeight w:val="631" w:hRule="exact"/>
        </w:trPr>
        <w:tc>
          <w:tcPr>
            <w:tcW w:w="3793" w:type="dxa"/>
            <w:tcBorders>
              <w:top w:val="nil" w:sz="6" w:space="0" w:color="auto"/>
              <w:left w:val="nil" w:sz="6" w:space="0" w:color="auto"/>
              <w:bottom w:val="nil" w:sz="6" w:space="0" w:color="auto"/>
              <w:right w:val="nil" w:sz="6" w:space="0" w:color="auto"/>
            </w:tcBorders>
          </w:tcPr>
          <w:p>
            <w:pPr>
              <w:pStyle w:val="TableParagraph"/>
              <w:spacing w:line="240" w:lineRule="auto" w:before="9"/>
              <w:ind w:left="107" w:right="568"/>
              <w:jc w:val="left"/>
              <w:rPr>
                <w:rFonts w:ascii="宋体" w:hAnsi="宋体" w:cs="宋体" w:eastAsia="宋体" w:hint="default"/>
                <w:sz w:val="21"/>
                <w:szCs w:val="21"/>
              </w:rPr>
            </w:pPr>
            <w:r>
              <w:rPr>
                <w:rFonts w:ascii="宋体" w:hAnsi="宋体" w:cs="宋体" w:eastAsia="宋体" w:hint="default"/>
                <w:spacing w:val="9"/>
                <w:sz w:val="21"/>
                <w:szCs w:val="21"/>
              </w:rPr>
              <w:t>报告期因发行新股或债转股等增</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加股份数</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
              <w:jc w:val="center"/>
              <w:rPr>
                <w:rFonts w:ascii="Arial Narrow" w:hAnsi="Arial Narrow" w:cs="Arial Narrow" w:eastAsia="Arial Narrow" w:hint="default"/>
                <w:sz w:val="21"/>
                <w:szCs w:val="21"/>
              </w:rPr>
            </w:pPr>
            <w:r>
              <w:rPr>
                <w:rFonts w:ascii="Arial Narrow"/>
                <w:sz w:val="21"/>
              </w:rPr>
              <w:t>Si</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54"/>
              <w:jc w:val="right"/>
              <w:rPr>
                <w:rFonts w:ascii="Arial Narrow" w:hAnsi="Arial Narrow" w:cs="Arial Narrow" w:eastAsia="Arial Narrow" w:hint="default"/>
                <w:sz w:val="21"/>
                <w:szCs w:val="21"/>
              </w:rPr>
            </w:pPr>
            <w:r>
              <w:rPr>
                <w:rFonts w:ascii="Arial Narrow"/>
                <w:w w:val="100"/>
                <w:sz w:val="21"/>
              </w:rPr>
              <w:t>-</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w w:val="100"/>
                <w:sz w:val="21"/>
              </w:rPr>
              <w:t>-</w:t>
            </w:r>
          </w:p>
        </w:tc>
      </w:tr>
      <w:tr>
        <w:trPr>
          <w:trHeight w:val="666" w:hRule="exact"/>
        </w:trPr>
        <w:tc>
          <w:tcPr>
            <w:tcW w:w="3793" w:type="dxa"/>
            <w:tcBorders>
              <w:top w:val="nil" w:sz="6" w:space="0" w:color="auto"/>
              <w:left w:val="nil" w:sz="6" w:space="0" w:color="auto"/>
              <w:bottom w:val="nil" w:sz="6" w:space="0" w:color="auto"/>
              <w:right w:val="nil" w:sz="6" w:space="0" w:color="auto"/>
            </w:tcBorders>
          </w:tcPr>
          <w:p>
            <w:pPr>
              <w:pStyle w:val="TableParagraph"/>
              <w:spacing w:line="272" w:lineRule="exact" w:before="37"/>
              <w:ind w:left="107" w:right="568"/>
              <w:jc w:val="left"/>
              <w:rPr>
                <w:rFonts w:ascii="宋体" w:hAnsi="宋体" w:cs="宋体" w:eastAsia="宋体" w:hint="default"/>
                <w:sz w:val="21"/>
                <w:szCs w:val="21"/>
              </w:rPr>
            </w:pPr>
            <w:r>
              <w:rPr>
                <w:rFonts w:ascii="宋体" w:hAnsi="宋体" w:cs="宋体" w:eastAsia="宋体" w:hint="default"/>
                <w:spacing w:val="9"/>
                <w:sz w:val="21"/>
                <w:szCs w:val="21"/>
              </w:rPr>
              <w:t>增加股份下一月份起至报告期期</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末的月份数</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2"/>
              <w:jc w:val="center"/>
              <w:rPr>
                <w:rFonts w:ascii="Arial Narrow" w:hAnsi="Arial Narrow" w:cs="Arial Narrow" w:eastAsia="Arial Narrow" w:hint="default"/>
                <w:sz w:val="21"/>
                <w:szCs w:val="21"/>
              </w:rPr>
            </w:pPr>
            <w:r>
              <w:rPr>
                <w:rFonts w:ascii="Arial Narrow"/>
                <w:sz w:val="21"/>
              </w:rPr>
              <w:t>Mi</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54"/>
              <w:jc w:val="right"/>
              <w:rPr>
                <w:rFonts w:ascii="Arial Narrow" w:hAnsi="Arial Narrow" w:cs="Arial Narrow" w:eastAsia="Arial Narrow" w:hint="default"/>
                <w:sz w:val="21"/>
                <w:szCs w:val="21"/>
              </w:rPr>
            </w:pPr>
            <w:r>
              <w:rPr>
                <w:rFonts w:ascii="Arial Narrow"/>
                <w:w w:val="100"/>
                <w:sz w:val="21"/>
              </w:rPr>
              <w:t>-</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w w:val="100"/>
                <w:sz w:val="21"/>
              </w:rPr>
              <w:t>-</w:t>
            </w:r>
          </w:p>
        </w:tc>
      </w:tr>
      <w:tr>
        <w:trPr>
          <w:trHeight w:val="433" w:hRule="exact"/>
        </w:trPr>
        <w:tc>
          <w:tcPr>
            <w:tcW w:w="379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07" w:right="0"/>
              <w:jc w:val="left"/>
              <w:rPr>
                <w:rFonts w:ascii="宋体" w:hAnsi="宋体" w:cs="宋体" w:eastAsia="宋体" w:hint="default"/>
                <w:sz w:val="21"/>
                <w:szCs w:val="21"/>
              </w:rPr>
            </w:pPr>
            <w:r>
              <w:rPr>
                <w:rFonts w:ascii="宋体" w:hAnsi="宋体" w:cs="宋体" w:eastAsia="宋体" w:hint="default"/>
                <w:sz w:val="21"/>
                <w:szCs w:val="21"/>
              </w:rPr>
              <w:t>报告期因回购等减少股份数</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
              <w:jc w:val="center"/>
              <w:rPr>
                <w:rFonts w:ascii="Arial Narrow" w:hAnsi="Arial Narrow" w:cs="Arial Narrow" w:eastAsia="Arial Narrow" w:hint="default"/>
                <w:sz w:val="21"/>
                <w:szCs w:val="21"/>
              </w:rPr>
            </w:pPr>
            <w:r>
              <w:rPr>
                <w:rFonts w:ascii="Arial Narrow"/>
                <w:sz w:val="21"/>
              </w:rPr>
              <w:t>Sj</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54"/>
              <w:jc w:val="right"/>
              <w:rPr>
                <w:rFonts w:ascii="Arial Narrow" w:hAnsi="Arial Narrow" w:cs="Arial Narrow" w:eastAsia="Arial Narrow" w:hint="default"/>
                <w:sz w:val="21"/>
                <w:szCs w:val="21"/>
              </w:rPr>
            </w:pPr>
            <w:r>
              <w:rPr>
                <w:rFonts w:ascii="Arial Narrow"/>
                <w:w w:val="100"/>
                <w:sz w:val="21"/>
              </w:rPr>
              <w:t>-</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05"/>
              <w:jc w:val="right"/>
              <w:rPr>
                <w:rFonts w:ascii="Arial Narrow" w:hAnsi="Arial Narrow" w:cs="Arial Narrow" w:eastAsia="Arial Narrow" w:hint="default"/>
                <w:sz w:val="21"/>
                <w:szCs w:val="21"/>
              </w:rPr>
            </w:pPr>
            <w:r>
              <w:rPr>
                <w:rFonts w:ascii="Arial Narrow"/>
                <w:w w:val="100"/>
                <w:sz w:val="21"/>
              </w:rPr>
              <w:t>-</w:t>
            </w:r>
          </w:p>
        </w:tc>
      </w:tr>
      <w:tr>
        <w:trPr>
          <w:trHeight w:val="639" w:hRule="exact"/>
        </w:trPr>
        <w:tc>
          <w:tcPr>
            <w:tcW w:w="3793"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07" w:right="568"/>
              <w:jc w:val="left"/>
              <w:rPr>
                <w:rFonts w:ascii="宋体" w:hAnsi="宋体" w:cs="宋体" w:eastAsia="宋体" w:hint="default"/>
                <w:sz w:val="21"/>
                <w:szCs w:val="21"/>
              </w:rPr>
            </w:pPr>
            <w:r>
              <w:rPr>
                <w:rFonts w:ascii="宋体" w:hAnsi="宋体" w:cs="宋体" w:eastAsia="宋体" w:hint="default"/>
                <w:spacing w:val="9"/>
                <w:sz w:val="21"/>
                <w:szCs w:val="21"/>
              </w:rPr>
              <w:t>减少股份下一月份起至报告期期</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末的月份数</w:t>
            </w: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2"/>
              <w:jc w:val="center"/>
              <w:rPr>
                <w:rFonts w:ascii="Arial Narrow" w:hAnsi="Arial Narrow" w:cs="Arial Narrow" w:eastAsia="Arial Narrow" w:hint="default"/>
                <w:sz w:val="21"/>
                <w:szCs w:val="21"/>
              </w:rPr>
            </w:pPr>
            <w:r>
              <w:rPr>
                <w:rFonts w:ascii="Arial Narrow"/>
                <w:sz w:val="21"/>
              </w:rPr>
              <w:t>Mj</w:t>
            </w:r>
          </w:p>
        </w:tc>
        <w:tc>
          <w:tcPr>
            <w:tcW w:w="192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54"/>
              <w:jc w:val="right"/>
              <w:rPr>
                <w:rFonts w:ascii="Arial Narrow" w:hAnsi="Arial Narrow" w:cs="Arial Narrow" w:eastAsia="Arial Narrow" w:hint="default"/>
                <w:sz w:val="21"/>
                <w:szCs w:val="21"/>
              </w:rPr>
            </w:pPr>
            <w:r>
              <w:rPr>
                <w:rFonts w:ascii="Arial Narrow"/>
                <w:w w:val="100"/>
                <w:sz w:val="21"/>
              </w:rPr>
              <w:t>-</w:t>
            </w:r>
          </w:p>
        </w:tc>
        <w:tc>
          <w:tcPr>
            <w:tcW w:w="1365" w:type="dxa"/>
            <w:tcBorders>
              <w:top w:val="nil" w:sz="6" w:space="0" w:color="auto"/>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w w:val="100"/>
                <w:sz w:val="21"/>
              </w:rPr>
              <w:t>-</w:t>
            </w:r>
          </w:p>
        </w:tc>
      </w:tr>
    </w:tbl>
    <w:p>
      <w:pPr>
        <w:spacing w:after="0" w:line="240" w:lineRule="auto"/>
        <w:jc w:val="right"/>
        <w:rPr>
          <w:rFonts w:ascii="Arial Narrow" w:hAnsi="Arial Narrow" w:cs="Arial Narrow" w:eastAsia="Arial Narrow" w:hint="default"/>
          <w:sz w:val="21"/>
          <w:szCs w:val="21"/>
        </w:rPr>
        <w:sectPr>
          <w:pgSz w:w="11910" w:h="16840"/>
          <w:pgMar w:header="884" w:footer="1007" w:top="1160" w:bottom="1200" w:left="1240" w:right="1200"/>
        </w:sectPr>
      </w:pPr>
    </w:p>
    <w:p>
      <w:pPr>
        <w:spacing w:line="240" w:lineRule="auto" w:before="13"/>
        <w:rPr>
          <w:rFonts w:ascii="宋体" w:hAnsi="宋体" w:cs="宋体" w:eastAsia="宋体" w:hint="default"/>
          <w:b/>
          <w:bCs/>
          <w:sz w:val="19"/>
          <w:szCs w:val="19"/>
        </w:rPr>
      </w:pPr>
    </w:p>
    <w:tbl>
      <w:tblPr>
        <w:tblW w:w="0" w:type="auto"/>
        <w:jc w:val="left"/>
        <w:tblInd w:w="435" w:type="dxa"/>
        <w:tblLayout w:type="fixed"/>
        <w:tblCellMar>
          <w:top w:w="0" w:type="dxa"/>
          <w:left w:w="0" w:type="dxa"/>
          <w:bottom w:w="0" w:type="dxa"/>
          <w:right w:w="0" w:type="dxa"/>
        </w:tblCellMar>
        <w:tblLook w:val="01E0"/>
      </w:tblPr>
      <w:tblGrid>
        <w:gridCol w:w="3347"/>
        <w:gridCol w:w="2746"/>
        <w:gridCol w:w="1416"/>
        <w:gridCol w:w="1413"/>
      </w:tblGrid>
      <w:tr>
        <w:trPr>
          <w:trHeight w:val="575" w:hRule="exact"/>
        </w:trPr>
        <w:tc>
          <w:tcPr>
            <w:tcW w:w="3347" w:type="dxa"/>
            <w:tcBorders>
              <w:top w:val="single" w:sz="4" w:space="0" w:color="000000"/>
              <w:left w:val="nil" w:sz="6" w:space="0" w:color="auto"/>
              <w:bottom w:val="nil" w:sz="6" w:space="0" w:color="auto"/>
              <w:right w:val="nil" w:sz="6" w:space="0" w:color="auto"/>
            </w:tcBorders>
          </w:tcPr>
          <w:p>
            <w:pPr>
              <w:pStyle w:val="TableParagraph"/>
              <w:spacing w:line="240" w:lineRule="auto" w:before="115"/>
              <w:ind w:left="122" w:right="0"/>
              <w:jc w:val="left"/>
              <w:rPr>
                <w:rFonts w:ascii="宋体" w:hAnsi="宋体" w:cs="宋体" w:eastAsia="宋体" w:hint="default"/>
                <w:sz w:val="21"/>
                <w:szCs w:val="21"/>
              </w:rPr>
            </w:pPr>
            <w:r>
              <w:rPr>
                <w:rFonts w:ascii="宋体" w:hAnsi="宋体" w:cs="宋体" w:eastAsia="宋体" w:hint="default"/>
                <w:sz w:val="21"/>
                <w:szCs w:val="21"/>
              </w:rPr>
              <w:t>报告期缩股数</w:t>
            </w:r>
          </w:p>
        </w:tc>
        <w:tc>
          <w:tcPr>
            <w:tcW w:w="274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0"/>
              <w:jc w:val="center"/>
              <w:rPr>
                <w:rFonts w:ascii="Arial Narrow" w:hAnsi="Arial Narrow" w:cs="Arial Narrow" w:eastAsia="Arial Narrow" w:hint="default"/>
                <w:sz w:val="21"/>
                <w:szCs w:val="21"/>
              </w:rPr>
            </w:pPr>
            <w:r>
              <w:rPr>
                <w:rFonts w:ascii="Arial Narrow"/>
                <w:sz w:val="21"/>
              </w:rPr>
              <w:t>Sk</w:t>
            </w: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06"/>
              <w:jc w:val="right"/>
              <w:rPr>
                <w:rFonts w:ascii="Arial Narrow" w:hAnsi="Arial Narrow" w:cs="Arial Narrow" w:eastAsia="Arial Narrow" w:hint="default"/>
                <w:sz w:val="21"/>
                <w:szCs w:val="21"/>
              </w:rPr>
            </w:pPr>
            <w:r>
              <w:rPr>
                <w:rFonts w:ascii="Arial Narrow"/>
                <w:w w:val="100"/>
                <w:sz w:val="21"/>
              </w:rPr>
              <w:t>-</w:t>
            </w:r>
          </w:p>
        </w:tc>
        <w:tc>
          <w:tcPr>
            <w:tcW w:w="1413" w:type="dxa"/>
            <w:tcBorders>
              <w:top w:val="single" w:sz="4" w:space="0" w:color="000000"/>
              <w:left w:val="nil" w:sz="6" w:space="0" w:color="auto"/>
              <w:bottom w:val="nil" w:sz="6" w:space="0" w:color="auto"/>
              <w:right w:val="nil" w:sz="6" w:space="0" w:color="auto"/>
            </w:tcBorders>
          </w:tcPr>
          <w:p>
            <w:pPr>
              <w:pStyle w:val="TableParagraph"/>
              <w:spacing w:line="240" w:lineRule="auto" w:before="159"/>
              <w:ind w:right="105"/>
              <w:jc w:val="right"/>
              <w:rPr>
                <w:rFonts w:ascii="Arial Narrow" w:hAnsi="Arial Narrow" w:cs="Arial Narrow" w:eastAsia="Arial Narrow" w:hint="default"/>
                <w:sz w:val="21"/>
                <w:szCs w:val="21"/>
              </w:rPr>
            </w:pPr>
            <w:r>
              <w:rPr>
                <w:rFonts w:ascii="Arial Narrow"/>
                <w:w w:val="100"/>
                <w:sz w:val="21"/>
              </w:rPr>
              <w:t>-</w:t>
            </w:r>
          </w:p>
        </w:tc>
      </w:tr>
      <w:tr>
        <w:trPr>
          <w:trHeight w:val="566" w:hRule="exact"/>
        </w:trPr>
        <w:tc>
          <w:tcPr>
            <w:tcW w:w="334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22" w:right="0"/>
              <w:jc w:val="left"/>
              <w:rPr>
                <w:rFonts w:ascii="宋体" w:hAnsi="宋体" w:cs="宋体" w:eastAsia="宋体" w:hint="default"/>
                <w:sz w:val="21"/>
                <w:szCs w:val="21"/>
              </w:rPr>
            </w:pPr>
            <w:r>
              <w:rPr>
                <w:rFonts w:ascii="宋体" w:hAnsi="宋体" w:cs="宋体" w:eastAsia="宋体" w:hint="default"/>
                <w:sz w:val="21"/>
                <w:szCs w:val="21"/>
              </w:rPr>
              <w:t>报告期月份数</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0"/>
              <w:jc w:val="center"/>
              <w:rPr>
                <w:rFonts w:ascii="Arial Narrow" w:hAnsi="Arial Narrow" w:cs="Arial Narrow" w:eastAsia="Arial Narrow" w:hint="default"/>
                <w:sz w:val="21"/>
                <w:szCs w:val="21"/>
              </w:rPr>
            </w:pPr>
            <w:r>
              <w:rPr>
                <w:rFonts w:ascii="Arial Narrow"/>
                <w:sz w:val="21"/>
              </w:rPr>
              <w:t>M0</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06"/>
              <w:jc w:val="right"/>
              <w:rPr>
                <w:rFonts w:ascii="Arial Narrow" w:hAnsi="Arial Narrow" w:cs="Arial Narrow" w:eastAsia="Arial Narrow" w:hint="default"/>
                <w:sz w:val="21"/>
                <w:szCs w:val="21"/>
              </w:rPr>
            </w:pPr>
            <w:r>
              <w:rPr>
                <w:rFonts w:ascii="Arial Narrow"/>
                <w:spacing w:val="-1"/>
                <w:sz w:val="21"/>
              </w:rPr>
              <w:t>12</w:t>
            </w:r>
            <w:r>
              <w:rPr>
                <w:rFonts w:ascii="Arial Narrow"/>
                <w:sz w:val="21"/>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06"/>
              <w:jc w:val="right"/>
              <w:rPr>
                <w:rFonts w:ascii="Arial Narrow" w:hAnsi="Arial Narrow" w:cs="Arial Narrow" w:eastAsia="Arial Narrow" w:hint="default"/>
                <w:sz w:val="21"/>
                <w:szCs w:val="21"/>
              </w:rPr>
            </w:pPr>
            <w:r>
              <w:rPr>
                <w:rFonts w:ascii="Arial Narrow"/>
                <w:spacing w:val="-1"/>
                <w:sz w:val="21"/>
              </w:rPr>
              <w:t>12</w:t>
            </w:r>
            <w:r>
              <w:rPr>
                <w:rFonts w:ascii="Arial Narrow"/>
                <w:sz w:val="21"/>
              </w:rPr>
            </w:r>
          </w:p>
        </w:tc>
      </w:tr>
      <w:tr>
        <w:trPr>
          <w:trHeight w:val="494" w:hRule="exact"/>
        </w:trPr>
        <w:tc>
          <w:tcPr>
            <w:tcW w:w="3347"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22" w:right="0"/>
              <w:jc w:val="left"/>
              <w:rPr>
                <w:rFonts w:ascii="宋体" w:hAnsi="宋体" w:cs="宋体" w:eastAsia="宋体" w:hint="default"/>
                <w:sz w:val="21"/>
                <w:szCs w:val="21"/>
              </w:rPr>
            </w:pPr>
            <w:r>
              <w:rPr>
                <w:rFonts w:ascii="宋体" w:hAnsi="宋体" w:cs="宋体" w:eastAsia="宋体" w:hint="default"/>
                <w:sz w:val="21"/>
                <w:szCs w:val="21"/>
              </w:rPr>
              <w:t>发行在外的普通股加权平均数</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0"/>
              <w:jc w:val="center"/>
              <w:rPr>
                <w:rFonts w:ascii="Arial Narrow" w:hAnsi="Arial Narrow" w:cs="Arial Narrow" w:eastAsia="Arial Narrow" w:hint="default"/>
                <w:sz w:val="21"/>
                <w:szCs w:val="21"/>
              </w:rPr>
            </w:pPr>
            <w:r>
              <w:rPr>
                <w:rFonts w:ascii="Arial Narrow"/>
                <w:sz w:val="21"/>
              </w:rPr>
              <w:t>S=S0+S1+Si*Mi/M0-Sj*Mj/M0-Sk</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05"/>
              <w:jc w:val="right"/>
              <w:rPr>
                <w:rFonts w:ascii="Arial Narrow" w:hAnsi="Arial Narrow" w:cs="Arial Narrow" w:eastAsia="Arial Narrow" w:hint="default"/>
                <w:sz w:val="21"/>
                <w:szCs w:val="21"/>
              </w:rPr>
            </w:pPr>
            <w:r>
              <w:rPr>
                <w:rFonts w:ascii="Arial Narrow"/>
                <w:spacing w:val="-1"/>
                <w:sz w:val="21"/>
              </w:rPr>
              <w:t>120,000,000.00</w:t>
            </w:r>
            <w:r>
              <w:rPr>
                <w:rFonts w:ascii="Arial Narrow"/>
                <w:sz w:val="21"/>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04"/>
              <w:jc w:val="right"/>
              <w:rPr>
                <w:rFonts w:ascii="Arial Narrow" w:hAnsi="Arial Narrow" w:cs="Arial Narrow" w:eastAsia="Arial Narrow" w:hint="default"/>
                <w:sz w:val="21"/>
                <w:szCs w:val="21"/>
              </w:rPr>
            </w:pPr>
            <w:r>
              <w:rPr>
                <w:rFonts w:ascii="Arial Narrow"/>
                <w:spacing w:val="-1"/>
                <w:sz w:val="21"/>
              </w:rPr>
              <w:t>120,000,000.00</w:t>
            </w:r>
            <w:r>
              <w:rPr>
                <w:rFonts w:ascii="Arial Narrow"/>
                <w:sz w:val="21"/>
              </w:rPr>
            </w:r>
          </w:p>
        </w:tc>
      </w:tr>
      <w:tr>
        <w:trPr>
          <w:trHeight w:val="887" w:hRule="exact"/>
        </w:trPr>
        <w:tc>
          <w:tcPr>
            <w:tcW w:w="3347" w:type="dxa"/>
            <w:tcBorders>
              <w:top w:val="nil" w:sz="6" w:space="0" w:color="auto"/>
              <w:left w:val="nil" w:sz="6" w:space="0" w:color="auto"/>
              <w:bottom w:val="nil" w:sz="6" w:space="0" w:color="auto"/>
              <w:right w:val="nil" w:sz="6" w:space="0" w:color="auto"/>
            </w:tcBorders>
          </w:tcPr>
          <w:p>
            <w:pPr>
              <w:pStyle w:val="TableParagraph"/>
              <w:spacing w:line="237" w:lineRule="auto" w:before="39"/>
              <w:ind w:left="122" w:right="104"/>
              <w:jc w:val="both"/>
              <w:rPr>
                <w:rFonts w:ascii="宋体" w:hAnsi="宋体" w:cs="宋体" w:eastAsia="宋体" w:hint="default"/>
                <w:sz w:val="21"/>
                <w:szCs w:val="21"/>
              </w:rPr>
            </w:pPr>
            <w:r>
              <w:rPr>
                <w:rFonts w:ascii="宋体" w:hAnsi="宋体" w:cs="宋体" w:eastAsia="宋体" w:hint="default"/>
                <w:spacing w:val="-4"/>
                <w:sz w:val="21"/>
                <w:szCs w:val="21"/>
              </w:rPr>
              <w:t>加：假定稀释性潜在普通股转换为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9"/>
                <w:sz w:val="21"/>
                <w:szCs w:val="21"/>
              </w:rPr>
              <w:t>已发行普通股而增加的普通股加</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权平均数</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X1</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w w:val="100"/>
                <w:sz w:val="21"/>
              </w:rPr>
              <w:t>-</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7"/>
                <w:szCs w:val="27"/>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159,079.46</w:t>
            </w:r>
            <w:r>
              <w:rPr>
                <w:rFonts w:ascii="Arial Narrow"/>
                <w:sz w:val="21"/>
              </w:rPr>
            </w:r>
          </w:p>
        </w:tc>
      </w:tr>
      <w:tr>
        <w:trPr>
          <w:trHeight w:val="588" w:hRule="exact"/>
        </w:trPr>
        <w:tc>
          <w:tcPr>
            <w:tcW w:w="3347" w:type="dxa"/>
            <w:tcBorders>
              <w:top w:val="nil" w:sz="6" w:space="0" w:color="auto"/>
              <w:left w:val="nil" w:sz="6" w:space="0" w:color="auto"/>
              <w:bottom w:val="nil" w:sz="6" w:space="0" w:color="auto"/>
              <w:right w:val="nil" w:sz="6" w:space="0" w:color="auto"/>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计算稀释每股收益的普通股加权</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sz w:val="21"/>
                <w:szCs w:val="21"/>
              </w:rPr>
              <w:t>平均数</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2" w:right="0"/>
              <w:jc w:val="center"/>
              <w:rPr>
                <w:rFonts w:ascii="Arial Narrow" w:hAnsi="Arial Narrow" w:cs="Arial Narrow" w:eastAsia="Arial Narrow" w:hint="default"/>
                <w:sz w:val="21"/>
                <w:szCs w:val="21"/>
              </w:rPr>
            </w:pPr>
            <w:r>
              <w:rPr>
                <w:rFonts w:ascii="Arial Narrow"/>
                <w:sz w:val="21"/>
              </w:rPr>
              <w:t>X2=S+X1</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5"/>
              <w:jc w:val="right"/>
              <w:rPr>
                <w:rFonts w:ascii="Arial Narrow" w:hAnsi="Arial Narrow" w:cs="Arial Narrow" w:eastAsia="Arial Narrow" w:hint="default"/>
                <w:sz w:val="21"/>
                <w:szCs w:val="21"/>
              </w:rPr>
            </w:pPr>
            <w:r>
              <w:rPr>
                <w:rFonts w:ascii="Arial Narrow"/>
                <w:spacing w:val="-1"/>
                <w:sz w:val="21"/>
              </w:rPr>
              <w:t>120,000,000.00</w:t>
            </w:r>
            <w:r>
              <w:rPr>
                <w:rFonts w:ascii="Arial Narrow"/>
                <w:sz w:val="21"/>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4"/>
              <w:jc w:val="right"/>
              <w:rPr>
                <w:rFonts w:ascii="Arial Narrow" w:hAnsi="Arial Narrow" w:cs="Arial Narrow" w:eastAsia="Arial Narrow" w:hint="default"/>
                <w:sz w:val="21"/>
                <w:szCs w:val="21"/>
              </w:rPr>
            </w:pPr>
            <w:r>
              <w:rPr>
                <w:rFonts w:ascii="Arial Narrow"/>
                <w:spacing w:val="-1"/>
                <w:sz w:val="21"/>
              </w:rPr>
              <w:t>120,159,079.46</w:t>
            </w:r>
            <w:r>
              <w:rPr>
                <w:rFonts w:ascii="Arial Narrow"/>
                <w:sz w:val="21"/>
              </w:rPr>
            </w:r>
          </w:p>
        </w:tc>
      </w:tr>
      <w:tr>
        <w:trPr>
          <w:trHeight w:val="665" w:hRule="exact"/>
        </w:trPr>
        <w:tc>
          <w:tcPr>
            <w:tcW w:w="3347" w:type="dxa"/>
            <w:tcBorders>
              <w:top w:val="nil" w:sz="6" w:space="0" w:color="auto"/>
              <w:left w:val="nil" w:sz="6" w:space="0" w:color="auto"/>
              <w:bottom w:val="nil" w:sz="6" w:space="0" w:color="auto"/>
              <w:right w:val="nil" w:sz="6" w:space="0" w:color="auto"/>
            </w:tcBorders>
          </w:tcPr>
          <w:p>
            <w:pPr>
              <w:pStyle w:val="TableParagraph"/>
              <w:spacing w:line="272" w:lineRule="exact" w:before="37"/>
              <w:ind w:left="122" w:right="106"/>
              <w:jc w:val="left"/>
              <w:rPr>
                <w:rFonts w:ascii="宋体" w:hAnsi="宋体" w:cs="宋体" w:eastAsia="宋体" w:hint="default"/>
                <w:sz w:val="21"/>
                <w:szCs w:val="21"/>
              </w:rPr>
            </w:pPr>
            <w:r>
              <w:rPr>
                <w:rFonts w:ascii="宋体" w:hAnsi="宋体" w:cs="宋体" w:eastAsia="宋体" w:hint="default"/>
                <w:spacing w:val="-4"/>
                <w:sz w:val="21"/>
                <w:szCs w:val="21"/>
              </w:rPr>
              <w:t>其中：可转换公司债转换而增加的</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普通股加权数</w:t>
            </w:r>
          </w:p>
        </w:tc>
        <w:tc>
          <w:tcPr>
            <w:tcW w:w="274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w w:val="100"/>
                <w:sz w:val="21"/>
              </w:rPr>
              <w:t>-</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w w:val="100"/>
                <w:sz w:val="21"/>
              </w:rPr>
              <w:t>-</w:t>
            </w:r>
          </w:p>
        </w:tc>
      </w:tr>
      <w:tr>
        <w:trPr>
          <w:trHeight w:val="658" w:hRule="exact"/>
        </w:trPr>
        <w:tc>
          <w:tcPr>
            <w:tcW w:w="3347" w:type="dxa"/>
            <w:tcBorders>
              <w:top w:val="nil" w:sz="6" w:space="0" w:color="auto"/>
              <w:left w:val="nil" w:sz="6" w:space="0" w:color="auto"/>
              <w:bottom w:val="nil" w:sz="6" w:space="0" w:color="auto"/>
              <w:right w:val="nil" w:sz="6" w:space="0" w:color="auto"/>
            </w:tcBorders>
          </w:tcPr>
          <w:p>
            <w:pPr>
              <w:pStyle w:val="TableParagraph"/>
              <w:spacing w:line="272" w:lineRule="exact" w:before="73"/>
              <w:ind w:left="122" w:right="106"/>
              <w:jc w:val="left"/>
              <w:rPr>
                <w:rFonts w:ascii="宋体" w:hAnsi="宋体" w:cs="宋体" w:eastAsia="宋体" w:hint="default"/>
                <w:sz w:val="21"/>
                <w:szCs w:val="21"/>
              </w:rPr>
            </w:pPr>
            <w:r>
              <w:rPr>
                <w:rFonts w:ascii="宋体" w:hAnsi="宋体" w:cs="宋体" w:eastAsia="宋体" w:hint="default"/>
                <w:spacing w:val="5"/>
                <w:sz w:val="21"/>
                <w:szCs w:val="21"/>
              </w:rPr>
              <w:t>认股权证</w:t>
            </w:r>
            <w:r>
              <w:rPr>
                <w:rFonts w:ascii="Arial Narrow" w:hAnsi="Arial Narrow" w:cs="Arial Narrow" w:eastAsia="Arial Narrow" w:hint="default"/>
                <w:spacing w:val="5"/>
                <w:sz w:val="21"/>
                <w:szCs w:val="21"/>
              </w:rPr>
              <w:t>/</w:t>
            </w:r>
            <w:r>
              <w:rPr>
                <w:rFonts w:ascii="宋体" w:hAnsi="宋体" w:cs="宋体" w:eastAsia="宋体" w:hint="default"/>
                <w:spacing w:val="5"/>
                <w:sz w:val="21"/>
                <w:szCs w:val="21"/>
              </w:rPr>
              <w:t>股份期权行权而增加的</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普通股加权数</w:t>
            </w:r>
          </w:p>
        </w:tc>
        <w:tc>
          <w:tcPr>
            <w:tcW w:w="274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w w:val="100"/>
                <w:sz w:val="21"/>
              </w:rPr>
              <w:t>-</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159,079.46</w:t>
            </w:r>
            <w:r>
              <w:rPr>
                <w:rFonts w:ascii="Arial Narrow"/>
                <w:sz w:val="21"/>
              </w:rPr>
            </w:r>
          </w:p>
        </w:tc>
      </w:tr>
      <w:tr>
        <w:trPr>
          <w:trHeight w:val="583" w:hRule="exact"/>
        </w:trPr>
        <w:tc>
          <w:tcPr>
            <w:tcW w:w="3347"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2" w:right="107"/>
              <w:jc w:val="left"/>
              <w:rPr>
                <w:rFonts w:ascii="宋体" w:hAnsi="宋体" w:cs="宋体" w:eastAsia="宋体" w:hint="default"/>
                <w:sz w:val="21"/>
                <w:szCs w:val="21"/>
              </w:rPr>
            </w:pPr>
            <w:r>
              <w:rPr>
                <w:rFonts w:ascii="宋体" w:hAnsi="宋体" w:cs="宋体" w:eastAsia="宋体" w:hint="default"/>
                <w:spacing w:val="9"/>
                <w:sz w:val="21"/>
                <w:szCs w:val="21"/>
              </w:rPr>
              <w:t>回购承诺履行而增加的普通股加</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权数</w:t>
            </w:r>
          </w:p>
        </w:tc>
        <w:tc>
          <w:tcPr>
            <w:tcW w:w="2746"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w w:val="100"/>
                <w:sz w:val="21"/>
              </w:rPr>
              <w:t>-</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105"/>
              <w:jc w:val="right"/>
              <w:rPr>
                <w:rFonts w:ascii="Arial Narrow" w:hAnsi="Arial Narrow" w:cs="Arial Narrow" w:eastAsia="Arial Narrow" w:hint="default"/>
                <w:sz w:val="21"/>
                <w:szCs w:val="21"/>
              </w:rPr>
            </w:pPr>
            <w:r>
              <w:rPr>
                <w:rFonts w:ascii="Arial Narrow"/>
                <w:w w:val="100"/>
                <w:sz w:val="21"/>
              </w:rPr>
              <w:t>-</w:t>
            </w:r>
          </w:p>
        </w:tc>
      </w:tr>
      <w:tr>
        <w:trPr>
          <w:trHeight w:val="553" w:hRule="exact"/>
        </w:trPr>
        <w:tc>
          <w:tcPr>
            <w:tcW w:w="3347" w:type="dxa"/>
            <w:tcBorders>
              <w:top w:val="nil" w:sz="6" w:space="0" w:color="auto"/>
              <w:left w:val="nil" w:sz="6" w:space="0" w:color="auto"/>
              <w:bottom w:val="nil" w:sz="6" w:space="0" w:color="auto"/>
              <w:right w:val="nil" w:sz="6" w:space="0" w:color="auto"/>
            </w:tcBorders>
          </w:tcPr>
          <w:p>
            <w:pPr>
              <w:pStyle w:val="TableParagraph"/>
              <w:spacing w:line="242" w:lineRule="exact"/>
              <w:ind w:left="122" w:right="0"/>
              <w:jc w:val="left"/>
              <w:rPr>
                <w:rFonts w:ascii="宋体" w:hAnsi="宋体" w:cs="宋体" w:eastAsia="宋体" w:hint="default"/>
                <w:sz w:val="21"/>
                <w:szCs w:val="21"/>
              </w:rPr>
            </w:pPr>
            <w:r>
              <w:rPr>
                <w:rFonts w:ascii="宋体" w:hAnsi="宋体" w:cs="宋体" w:eastAsia="宋体" w:hint="default"/>
                <w:spacing w:val="9"/>
                <w:sz w:val="21"/>
                <w:szCs w:val="21"/>
              </w:rPr>
              <w:t>归属于公司普通股股东的基本每</w:t>
            </w: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股收益</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 w:right="0"/>
              <w:jc w:val="center"/>
              <w:rPr>
                <w:rFonts w:ascii="Arial Narrow" w:hAnsi="Arial Narrow" w:cs="Arial Narrow" w:eastAsia="Arial Narrow" w:hint="default"/>
                <w:sz w:val="21"/>
                <w:szCs w:val="21"/>
              </w:rPr>
            </w:pPr>
            <w:r>
              <w:rPr>
                <w:rFonts w:ascii="Arial Narrow"/>
                <w:sz w:val="21"/>
              </w:rPr>
              <w:t>Y1=P1/S</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7"/>
              <w:jc w:val="right"/>
              <w:rPr>
                <w:rFonts w:ascii="Arial Narrow" w:hAnsi="Arial Narrow" w:cs="Arial Narrow" w:eastAsia="Arial Narrow" w:hint="default"/>
                <w:sz w:val="21"/>
                <w:szCs w:val="21"/>
              </w:rPr>
            </w:pPr>
            <w:r>
              <w:rPr>
                <w:rFonts w:ascii="Arial Narrow"/>
                <w:spacing w:val="-1"/>
                <w:sz w:val="21"/>
              </w:rPr>
              <w:t>0.045</w:t>
            </w:r>
            <w:r>
              <w:rPr>
                <w:rFonts w:ascii="Arial Narrow"/>
                <w:sz w:val="21"/>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49"/>
              <w:ind w:right="106"/>
              <w:jc w:val="right"/>
              <w:rPr>
                <w:rFonts w:ascii="Arial Narrow" w:hAnsi="Arial Narrow" w:cs="Arial Narrow" w:eastAsia="Arial Narrow" w:hint="default"/>
                <w:sz w:val="21"/>
                <w:szCs w:val="21"/>
              </w:rPr>
            </w:pPr>
            <w:r>
              <w:rPr>
                <w:rFonts w:ascii="Arial Narrow"/>
                <w:spacing w:val="-1"/>
                <w:sz w:val="21"/>
              </w:rPr>
              <w:t>0.390</w:t>
            </w:r>
            <w:r>
              <w:rPr>
                <w:rFonts w:ascii="Arial Narrow"/>
                <w:sz w:val="21"/>
              </w:rPr>
            </w:r>
          </w:p>
        </w:tc>
      </w:tr>
      <w:tr>
        <w:trPr>
          <w:trHeight w:val="565" w:hRule="exact"/>
        </w:trPr>
        <w:tc>
          <w:tcPr>
            <w:tcW w:w="3347" w:type="dxa"/>
            <w:tcBorders>
              <w:top w:val="nil" w:sz="6" w:space="0" w:color="auto"/>
              <w:left w:val="nil" w:sz="6" w:space="0" w:color="auto"/>
              <w:bottom w:val="nil" w:sz="6" w:space="0" w:color="auto"/>
              <w:right w:val="nil" w:sz="6" w:space="0" w:color="auto"/>
            </w:tcBorders>
          </w:tcPr>
          <w:p>
            <w:pPr>
              <w:pStyle w:val="TableParagraph"/>
              <w:spacing w:line="274" w:lineRule="exact"/>
              <w:ind w:left="122" w:right="107"/>
              <w:jc w:val="left"/>
              <w:rPr>
                <w:rFonts w:ascii="宋体" w:hAnsi="宋体" w:cs="宋体" w:eastAsia="宋体" w:hint="default"/>
                <w:sz w:val="21"/>
                <w:szCs w:val="21"/>
              </w:rPr>
            </w:pPr>
            <w:r>
              <w:rPr>
                <w:rFonts w:ascii="宋体" w:hAnsi="宋体" w:cs="宋体" w:eastAsia="宋体" w:hint="default"/>
                <w:spacing w:val="9"/>
                <w:sz w:val="21"/>
                <w:szCs w:val="21"/>
              </w:rPr>
              <w:t>扣除非经常性损益后归属于公司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普通股股东的基本每股收益</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1" w:right="0"/>
              <w:jc w:val="center"/>
              <w:rPr>
                <w:rFonts w:ascii="Arial Narrow" w:hAnsi="Arial Narrow" w:cs="Arial Narrow" w:eastAsia="Arial Narrow" w:hint="default"/>
                <w:sz w:val="21"/>
                <w:szCs w:val="21"/>
              </w:rPr>
            </w:pPr>
            <w:r>
              <w:rPr>
                <w:rFonts w:ascii="Arial Narrow"/>
                <w:sz w:val="21"/>
              </w:rPr>
              <w:t>Y2=P2/S</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07"/>
              <w:jc w:val="right"/>
              <w:rPr>
                <w:rFonts w:ascii="Arial Narrow" w:hAnsi="Arial Narrow" w:cs="Arial Narrow" w:eastAsia="Arial Narrow" w:hint="default"/>
                <w:sz w:val="21"/>
                <w:szCs w:val="21"/>
              </w:rPr>
            </w:pPr>
            <w:r>
              <w:rPr>
                <w:rFonts w:ascii="Arial Narrow"/>
                <w:spacing w:val="-1"/>
                <w:sz w:val="21"/>
              </w:rPr>
              <w:t>0.002</w:t>
            </w:r>
            <w:r>
              <w:rPr>
                <w:rFonts w:ascii="Arial Narrow"/>
                <w:sz w:val="21"/>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57"/>
              <w:ind w:right="106"/>
              <w:jc w:val="right"/>
              <w:rPr>
                <w:rFonts w:ascii="Arial Narrow" w:hAnsi="Arial Narrow" w:cs="Arial Narrow" w:eastAsia="Arial Narrow" w:hint="default"/>
                <w:sz w:val="21"/>
                <w:szCs w:val="21"/>
              </w:rPr>
            </w:pPr>
            <w:r>
              <w:rPr>
                <w:rFonts w:ascii="Arial Narrow"/>
                <w:spacing w:val="-1"/>
                <w:sz w:val="21"/>
              </w:rPr>
              <w:t>0.360</w:t>
            </w:r>
            <w:r>
              <w:rPr>
                <w:rFonts w:ascii="Arial Narrow"/>
                <w:sz w:val="21"/>
              </w:rPr>
            </w:r>
          </w:p>
        </w:tc>
      </w:tr>
      <w:tr>
        <w:trPr>
          <w:trHeight w:val="567" w:hRule="exact"/>
        </w:trPr>
        <w:tc>
          <w:tcPr>
            <w:tcW w:w="3347" w:type="dxa"/>
            <w:tcBorders>
              <w:top w:val="nil" w:sz="6" w:space="0" w:color="auto"/>
              <w:left w:val="nil" w:sz="6" w:space="0" w:color="auto"/>
              <w:bottom w:val="nil" w:sz="6" w:space="0" w:color="auto"/>
              <w:right w:val="nil" w:sz="6" w:space="0" w:color="auto"/>
            </w:tcBorders>
          </w:tcPr>
          <w:p>
            <w:pPr>
              <w:pStyle w:val="TableParagraph"/>
              <w:spacing w:line="272" w:lineRule="exact" w:before="6"/>
              <w:ind w:left="122" w:right="107"/>
              <w:jc w:val="left"/>
              <w:rPr>
                <w:rFonts w:ascii="宋体" w:hAnsi="宋体" w:cs="宋体" w:eastAsia="宋体" w:hint="default"/>
                <w:sz w:val="21"/>
                <w:szCs w:val="21"/>
              </w:rPr>
            </w:pPr>
            <w:r>
              <w:rPr>
                <w:rFonts w:ascii="宋体" w:hAnsi="宋体" w:cs="宋体" w:eastAsia="宋体" w:hint="default"/>
                <w:spacing w:val="9"/>
                <w:sz w:val="21"/>
                <w:szCs w:val="21"/>
              </w:rPr>
              <w:t>归属于公司普通股股东的稀释每</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股收益</w:t>
            </w:r>
          </w:p>
        </w:tc>
        <w:tc>
          <w:tcPr>
            <w:tcW w:w="2746"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2"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Y3=</w:t>
            </w:r>
            <w:r>
              <w:rPr>
                <w:rFonts w:ascii="宋体" w:hAnsi="宋体" w:cs="宋体" w:eastAsia="宋体" w:hint="default"/>
                <w:sz w:val="21"/>
                <w:szCs w:val="21"/>
              </w:rPr>
              <w:t>（</w:t>
            </w:r>
            <w:r>
              <w:rPr>
                <w:rFonts w:ascii="Arial Narrow" w:hAnsi="Arial Narrow" w:cs="Arial Narrow" w:eastAsia="Arial Narrow" w:hint="default"/>
                <w:sz w:val="21"/>
                <w:szCs w:val="21"/>
              </w:rPr>
              <w:t>P1</w:t>
            </w:r>
            <w:r>
              <w:rPr>
                <w:rFonts w:ascii="宋体" w:hAnsi="宋体" w:cs="宋体" w:eastAsia="宋体" w:hint="default"/>
                <w:sz w:val="21"/>
                <w:szCs w:val="21"/>
              </w:rPr>
              <w:t>＋</w:t>
            </w:r>
            <w:r>
              <w:rPr>
                <w:rFonts w:ascii="Arial Narrow" w:hAnsi="Arial Narrow" w:cs="Arial Narrow" w:eastAsia="Arial Narrow" w:hint="default"/>
                <w:sz w:val="21"/>
                <w:szCs w:val="21"/>
              </w:rPr>
              <w:t>P3</w:t>
            </w:r>
            <w:r>
              <w:rPr>
                <w:rFonts w:ascii="宋体" w:hAnsi="宋体" w:cs="宋体" w:eastAsia="宋体" w:hint="default"/>
                <w:sz w:val="21"/>
                <w:szCs w:val="21"/>
              </w:rPr>
              <w:t>）</w:t>
            </w:r>
            <w:r>
              <w:rPr>
                <w:rFonts w:ascii="Arial Narrow" w:hAnsi="Arial Narrow" w:cs="Arial Narrow" w:eastAsia="Arial Narrow" w:hint="default"/>
                <w:sz w:val="21"/>
                <w:szCs w:val="21"/>
              </w:rPr>
              <w:t>/X2</w:t>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6"/>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6"/>
              <w:jc w:val="right"/>
              <w:rPr>
                <w:rFonts w:ascii="Arial Narrow" w:hAnsi="Arial Narrow" w:cs="Arial Narrow" w:eastAsia="Arial Narrow" w:hint="default"/>
                <w:sz w:val="21"/>
                <w:szCs w:val="21"/>
              </w:rPr>
            </w:pPr>
            <w:r>
              <w:rPr>
                <w:rFonts w:ascii="Arial Narrow"/>
                <w:spacing w:val="-1"/>
                <w:sz w:val="21"/>
              </w:rPr>
              <w:t>0.389</w:t>
            </w:r>
            <w:r>
              <w:rPr>
                <w:rFonts w:ascii="Arial Narrow"/>
                <w:sz w:val="21"/>
              </w:rPr>
            </w:r>
          </w:p>
        </w:tc>
      </w:tr>
      <w:tr>
        <w:trPr>
          <w:trHeight w:val="579" w:hRule="exact"/>
        </w:trPr>
        <w:tc>
          <w:tcPr>
            <w:tcW w:w="3347" w:type="dxa"/>
            <w:tcBorders>
              <w:top w:val="nil" w:sz="6" w:space="0" w:color="auto"/>
              <w:left w:val="nil" w:sz="6" w:space="0" w:color="auto"/>
              <w:bottom w:val="single" w:sz="8" w:space="0" w:color="000000"/>
              <w:right w:val="nil" w:sz="6" w:space="0" w:color="auto"/>
            </w:tcBorders>
          </w:tcPr>
          <w:p>
            <w:pPr>
              <w:pStyle w:val="TableParagraph"/>
              <w:spacing w:line="272" w:lineRule="exact" w:before="6"/>
              <w:ind w:left="122" w:right="107"/>
              <w:jc w:val="left"/>
              <w:rPr>
                <w:rFonts w:ascii="宋体" w:hAnsi="宋体" w:cs="宋体" w:eastAsia="宋体" w:hint="default"/>
                <w:sz w:val="21"/>
                <w:szCs w:val="21"/>
              </w:rPr>
            </w:pPr>
            <w:r>
              <w:rPr>
                <w:rFonts w:ascii="宋体" w:hAnsi="宋体" w:cs="宋体" w:eastAsia="宋体" w:hint="default"/>
                <w:spacing w:val="9"/>
                <w:sz w:val="21"/>
                <w:szCs w:val="21"/>
              </w:rPr>
              <w:t>扣除非经常性损益后归属于公司</w:t>
            </w:r>
            <w:r>
              <w:rPr>
                <w:rFonts w:ascii="宋体" w:hAnsi="宋体" w:cs="宋体" w:eastAsia="宋体" w:hint="default"/>
                <w:spacing w:val="-66"/>
                <w:sz w:val="21"/>
                <w:szCs w:val="21"/>
              </w:rPr>
              <w:t> </w:t>
            </w:r>
            <w:r>
              <w:rPr>
                <w:rFonts w:ascii="宋体" w:hAnsi="宋体" w:cs="宋体" w:eastAsia="宋体" w:hint="default"/>
                <w:spacing w:val="-66"/>
                <w:sz w:val="21"/>
                <w:szCs w:val="21"/>
              </w:rPr>
            </w:r>
            <w:r>
              <w:rPr>
                <w:rFonts w:ascii="宋体" w:hAnsi="宋体" w:cs="宋体" w:eastAsia="宋体" w:hint="default"/>
                <w:sz w:val="21"/>
                <w:szCs w:val="21"/>
              </w:rPr>
              <w:t>普通股股东的稀释每股收益</w:t>
            </w:r>
          </w:p>
        </w:tc>
        <w:tc>
          <w:tcPr>
            <w:tcW w:w="2746" w:type="dxa"/>
            <w:tcBorders>
              <w:top w:val="nil" w:sz="6" w:space="0" w:color="auto"/>
              <w:left w:val="nil" w:sz="6" w:space="0" w:color="auto"/>
              <w:bottom w:val="single" w:sz="8" w:space="0" w:color="000000"/>
              <w:right w:val="nil" w:sz="6" w:space="0" w:color="auto"/>
            </w:tcBorders>
          </w:tcPr>
          <w:p>
            <w:pPr>
              <w:pStyle w:val="TableParagraph"/>
              <w:spacing w:line="240" w:lineRule="auto" w:before="115"/>
              <w:ind w:left="2" w:right="0"/>
              <w:jc w:val="center"/>
              <w:rPr>
                <w:rFonts w:ascii="Arial Narrow" w:hAnsi="Arial Narrow" w:cs="Arial Narrow" w:eastAsia="Arial Narrow" w:hint="default"/>
                <w:sz w:val="21"/>
                <w:szCs w:val="21"/>
              </w:rPr>
            </w:pPr>
            <w:r>
              <w:rPr>
                <w:rFonts w:ascii="Arial Narrow" w:hAnsi="Arial Narrow" w:cs="Arial Narrow" w:eastAsia="Arial Narrow" w:hint="default"/>
                <w:sz w:val="21"/>
                <w:szCs w:val="21"/>
              </w:rPr>
              <w:t>Y4=</w:t>
            </w:r>
            <w:r>
              <w:rPr>
                <w:rFonts w:ascii="宋体" w:hAnsi="宋体" w:cs="宋体" w:eastAsia="宋体" w:hint="default"/>
                <w:sz w:val="21"/>
                <w:szCs w:val="21"/>
              </w:rPr>
              <w:t>（</w:t>
            </w:r>
            <w:r>
              <w:rPr>
                <w:rFonts w:ascii="Arial Narrow" w:hAnsi="Arial Narrow" w:cs="Arial Narrow" w:eastAsia="Arial Narrow" w:hint="default"/>
                <w:sz w:val="21"/>
                <w:szCs w:val="21"/>
              </w:rPr>
              <w:t>P2</w:t>
            </w:r>
            <w:r>
              <w:rPr>
                <w:rFonts w:ascii="宋体" w:hAnsi="宋体" w:cs="宋体" w:eastAsia="宋体" w:hint="default"/>
                <w:sz w:val="21"/>
                <w:szCs w:val="21"/>
              </w:rPr>
              <w:t>＋</w:t>
            </w:r>
            <w:r>
              <w:rPr>
                <w:rFonts w:ascii="Arial Narrow" w:hAnsi="Arial Narrow" w:cs="Arial Narrow" w:eastAsia="Arial Narrow" w:hint="default"/>
                <w:sz w:val="21"/>
                <w:szCs w:val="21"/>
              </w:rPr>
              <w:t>P4</w:t>
            </w:r>
            <w:r>
              <w:rPr>
                <w:rFonts w:ascii="宋体" w:hAnsi="宋体" w:cs="宋体" w:eastAsia="宋体" w:hint="default"/>
                <w:sz w:val="21"/>
                <w:szCs w:val="21"/>
              </w:rPr>
              <w:t>）</w:t>
            </w:r>
            <w:r>
              <w:rPr>
                <w:rFonts w:ascii="Arial Narrow" w:hAnsi="Arial Narrow" w:cs="Arial Narrow" w:eastAsia="Arial Narrow" w:hint="default"/>
                <w:sz w:val="21"/>
                <w:szCs w:val="21"/>
              </w:rPr>
              <w:t>/X2</w:t>
            </w:r>
          </w:p>
        </w:tc>
        <w:tc>
          <w:tcPr>
            <w:tcW w:w="1416" w:type="dxa"/>
            <w:tcBorders>
              <w:top w:val="nil" w:sz="6" w:space="0" w:color="auto"/>
              <w:left w:val="nil" w:sz="6" w:space="0" w:color="auto"/>
              <w:bottom w:val="single" w:sz="8" w:space="0" w:color="000000"/>
              <w:right w:val="nil" w:sz="6" w:space="0" w:color="auto"/>
            </w:tcBorders>
          </w:tcPr>
          <w:p>
            <w:pPr>
              <w:pStyle w:val="TableParagraph"/>
              <w:spacing w:line="240" w:lineRule="auto" w:before="159"/>
              <w:ind w:right="106"/>
              <w:jc w:val="right"/>
              <w:rPr>
                <w:rFonts w:ascii="Arial Narrow" w:hAnsi="Arial Narrow" w:cs="Arial Narrow" w:eastAsia="Arial Narrow" w:hint="default"/>
                <w:sz w:val="21"/>
                <w:szCs w:val="21"/>
              </w:rPr>
            </w:pPr>
            <w:r>
              <w:rPr>
                <w:rFonts w:ascii="Arial Narrow"/>
                <w:spacing w:val="-1"/>
                <w:sz w:val="21"/>
              </w:rPr>
              <w:t>--</w:t>
            </w:r>
            <w:r>
              <w:rPr>
                <w:rFonts w:ascii="Arial Narrow"/>
                <w:sz w:val="21"/>
              </w:rPr>
            </w:r>
          </w:p>
        </w:tc>
        <w:tc>
          <w:tcPr>
            <w:tcW w:w="1413" w:type="dxa"/>
            <w:tcBorders>
              <w:top w:val="nil" w:sz="6" w:space="0" w:color="auto"/>
              <w:left w:val="nil" w:sz="6" w:space="0" w:color="auto"/>
              <w:bottom w:val="single" w:sz="8" w:space="0" w:color="000000"/>
              <w:right w:val="nil" w:sz="6" w:space="0" w:color="auto"/>
            </w:tcBorders>
          </w:tcPr>
          <w:p>
            <w:pPr>
              <w:pStyle w:val="TableParagraph"/>
              <w:spacing w:line="240" w:lineRule="auto" w:before="159"/>
              <w:ind w:right="106"/>
              <w:jc w:val="right"/>
              <w:rPr>
                <w:rFonts w:ascii="Arial Narrow" w:hAnsi="Arial Narrow" w:cs="Arial Narrow" w:eastAsia="Arial Narrow" w:hint="default"/>
                <w:sz w:val="21"/>
                <w:szCs w:val="21"/>
              </w:rPr>
            </w:pPr>
            <w:r>
              <w:rPr>
                <w:rFonts w:ascii="Arial Narrow"/>
                <w:spacing w:val="-1"/>
                <w:sz w:val="21"/>
              </w:rPr>
              <w:t>0.360</w:t>
            </w:r>
            <w:r>
              <w:rPr>
                <w:rFonts w:ascii="Arial Narrow"/>
                <w:sz w:val="21"/>
              </w:rPr>
            </w:r>
          </w:p>
        </w:tc>
      </w:tr>
    </w:tbl>
    <w:p>
      <w:pPr>
        <w:spacing w:line="240" w:lineRule="auto" w:before="3"/>
        <w:rPr>
          <w:rFonts w:ascii="宋体" w:hAnsi="宋体" w:cs="宋体" w:eastAsia="宋体" w:hint="default"/>
          <w:b/>
          <w:bCs/>
          <w:sz w:val="19"/>
          <w:szCs w:val="19"/>
        </w:rPr>
      </w:pPr>
    </w:p>
    <w:p>
      <w:pPr>
        <w:spacing w:before="36"/>
        <w:ind w:left="558" w:right="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、其他综合收益</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2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4231"/>
        <w:gridCol w:w="2320"/>
        <w:gridCol w:w="2187"/>
      </w:tblGrid>
      <w:tr>
        <w:trPr>
          <w:trHeight w:val="32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63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55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可供出售金融资产产生的利得（损失）金额</w:t>
            </w:r>
          </w:p>
        </w:tc>
        <w:tc>
          <w:tcPr>
            <w:tcW w:w="2320" w:type="dxa"/>
            <w:tcBorders>
              <w:top w:val="single" w:sz="4" w:space="0" w:color="000000"/>
              <w:left w:val="single" w:sz="12" w:space="0" w:color="D2D2D2"/>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09"/>
              <w:jc w:val="right"/>
              <w:rPr>
                <w:rFonts w:ascii="宋体" w:hAnsi="宋体" w:cs="宋体" w:eastAsia="宋体" w:hint="default"/>
                <w:sz w:val="21"/>
                <w:szCs w:val="21"/>
              </w:rPr>
            </w:pPr>
            <w:r>
              <w:rPr>
                <w:rFonts w:ascii="宋体" w:hAnsi="宋体" w:cs="宋体" w:eastAsia="宋体" w:hint="default"/>
                <w:spacing w:val="-2"/>
                <w:sz w:val="21"/>
                <w:szCs w:val="21"/>
              </w:rPr>
              <w:t>减：可供出售金融资产产生的所得税影响</w:t>
            </w:r>
          </w:p>
        </w:tc>
        <w:tc>
          <w:tcPr>
            <w:tcW w:w="2320" w:type="dxa"/>
            <w:tcBorders>
              <w:top w:val="single" w:sz="4" w:space="0" w:color="000000"/>
              <w:left w:val="single" w:sz="12" w:space="0" w:color="D2D2D2"/>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2320" w:type="dxa"/>
            <w:tcBorders>
              <w:top w:val="single" w:sz="4" w:space="0" w:color="000000"/>
              <w:left w:val="single" w:sz="12" w:space="0" w:color="D2D2D2"/>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320" w:type="dxa"/>
            <w:tcBorders>
              <w:top w:val="single" w:sz="4" w:space="0" w:color="000000"/>
              <w:left w:val="single" w:sz="12" w:space="0" w:color="D2D2D2"/>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11" w:right="51"/>
              <w:jc w:val="left"/>
              <w:rPr>
                <w:rFonts w:ascii="宋体" w:hAnsi="宋体" w:cs="宋体" w:eastAsia="宋体" w:hint="default"/>
                <w:sz w:val="21"/>
                <w:szCs w:val="21"/>
              </w:rPr>
            </w:pPr>
            <w:r>
              <w:rPr>
                <w:rFonts w:ascii="Calibri" w:hAnsi="Calibri" w:cs="Calibri" w:eastAsia="Calibri" w:hint="default"/>
                <w:spacing w:val="-2"/>
                <w:sz w:val="21"/>
                <w:szCs w:val="21"/>
              </w:rPr>
              <w:t>2.</w:t>
            </w:r>
            <w:r>
              <w:rPr>
                <w:rFonts w:ascii="宋体" w:hAnsi="宋体" w:cs="宋体" w:eastAsia="宋体" w:hint="default"/>
                <w:spacing w:val="-2"/>
                <w:sz w:val="21"/>
                <w:szCs w:val="21"/>
              </w:rPr>
              <w:t>按照权益法核算的在被投资单位其他综合收</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益中所享有的份额</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spacing w:val="-1"/>
                <w:sz w:val="21"/>
              </w:rPr>
              <w:t>-290,880.00</w:t>
            </w:r>
            <w:r>
              <w:rPr>
                <w:rFonts w:ascii="Arial Narrow"/>
                <w:sz w:val="21"/>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spacing w:val="-1"/>
                <w:sz w:val="21"/>
              </w:rPr>
              <w:t>181,760.00</w:t>
            </w:r>
            <w:r>
              <w:rPr>
                <w:rFonts w:ascii="Arial Narrow"/>
                <w:sz w:val="21"/>
              </w:rPr>
            </w:r>
          </w:p>
        </w:tc>
      </w:tr>
      <w:tr>
        <w:trPr>
          <w:trHeight w:val="635"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109" w:firstLine="316"/>
              <w:jc w:val="left"/>
              <w:rPr>
                <w:rFonts w:ascii="宋体" w:hAnsi="宋体" w:cs="宋体" w:eastAsia="宋体" w:hint="default"/>
                <w:sz w:val="21"/>
                <w:szCs w:val="21"/>
              </w:rPr>
            </w:pPr>
            <w:r>
              <w:rPr>
                <w:rFonts w:ascii="宋体" w:hAnsi="宋体" w:cs="宋体" w:eastAsia="宋体" w:hint="default"/>
                <w:spacing w:val="-2"/>
                <w:sz w:val="21"/>
                <w:szCs w:val="21"/>
              </w:rPr>
              <w:t>减：按照权益法核算的在被投资单位其他</w:t>
            </w:r>
            <w:r>
              <w:rPr>
                <w:rFonts w:ascii="宋体" w:hAnsi="宋体" w:cs="宋体" w:eastAsia="宋体" w:hint="default"/>
                <w:w w:val="100"/>
                <w:sz w:val="21"/>
                <w:szCs w:val="21"/>
              </w:rPr>
              <w:t> </w:t>
            </w:r>
            <w:r>
              <w:rPr>
                <w:rFonts w:ascii="宋体" w:hAnsi="宋体" w:cs="宋体" w:eastAsia="宋体" w:hint="default"/>
                <w:sz w:val="21"/>
                <w:szCs w:val="21"/>
              </w:rPr>
              <w:t>综合收益中所享有的份额产生的所得税影响</w:t>
            </w:r>
          </w:p>
        </w:tc>
        <w:tc>
          <w:tcPr>
            <w:tcW w:w="2320" w:type="dxa"/>
            <w:tcBorders>
              <w:top w:val="single" w:sz="4" w:space="0" w:color="000000"/>
              <w:left w:val="single" w:sz="12" w:space="0" w:color="D2D2D2"/>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2320" w:type="dxa"/>
            <w:tcBorders>
              <w:top w:val="single" w:sz="4" w:space="0" w:color="000000"/>
              <w:left w:val="single" w:sz="12" w:space="0" w:color="D2D2D2"/>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-290,880.00</w:t>
            </w:r>
            <w:r>
              <w:rPr>
                <w:rFonts w:ascii="Arial Narrow"/>
                <w:sz w:val="21"/>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181,760.00</w:t>
            </w:r>
            <w:r>
              <w:rPr>
                <w:rFonts w:ascii="Arial Narrow"/>
                <w:sz w:val="21"/>
              </w:rPr>
            </w:r>
          </w:p>
        </w:tc>
      </w:tr>
      <w:tr>
        <w:trPr>
          <w:trHeight w:val="634"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11" w:right="51"/>
              <w:jc w:val="left"/>
              <w:rPr>
                <w:rFonts w:ascii="宋体" w:hAnsi="宋体" w:cs="宋体" w:eastAsia="宋体" w:hint="default"/>
                <w:sz w:val="21"/>
                <w:szCs w:val="21"/>
              </w:rPr>
            </w:pPr>
            <w:r>
              <w:rPr>
                <w:rFonts w:ascii="Calibri" w:hAnsi="Calibri" w:cs="Calibri" w:eastAsia="Calibri" w:hint="default"/>
                <w:spacing w:val="-2"/>
                <w:sz w:val="21"/>
                <w:szCs w:val="21"/>
              </w:rPr>
              <w:t>3.</w:t>
            </w:r>
            <w:r>
              <w:rPr>
                <w:rFonts w:ascii="宋体" w:hAnsi="宋体" w:cs="宋体" w:eastAsia="宋体" w:hint="default"/>
                <w:spacing w:val="-2"/>
                <w:sz w:val="21"/>
                <w:szCs w:val="21"/>
              </w:rPr>
              <w:t>现金流量套期工具产生的利得（或损失）金</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额</w:t>
            </w:r>
          </w:p>
        </w:tc>
        <w:tc>
          <w:tcPr>
            <w:tcW w:w="2320" w:type="dxa"/>
            <w:tcBorders>
              <w:top w:val="single" w:sz="4" w:space="0" w:color="000000"/>
              <w:left w:val="single" w:sz="12" w:space="0" w:color="D2D2D2"/>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09"/>
              <w:jc w:val="right"/>
              <w:rPr>
                <w:rFonts w:ascii="宋体" w:hAnsi="宋体" w:cs="宋体" w:eastAsia="宋体" w:hint="default"/>
                <w:sz w:val="21"/>
                <w:szCs w:val="21"/>
              </w:rPr>
            </w:pPr>
            <w:r>
              <w:rPr>
                <w:rFonts w:ascii="宋体" w:hAnsi="宋体" w:cs="宋体" w:eastAsia="宋体" w:hint="default"/>
                <w:spacing w:val="-2"/>
                <w:sz w:val="21"/>
                <w:szCs w:val="21"/>
              </w:rPr>
              <w:t>减：现金流量套期工具产生的所得税影响</w:t>
            </w:r>
          </w:p>
        </w:tc>
        <w:tc>
          <w:tcPr>
            <w:tcW w:w="2320" w:type="dxa"/>
            <w:tcBorders>
              <w:top w:val="single" w:sz="4" w:space="0" w:color="000000"/>
              <w:left w:val="single" w:sz="12" w:space="0" w:color="D2D2D2"/>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前期计入其他综合收益当期转入损益的净额</w:t>
            </w:r>
          </w:p>
        </w:tc>
        <w:tc>
          <w:tcPr>
            <w:tcW w:w="2320" w:type="dxa"/>
            <w:tcBorders>
              <w:top w:val="single" w:sz="4" w:space="0" w:color="000000"/>
              <w:left w:val="single" w:sz="12" w:space="0" w:color="D2D2D2"/>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转为被套期项目初始确认金额的调整</w:t>
            </w:r>
          </w:p>
        </w:tc>
        <w:tc>
          <w:tcPr>
            <w:tcW w:w="2320" w:type="dxa"/>
            <w:tcBorders>
              <w:top w:val="single" w:sz="4" w:space="0" w:color="000000"/>
              <w:left w:val="single" w:sz="12" w:space="0" w:color="D2D2D2"/>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320" w:type="dxa"/>
            <w:tcBorders>
              <w:top w:val="single" w:sz="4" w:space="0" w:color="000000"/>
              <w:left w:val="single" w:sz="12" w:space="0" w:color="D2D2D2"/>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007" w:top="1160" w:bottom="1200" w:left="1240" w:right="1200"/>
        </w:sectPr>
      </w:pPr>
    </w:p>
    <w:p>
      <w:pPr>
        <w:spacing w:line="240" w:lineRule="auto" w:before="13"/>
        <w:rPr>
          <w:rFonts w:ascii="宋体" w:hAnsi="宋体" w:cs="宋体" w:eastAsia="宋体" w:hint="default"/>
          <w:sz w:val="19"/>
          <w:szCs w:val="19"/>
        </w:rPr>
      </w:pPr>
    </w:p>
    <w:tbl>
      <w:tblPr>
        <w:tblW w:w="0" w:type="auto"/>
        <w:jc w:val="left"/>
        <w:tblInd w:w="524" w:type="dxa"/>
        <w:tblLayout w:type="fixed"/>
        <w:tblCellMar>
          <w:top w:w="0" w:type="dxa"/>
          <w:left w:w="0" w:type="dxa"/>
          <w:bottom w:w="0" w:type="dxa"/>
          <w:right w:w="0" w:type="dxa"/>
        </w:tblCellMar>
        <w:tblLook w:val="01E0"/>
      </w:tblPr>
      <w:tblGrid>
        <w:gridCol w:w="4242"/>
        <w:gridCol w:w="2320"/>
        <w:gridCol w:w="2187"/>
      </w:tblGrid>
      <w:tr>
        <w:trPr>
          <w:trHeight w:val="322"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2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宋体" w:hAnsi="宋体" w:cs="宋体" w:eastAsia="宋体" w:hint="default"/>
                <w:sz w:val="21"/>
                <w:szCs w:val="21"/>
              </w:rPr>
              <w:t>外币财务报表折算差额</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-2,151,385.74</w:t>
            </w:r>
            <w:r>
              <w:rPr>
                <w:rFonts w:ascii="Arial Narrow"/>
                <w:sz w:val="21"/>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-250,194.96</w:t>
            </w:r>
            <w:r>
              <w:rPr>
                <w:rFonts w:ascii="Arial Narrow"/>
                <w:sz w:val="21"/>
              </w:rPr>
            </w:r>
          </w:p>
        </w:tc>
      </w:tr>
      <w:tr>
        <w:trPr>
          <w:trHeight w:val="322"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40" w:right="0"/>
              <w:jc w:val="left"/>
              <w:rPr>
                <w:rFonts w:ascii="宋体" w:hAnsi="宋体" w:cs="宋体" w:eastAsia="宋体" w:hint="default"/>
                <w:sz w:val="21"/>
                <w:szCs w:val="21"/>
              </w:rPr>
            </w:pPr>
            <w:r>
              <w:rPr>
                <w:rFonts w:ascii="宋体" w:hAnsi="宋体" w:cs="宋体" w:eastAsia="宋体" w:hint="default"/>
                <w:sz w:val="21"/>
                <w:szCs w:val="21"/>
              </w:rPr>
              <w:t>减：处置境外经营当期转入损益的净额</w:t>
            </w:r>
          </w:p>
        </w:tc>
        <w:tc>
          <w:tcPr>
            <w:tcW w:w="2320" w:type="dxa"/>
            <w:tcBorders>
              <w:top w:val="single" w:sz="4" w:space="0" w:color="000000"/>
              <w:left w:val="single" w:sz="12" w:space="0" w:color="D2D2D2"/>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4"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320" w:type="dxa"/>
            <w:tcBorders>
              <w:top w:val="single" w:sz="4" w:space="0" w:color="000000"/>
              <w:left w:val="single" w:sz="12" w:space="0" w:color="D2D2D2"/>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23" w:right="0"/>
              <w:jc w:val="left"/>
              <w:rPr>
                <w:rFonts w:ascii="宋体" w:hAnsi="宋体" w:cs="宋体" w:eastAsia="宋体" w:hint="default"/>
                <w:sz w:val="21"/>
                <w:szCs w:val="21"/>
              </w:rPr>
            </w:pPr>
            <w:r>
              <w:rPr>
                <w:rFonts w:ascii="Calibri" w:hAnsi="Calibri" w:cs="Calibri" w:eastAsia="Calibri" w:hint="default"/>
                <w:sz w:val="21"/>
                <w:szCs w:val="21"/>
              </w:rPr>
              <w:t>5.</w:t>
            </w:r>
            <w:r>
              <w:rPr>
                <w:rFonts w:ascii="宋体" w:hAnsi="宋体" w:cs="宋体" w:eastAsia="宋体" w:hint="default"/>
                <w:sz w:val="21"/>
                <w:szCs w:val="21"/>
              </w:rPr>
              <w:t>其他</w:t>
            </w:r>
          </w:p>
        </w:tc>
        <w:tc>
          <w:tcPr>
            <w:tcW w:w="2320" w:type="dxa"/>
            <w:tcBorders>
              <w:top w:val="single" w:sz="4" w:space="0" w:color="000000"/>
              <w:left w:val="single" w:sz="12" w:space="0" w:color="D2D2D2"/>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109" w:firstLine="316"/>
              <w:jc w:val="left"/>
              <w:rPr>
                <w:rFonts w:ascii="宋体" w:hAnsi="宋体" w:cs="宋体" w:eastAsia="宋体" w:hint="default"/>
                <w:sz w:val="21"/>
                <w:szCs w:val="21"/>
              </w:rPr>
            </w:pPr>
            <w:r>
              <w:rPr>
                <w:rFonts w:ascii="宋体" w:hAnsi="宋体" w:cs="宋体" w:eastAsia="宋体" w:hint="default"/>
                <w:spacing w:val="-2"/>
                <w:sz w:val="21"/>
                <w:szCs w:val="21"/>
              </w:rPr>
              <w:t>减：由其他计入其他综合收益产生的所得</w:t>
            </w:r>
            <w:r>
              <w:rPr>
                <w:rFonts w:ascii="宋体" w:hAnsi="宋体" w:cs="宋体" w:eastAsia="宋体" w:hint="default"/>
                <w:w w:val="100"/>
                <w:sz w:val="21"/>
                <w:szCs w:val="21"/>
              </w:rPr>
              <w:t> </w:t>
            </w:r>
            <w:r>
              <w:rPr>
                <w:rFonts w:ascii="宋体" w:hAnsi="宋体" w:cs="宋体" w:eastAsia="宋体" w:hint="default"/>
                <w:sz w:val="21"/>
                <w:szCs w:val="21"/>
              </w:rPr>
              <w:t>税影响</w:t>
            </w:r>
          </w:p>
        </w:tc>
        <w:tc>
          <w:tcPr>
            <w:tcW w:w="2320" w:type="dxa"/>
            <w:tcBorders>
              <w:top w:val="single" w:sz="4" w:space="0" w:color="000000"/>
              <w:left w:val="single" w:sz="12" w:space="0" w:color="D2D2D2"/>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212"/>
              <w:jc w:val="left"/>
              <w:rPr>
                <w:rFonts w:ascii="宋体" w:hAnsi="宋体" w:cs="宋体" w:eastAsia="宋体" w:hint="default"/>
                <w:sz w:val="21"/>
                <w:szCs w:val="21"/>
              </w:rPr>
            </w:pPr>
            <w:r>
              <w:rPr>
                <w:rFonts w:ascii="宋体" w:hAnsi="宋体" w:cs="宋体" w:eastAsia="宋体" w:hint="default"/>
                <w:spacing w:val="-2"/>
                <w:sz w:val="21"/>
                <w:szCs w:val="21"/>
              </w:rPr>
              <w:t>前期其他计入其他综合收益当期转入损益的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净额</w:t>
            </w:r>
          </w:p>
        </w:tc>
        <w:tc>
          <w:tcPr>
            <w:tcW w:w="2320" w:type="dxa"/>
            <w:tcBorders>
              <w:top w:val="single" w:sz="4" w:space="0" w:color="000000"/>
              <w:left w:val="single" w:sz="12" w:space="0" w:color="D2D2D2"/>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4"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2320" w:type="dxa"/>
            <w:tcBorders>
              <w:top w:val="single" w:sz="4" w:space="0" w:color="000000"/>
              <w:left w:val="single" w:sz="12" w:space="0" w:color="D2D2D2"/>
              <w:bottom w:val="single" w:sz="4" w:space="0" w:color="000000"/>
              <w:right w:val="single" w:sz="4" w:space="0" w:color="000000"/>
            </w:tcBorders>
          </w:tcPr>
          <w:p>
            <w:pPr/>
          </w:p>
        </w:tc>
        <w:tc>
          <w:tcPr>
            <w:tcW w:w="21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-2,442,265.74</w:t>
            </w:r>
            <w:r>
              <w:rPr>
                <w:rFonts w:ascii="Arial Narrow"/>
                <w:sz w:val="21"/>
              </w:rPr>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b/>
                <w:spacing w:val="-1"/>
                <w:sz w:val="21"/>
              </w:rPr>
              <w:t>-68,434.96</w:t>
            </w:r>
            <w:r>
              <w:rPr>
                <w:rFonts w:ascii="Arial Narrow"/>
                <w:sz w:val="21"/>
              </w:rPr>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其他综合收益说明：无</w:t>
      </w:r>
    </w:p>
    <w:p>
      <w:pPr>
        <w:spacing w:line="240" w:lineRule="auto" w:before="11"/>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68</w:t>
      </w:r>
      <w:r>
        <w:rPr>
          <w:rFonts w:ascii="宋体" w:hAnsi="宋体" w:cs="宋体" w:eastAsia="宋体" w:hint="default"/>
          <w:b/>
          <w:bCs/>
          <w:sz w:val="21"/>
          <w:szCs w:val="21"/>
        </w:rPr>
        <w:t>、现金流量表附注</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5106"/>
        <w:gridCol w:w="3644"/>
      </w:tblGrid>
      <w:tr>
        <w:trPr>
          <w:trHeight w:val="322" w:hRule="exact"/>
        </w:trPr>
        <w:tc>
          <w:tcPr>
            <w:tcW w:w="5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322" w:hRule="exact"/>
        </w:trPr>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收政府补助资金</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3"/>
              <w:jc w:val="right"/>
              <w:rPr>
                <w:rFonts w:ascii="Arial Narrow" w:hAnsi="Arial Narrow" w:cs="Arial Narrow" w:eastAsia="Arial Narrow" w:hint="default"/>
                <w:sz w:val="21"/>
                <w:szCs w:val="21"/>
              </w:rPr>
            </w:pPr>
            <w:r>
              <w:rPr>
                <w:rFonts w:ascii="Arial Narrow"/>
                <w:spacing w:val="-2"/>
                <w:sz w:val="21"/>
              </w:rPr>
              <w:t>16,051,803.31</w:t>
            </w:r>
            <w:r>
              <w:rPr>
                <w:rFonts w:ascii="Arial Narrow"/>
                <w:sz w:val="21"/>
              </w:rPr>
            </w:r>
          </w:p>
        </w:tc>
      </w:tr>
      <w:tr>
        <w:trPr>
          <w:trHeight w:val="322" w:hRule="exact"/>
        </w:trPr>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收回备用金及保证金</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spacing w:val="-1"/>
                <w:sz w:val="21"/>
              </w:rPr>
              <w:t>4,295,175.21</w:t>
            </w:r>
          </w:p>
        </w:tc>
      </w:tr>
      <w:tr>
        <w:trPr>
          <w:trHeight w:val="322" w:hRule="exact"/>
        </w:trPr>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收其他各项往来款</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spacing w:val="-1"/>
                <w:sz w:val="21"/>
              </w:rPr>
              <w:t>1,816,806.91</w:t>
            </w:r>
          </w:p>
        </w:tc>
      </w:tr>
      <w:tr>
        <w:trPr>
          <w:trHeight w:val="324" w:hRule="exact"/>
        </w:trPr>
        <w:tc>
          <w:tcPr>
            <w:tcW w:w="5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22,163,785.43</w:t>
            </w:r>
            <w:r>
              <w:rPr>
                <w:rFonts w:ascii="Arial Narrow"/>
                <w:sz w:val="21"/>
              </w:rPr>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收到的其他与经营活动有关的现金说明：无</w:t>
      </w:r>
    </w:p>
    <w:p>
      <w:pPr>
        <w:spacing w:line="240" w:lineRule="auto" w:before="10"/>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5106"/>
        <w:gridCol w:w="3644"/>
      </w:tblGrid>
      <w:tr>
        <w:trPr>
          <w:trHeight w:val="322" w:hRule="exact"/>
        </w:trPr>
        <w:tc>
          <w:tcPr>
            <w:tcW w:w="5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322" w:hRule="exact"/>
        </w:trPr>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付办公费用</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21,650,363.43</w:t>
            </w:r>
            <w:r>
              <w:rPr>
                <w:rFonts w:ascii="Arial Narrow"/>
                <w:sz w:val="21"/>
              </w:rPr>
            </w:r>
          </w:p>
        </w:tc>
      </w:tr>
      <w:tr>
        <w:trPr>
          <w:trHeight w:val="324" w:hRule="exact"/>
        </w:trPr>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 w:right="0"/>
              <w:jc w:val="center"/>
              <w:rPr>
                <w:rFonts w:ascii="宋体" w:hAnsi="宋体" w:cs="宋体" w:eastAsia="宋体" w:hint="default"/>
                <w:sz w:val="21"/>
                <w:szCs w:val="21"/>
              </w:rPr>
            </w:pPr>
            <w:r>
              <w:rPr>
                <w:rFonts w:ascii="宋体" w:hAnsi="宋体" w:cs="宋体" w:eastAsia="宋体" w:hint="default"/>
                <w:sz w:val="21"/>
                <w:szCs w:val="21"/>
              </w:rPr>
              <w:t>付销售费用</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31,237,233.53</w:t>
            </w:r>
            <w:r>
              <w:rPr>
                <w:rFonts w:ascii="Arial Narrow"/>
                <w:sz w:val="21"/>
              </w:rPr>
            </w:r>
          </w:p>
        </w:tc>
      </w:tr>
      <w:tr>
        <w:trPr>
          <w:trHeight w:val="322" w:hRule="exact"/>
        </w:trPr>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sz w:val="21"/>
                <w:szCs w:val="21"/>
              </w:rPr>
              <w:t>付备用金及保证金</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6,280,381.81</w:t>
            </w:r>
            <w:r>
              <w:rPr>
                <w:rFonts w:ascii="Arial Narrow"/>
                <w:sz w:val="21"/>
              </w:rPr>
            </w:r>
          </w:p>
        </w:tc>
      </w:tr>
      <w:tr>
        <w:trPr>
          <w:trHeight w:val="322" w:hRule="exact"/>
        </w:trPr>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3" w:right="0"/>
              <w:jc w:val="center"/>
              <w:rPr>
                <w:rFonts w:ascii="宋体" w:hAnsi="宋体" w:cs="宋体" w:eastAsia="宋体" w:hint="default"/>
                <w:sz w:val="21"/>
                <w:szCs w:val="21"/>
              </w:rPr>
            </w:pPr>
            <w:r>
              <w:rPr>
                <w:rFonts w:ascii="宋体" w:hAnsi="宋体" w:cs="宋体" w:eastAsia="宋体" w:hint="default"/>
                <w:sz w:val="21"/>
                <w:szCs w:val="21"/>
              </w:rPr>
              <w:t>银行手续费</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82,826.87</w:t>
            </w:r>
            <w:r>
              <w:rPr>
                <w:rFonts w:ascii="Arial Narrow"/>
                <w:sz w:val="21"/>
              </w:rPr>
            </w:r>
          </w:p>
        </w:tc>
      </w:tr>
      <w:tr>
        <w:trPr>
          <w:trHeight w:val="322" w:hRule="exact"/>
        </w:trPr>
        <w:tc>
          <w:tcPr>
            <w:tcW w:w="5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59,250,805.64</w:t>
            </w:r>
            <w:r>
              <w:rPr>
                <w:rFonts w:ascii="Arial Narrow"/>
                <w:sz w:val="21"/>
              </w:rPr>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支付的其他与经营活动有关的现金说明：无</w:t>
      </w:r>
    </w:p>
    <w:p>
      <w:pPr>
        <w:spacing w:line="240" w:lineRule="auto" w:before="10"/>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5106"/>
        <w:gridCol w:w="3644"/>
      </w:tblGrid>
      <w:tr>
        <w:trPr>
          <w:trHeight w:val="322" w:hRule="exact"/>
        </w:trPr>
        <w:tc>
          <w:tcPr>
            <w:tcW w:w="5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322" w:hRule="exact"/>
        </w:trPr>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sz w:val="21"/>
                <w:szCs w:val="21"/>
              </w:rPr>
              <w:t>利息收入</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7,523,813.00</w:t>
            </w:r>
            <w:r>
              <w:rPr>
                <w:rFonts w:ascii="Arial Narrow"/>
                <w:sz w:val="21"/>
              </w:rPr>
            </w:r>
          </w:p>
        </w:tc>
      </w:tr>
      <w:tr>
        <w:trPr>
          <w:trHeight w:val="322" w:hRule="exact"/>
        </w:trPr>
        <w:tc>
          <w:tcPr>
            <w:tcW w:w="5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7,523,813.00</w:t>
            </w:r>
            <w:r>
              <w:rPr>
                <w:rFonts w:ascii="Arial Narrow"/>
                <w:sz w:val="21"/>
              </w:rPr>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收到的其他与投资活动有关的现金说明：无</w:t>
      </w:r>
    </w:p>
    <w:p>
      <w:pPr>
        <w:spacing w:after="0" w:line="262" w:lineRule="exact"/>
        <w:jc w:val="left"/>
        <w:rPr>
          <w:rFonts w:ascii="宋体" w:hAnsi="宋体" w:cs="宋体" w:eastAsia="宋体" w:hint="default"/>
          <w:sz w:val="21"/>
          <w:szCs w:val="21"/>
        </w:rPr>
        <w:sectPr>
          <w:pgSz w:w="11910" w:h="16840"/>
          <w:pgMar w:header="884" w:footer="1007" w:top="1160" w:bottom="1200" w:left="1240" w:right="1260"/>
        </w:sectPr>
      </w:pPr>
    </w:p>
    <w:p>
      <w:pPr>
        <w:spacing w:line="240" w:lineRule="auto" w:before="4"/>
        <w:rPr>
          <w:rFonts w:ascii="宋体" w:hAnsi="宋体" w:cs="宋体" w:eastAsia="宋体" w:hint="default"/>
          <w:sz w:val="16"/>
          <w:szCs w:val="16"/>
        </w:rPr>
      </w:pPr>
    </w:p>
    <w:p>
      <w:pPr>
        <w:spacing w:line="506" w:lineRule="auto" w:before="36"/>
        <w:ind w:left="558" w:right="4987"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）支付的其他与投资活动有关的现金</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sz w:val="21"/>
          <w:szCs w:val="21"/>
        </w:rPr>
        <w:t>无</w:t>
      </w:r>
    </w:p>
    <w:p>
      <w:pPr>
        <w:spacing w:before="104"/>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5106"/>
        <w:gridCol w:w="3644"/>
      </w:tblGrid>
      <w:tr>
        <w:trPr>
          <w:trHeight w:val="322" w:hRule="exact"/>
        </w:trPr>
        <w:tc>
          <w:tcPr>
            <w:tcW w:w="5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r>
      <w:tr>
        <w:trPr>
          <w:trHeight w:val="322" w:hRule="exact"/>
        </w:trPr>
        <w:tc>
          <w:tcPr>
            <w:tcW w:w="510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sz w:val="21"/>
                <w:szCs w:val="21"/>
              </w:rPr>
              <w:t>计入资本公积的资助款</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2,000,000.00</w:t>
            </w:r>
            <w:r>
              <w:rPr>
                <w:rFonts w:ascii="Arial Narrow"/>
                <w:sz w:val="21"/>
              </w:rPr>
            </w:r>
          </w:p>
        </w:tc>
      </w:tr>
      <w:tr>
        <w:trPr>
          <w:trHeight w:val="324" w:hRule="exact"/>
        </w:trPr>
        <w:tc>
          <w:tcPr>
            <w:tcW w:w="5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2,000,000.00</w:t>
            </w:r>
            <w:r>
              <w:rPr>
                <w:rFonts w:ascii="Arial Narrow"/>
                <w:sz w:val="21"/>
              </w:rPr>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收到的其他与筹资活动有关的现金说明：无</w:t>
      </w:r>
    </w:p>
    <w:p>
      <w:pPr>
        <w:spacing w:line="240" w:lineRule="auto" w:before="11"/>
        <w:rPr>
          <w:rFonts w:ascii="宋体" w:hAnsi="宋体" w:cs="宋体" w:eastAsia="宋体" w:hint="default"/>
          <w:sz w:val="25"/>
          <w:szCs w:val="25"/>
        </w:rPr>
      </w:pPr>
    </w:p>
    <w:p>
      <w:pPr>
        <w:spacing w:line="506" w:lineRule="auto" w:before="0"/>
        <w:ind w:left="558" w:right="4987"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6</w:t>
      </w:r>
      <w:r>
        <w:rPr>
          <w:rFonts w:ascii="宋体" w:hAnsi="宋体" w:cs="宋体" w:eastAsia="宋体" w:hint="default"/>
          <w:b/>
          <w:bCs/>
          <w:spacing w:val="-1"/>
          <w:sz w:val="21"/>
          <w:szCs w:val="21"/>
        </w:rPr>
        <w:t>）支付的其他与筹资活动有关的现金</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sz w:val="21"/>
          <w:szCs w:val="21"/>
        </w:rPr>
        <w:t>无</w:t>
      </w:r>
    </w:p>
    <w:p>
      <w:pPr>
        <w:spacing w:before="104"/>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4969"/>
        <w:gridCol w:w="2139"/>
        <w:gridCol w:w="1630"/>
      </w:tblGrid>
      <w:tr>
        <w:trPr>
          <w:trHeight w:val="324"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64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38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．将净利润调节为经营活动现金流量：</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 w:right="0"/>
              <w:jc w:val="center"/>
              <w:rPr>
                <w:rFonts w:ascii="Calibri" w:hAnsi="Calibri" w:cs="Calibri" w:eastAsia="Calibri" w:hint="default"/>
                <w:sz w:val="21"/>
                <w:szCs w:val="21"/>
              </w:rPr>
            </w:pPr>
            <w:r>
              <w:rPr>
                <w:rFonts w:ascii="Calibri"/>
                <w:sz w:val="21"/>
              </w:rPr>
              <w:t>--</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5,027,984.20</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47,273,415.44</w:t>
            </w:r>
            <w:r>
              <w:rPr>
                <w:rFonts w:ascii="Arial Narrow"/>
                <w:sz w:val="21"/>
              </w:rPr>
            </w: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-1,351,334.36</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10,527,710.77</w:t>
            </w:r>
            <w:r>
              <w:rPr>
                <w:rFonts w:ascii="Arial Narrow"/>
                <w:sz w:val="21"/>
              </w:rPr>
            </w: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spacing w:val="-1"/>
                <w:sz w:val="21"/>
              </w:rPr>
              <w:t>5,607,649.26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5,101,894.76</w:t>
            </w:r>
            <w:r>
              <w:rPr>
                <w:rFonts w:ascii="Arial Narrow"/>
                <w:sz w:val="21"/>
              </w:rPr>
            </w:r>
          </w:p>
        </w:tc>
      </w:tr>
      <w:tr>
        <w:trPr>
          <w:trHeight w:val="323"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2"/>
                <w:sz w:val="21"/>
              </w:rPr>
              <w:t>4,752,796.58</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4,960,293.35</w:t>
            </w:r>
            <w:r>
              <w:rPr>
                <w:rFonts w:ascii="Arial Narrow"/>
                <w:sz w:val="21"/>
              </w:rPr>
            </w:r>
          </w:p>
        </w:tc>
      </w:tr>
      <w:tr>
        <w:trPr>
          <w:trHeight w:val="323"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2"/>
              <w:jc w:val="right"/>
              <w:rPr>
                <w:rFonts w:ascii="Arial Narrow" w:hAnsi="Arial Narrow" w:cs="Arial Narrow" w:eastAsia="Arial Narrow" w:hint="default"/>
                <w:sz w:val="21"/>
                <w:szCs w:val="21"/>
              </w:rPr>
            </w:pPr>
            <w:r>
              <w:rPr>
                <w:rFonts w:ascii="Arial Narrow"/>
                <w:spacing w:val="-1"/>
                <w:sz w:val="21"/>
              </w:rPr>
              <w:t>515,869.84</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Arial Narrow" w:hAnsi="Arial Narrow" w:cs="Arial Narrow" w:eastAsia="Arial Narrow" w:hint="default"/>
                <w:sz w:val="21"/>
                <w:szCs w:val="21"/>
              </w:rPr>
            </w:pPr>
            <w:r>
              <w:rPr>
                <w:rFonts w:ascii="Arial Narrow"/>
                <w:spacing w:val="-1"/>
                <w:sz w:val="21"/>
              </w:rPr>
              <w:t>207,774.94</w:t>
            </w:r>
            <w:r>
              <w:rPr>
                <w:rFonts w:ascii="Arial Narrow"/>
                <w:sz w:val="21"/>
              </w:rPr>
            </w:r>
          </w:p>
        </w:tc>
      </w:tr>
      <w:tr>
        <w:trPr>
          <w:trHeight w:val="634"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5"/>
              <w:jc w:val="left"/>
              <w:rPr>
                <w:rFonts w:ascii="宋体" w:hAnsi="宋体" w:cs="宋体" w:eastAsia="宋体" w:hint="default"/>
                <w:sz w:val="21"/>
                <w:szCs w:val="21"/>
              </w:rPr>
            </w:pPr>
            <w:r>
              <w:rPr>
                <w:rFonts w:ascii="宋体" w:hAnsi="宋体" w:cs="宋体" w:eastAsia="宋体" w:hint="default"/>
                <w:spacing w:val="-6"/>
                <w:sz w:val="21"/>
                <w:szCs w:val="21"/>
              </w:rPr>
              <w:t>处置固定资产、无形资产和其他长期资产的损失（收益</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1"/>
              <w:jc w:val="right"/>
              <w:rPr>
                <w:rFonts w:ascii="Arial Narrow" w:hAnsi="Arial Narrow" w:cs="Arial Narrow" w:eastAsia="Arial Narrow" w:hint="default"/>
                <w:sz w:val="21"/>
                <w:szCs w:val="21"/>
              </w:rPr>
            </w:pPr>
            <w:r>
              <w:rPr>
                <w:rFonts w:ascii="Arial Narrow"/>
                <w:spacing w:val="-1"/>
                <w:sz w:val="21"/>
              </w:rPr>
              <w:t>30,818.93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spacing w:val="-1"/>
                <w:sz w:val="21"/>
              </w:rPr>
              <w:t>423,261.20</w:t>
            </w:r>
            <w:r>
              <w:rPr>
                <w:rFonts w:ascii="Arial Narrow"/>
                <w:sz w:val="21"/>
              </w:rPr>
            </w: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2"/>
                <w:sz w:val="21"/>
              </w:rPr>
              <w:t>-1,422,761.48</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-7,212,010.57</w:t>
            </w:r>
            <w:r>
              <w:rPr>
                <w:rFonts w:ascii="Arial Narrow"/>
                <w:sz w:val="21"/>
              </w:rPr>
            </w:r>
          </w:p>
        </w:tc>
      </w:tr>
      <w:tr>
        <w:trPr>
          <w:trHeight w:val="323"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2"/>
                <w:sz w:val="21"/>
              </w:rPr>
              <w:t>-4,732,467.17</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-1,382,890.12</w:t>
            </w:r>
            <w:r>
              <w:rPr>
                <w:rFonts w:ascii="Arial Narrow"/>
                <w:sz w:val="21"/>
              </w:rPr>
            </w:r>
          </w:p>
        </w:tc>
      </w:tr>
      <w:tr>
        <w:trPr>
          <w:trHeight w:val="323"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2"/>
              <w:jc w:val="right"/>
              <w:rPr>
                <w:rFonts w:ascii="Arial Narrow" w:hAnsi="Arial Narrow" w:cs="Arial Narrow" w:eastAsia="Arial Narrow" w:hint="default"/>
                <w:sz w:val="21"/>
                <w:szCs w:val="21"/>
              </w:rPr>
            </w:pPr>
            <w:r>
              <w:rPr>
                <w:rFonts w:ascii="Arial Narrow"/>
                <w:spacing w:val="-2"/>
                <w:sz w:val="21"/>
              </w:rPr>
              <w:t>-1,311,171.09</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Arial Narrow" w:hAnsi="Arial Narrow" w:cs="Arial Narrow" w:eastAsia="Arial Narrow" w:hint="default"/>
                <w:sz w:val="21"/>
                <w:szCs w:val="21"/>
              </w:rPr>
            </w:pPr>
            <w:r>
              <w:rPr>
                <w:rFonts w:ascii="Arial Narrow"/>
                <w:spacing w:val="-1"/>
                <w:sz w:val="21"/>
              </w:rPr>
              <w:t>-1,541,258.44</w:t>
            </w:r>
            <w:r>
              <w:rPr>
                <w:rFonts w:ascii="Arial Narrow"/>
                <w:sz w:val="21"/>
              </w:rPr>
            </w: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685,892.19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29,279.88</w:t>
            </w:r>
            <w:r>
              <w:rPr>
                <w:rFonts w:ascii="Arial Narrow"/>
                <w:sz w:val="21"/>
              </w:rPr>
            </w: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42,872,995.43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-120,403,328.01</w:t>
            </w: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-9,499,337.92</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65,216,594.46</w:t>
            </w:r>
            <w:r>
              <w:rPr>
                <w:rFonts w:ascii="Arial Narrow"/>
                <w:sz w:val="21"/>
              </w:rPr>
            </w:r>
          </w:p>
        </w:tc>
      </w:tr>
      <w:tr>
        <w:trPr>
          <w:trHeight w:val="323"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w w:val="100"/>
                <w:sz w:val="21"/>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-2,357,983.94</w:t>
            </w:r>
            <w:r>
              <w:rPr>
                <w:rFonts w:ascii="Arial Narrow"/>
                <w:sz w:val="21"/>
              </w:rPr>
            </w: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0"/>
              <w:jc w:val="right"/>
              <w:rPr>
                <w:rFonts w:ascii="Arial Narrow" w:hAnsi="Arial Narrow" w:cs="Arial Narrow" w:eastAsia="Arial Narrow" w:hint="default"/>
                <w:sz w:val="21"/>
                <w:szCs w:val="21"/>
              </w:rPr>
            </w:pPr>
            <w:r>
              <w:rPr>
                <w:rFonts w:ascii="Arial Narrow"/>
                <w:spacing w:val="-1"/>
                <w:sz w:val="21"/>
              </w:rPr>
              <w:t>41,176,934.41</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Arial Narrow" w:hAnsi="Arial Narrow" w:cs="Arial Narrow" w:eastAsia="Arial Narrow" w:hint="default"/>
                <w:sz w:val="21"/>
                <w:szCs w:val="21"/>
              </w:rPr>
            </w:pPr>
            <w:r>
              <w:rPr>
                <w:rFonts w:ascii="Arial Narrow"/>
                <w:spacing w:val="-1"/>
                <w:sz w:val="21"/>
              </w:rPr>
              <w:t>842,753.72</w:t>
            </w:r>
            <w:r>
              <w:rPr>
                <w:rFonts w:ascii="Arial Narrow"/>
                <w:sz w:val="21"/>
              </w:rPr>
            </w:r>
          </w:p>
        </w:tc>
      </w:tr>
      <w:tr>
        <w:trPr>
          <w:trHeight w:val="323"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1"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．不涉及现金收支的重大投资和筹资活动：</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6" w:right="0"/>
              <w:jc w:val="center"/>
              <w:rPr>
                <w:rFonts w:ascii="Calibri" w:hAnsi="Calibri" w:cs="Calibri" w:eastAsia="Calibri" w:hint="default"/>
                <w:sz w:val="21"/>
                <w:szCs w:val="21"/>
              </w:rPr>
            </w:pPr>
            <w:r>
              <w:rPr>
                <w:rFonts w:ascii="Calibri"/>
                <w:sz w:val="21"/>
              </w:rPr>
              <w:t>--</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Calibri" w:hAnsi="Calibri" w:cs="Calibri" w:eastAsia="Calibri" w:hint="default"/>
                <w:sz w:val="21"/>
                <w:szCs w:val="21"/>
              </w:rPr>
            </w:pPr>
            <w:r>
              <w:rPr>
                <w:rFonts w:ascii="Calibri"/>
                <w:sz w:val="21"/>
              </w:rPr>
              <w:t>--</w:t>
            </w: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4" w:footer="1007" w:top="1160" w:bottom="1200" w:left="1240" w:right="1260"/>
        </w:sectPr>
      </w:pPr>
    </w:p>
    <w:p>
      <w:pPr>
        <w:spacing w:line="240" w:lineRule="auto" w:before="13"/>
        <w:rPr>
          <w:rFonts w:ascii="宋体" w:hAnsi="宋体" w:cs="宋体" w:eastAsia="宋体" w:hint="default"/>
          <w:sz w:val="19"/>
          <w:szCs w:val="19"/>
        </w:rPr>
      </w:pPr>
    </w:p>
    <w:tbl>
      <w:tblPr>
        <w:tblW w:w="0" w:type="auto"/>
        <w:jc w:val="left"/>
        <w:tblInd w:w="536" w:type="dxa"/>
        <w:tblLayout w:type="fixed"/>
        <w:tblCellMar>
          <w:top w:w="0" w:type="dxa"/>
          <w:left w:w="0" w:type="dxa"/>
          <w:bottom w:w="0" w:type="dxa"/>
          <w:right w:w="0" w:type="dxa"/>
        </w:tblCellMar>
        <w:tblLook w:val="01E0"/>
      </w:tblPr>
      <w:tblGrid>
        <w:gridCol w:w="4969"/>
        <w:gridCol w:w="2139"/>
        <w:gridCol w:w="1630"/>
      </w:tblGrid>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．现金及现金等价物净变动情况：</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6" w:right="0"/>
              <w:jc w:val="center"/>
              <w:rPr>
                <w:rFonts w:ascii="Calibri" w:hAnsi="Calibri" w:cs="Calibri" w:eastAsia="Calibri" w:hint="default"/>
                <w:sz w:val="21"/>
                <w:szCs w:val="21"/>
              </w:rPr>
            </w:pPr>
            <w:r>
              <w:rPr>
                <w:rFonts w:ascii="Calibri"/>
                <w:sz w:val="21"/>
              </w:rPr>
              <w:t>--</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r>
      <w:tr>
        <w:trPr>
          <w:trHeight w:val="323"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230,414,730.09</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372,247,146.80</w:t>
            </w:r>
            <w:r>
              <w:rPr>
                <w:rFonts w:ascii="Arial Narrow"/>
                <w:sz w:val="21"/>
              </w:rPr>
            </w:r>
          </w:p>
        </w:tc>
      </w:tr>
      <w:tr>
        <w:trPr>
          <w:trHeight w:val="323"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2"/>
              <w:jc w:val="right"/>
              <w:rPr>
                <w:rFonts w:ascii="Arial Narrow" w:hAnsi="Arial Narrow" w:cs="Arial Narrow" w:eastAsia="Arial Narrow" w:hint="default"/>
                <w:sz w:val="21"/>
                <w:szCs w:val="21"/>
              </w:rPr>
            </w:pPr>
            <w:r>
              <w:rPr>
                <w:rFonts w:ascii="Arial Narrow"/>
                <w:spacing w:val="-1"/>
                <w:sz w:val="21"/>
              </w:rPr>
              <w:t>372,247,146.80</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Arial Narrow" w:hAnsi="Arial Narrow" w:cs="Arial Narrow" w:eastAsia="Arial Narrow" w:hint="default"/>
                <w:sz w:val="21"/>
                <w:szCs w:val="21"/>
              </w:rPr>
            </w:pPr>
            <w:r>
              <w:rPr>
                <w:rFonts w:ascii="Arial Narrow"/>
                <w:spacing w:val="-1"/>
                <w:sz w:val="21"/>
              </w:rPr>
              <w:t>386,158,948.37</w:t>
            </w:r>
            <w:r>
              <w:rPr>
                <w:rFonts w:ascii="Arial Narrow"/>
                <w:sz w:val="21"/>
              </w:rPr>
            </w: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139" w:type="dxa"/>
            <w:tcBorders>
              <w:top w:val="single" w:sz="4" w:space="0" w:color="000000"/>
              <w:left w:val="single" w:sz="13" w:space="0" w:color="D2D2D2"/>
              <w:bottom w:val="single" w:sz="4" w:space="0" w:color="000000"/>
              <w:right w:val="single" w:sz="4" w:space="0" w:color="000000"/>
            </w:tcBorders>
          </w:tcPr>
          <w:p>
            <w:pP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2"/>
                <w:sz w:val="21"/>
              </w:rPr>
              <w:t>-141,832,416.71</w:t>
            </w:r>
            <w:r>
              <w:rPr>
                <w:rFonts w:ascii="Arial Narrow"/>
                <w:sz w:val="21"/>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-13,911,801.57</w:t>
            </w:r>
            <w:r>
              <w:rPr>
                <w:rFonts w:ascii="Arial Narrow"/>
                <w:sz w:val="21"/>
              </w:rPr>
            </w:r>
          </w:p>
        </w:tc>
      </w:tr>
    </w:tbl>
    <w:p>
      <w:pPr>
        <w:spacing w:line="240" w:lineRule="auto" w:before="3"/>
        <w:rPr>
          <w:rFonts w:ascii="宋体" w:hAnsi="宋体" w:cs="宋体" w:eastAsia="宋体" w:hint="default"/>
          <w:sz w:val="19"/>
          <w:szCs w:val="19"/>
        </w:rPr>
      </w:pPr>
    </w:p>
    <w:p>
      <w:pPr>
        <w:spacing w:line="506" w:lineRule="auto" w:before="36"/>
        <w:ind w:left="55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）本报告期取得或处置子公司及其他营业单位的相关信息</w:t>
      </w:r>
      <w:r>
        <w:rPr>
          <w:rFonts w:ascii="宋体" w:hAnsi="宋体" w:cs="宋体" w:eastAsia="宋体" w:hint="default"/>
          <w:b/>
          <w:bCs/>
          <w:spacing w:val="-82"/>
          <w:sz w:val="21"/>
          <w:szCs w:val="21"/>
        </w:rPr>
        <w:t> </w:t>
      </w:r>
      <w:r>
        <w:rPr>
          <w:rFonts w:ascii="宋体" w:hAnsi="宋体" w:cs="宋体" w:eastAsia="宋体" w:hint="default"/>
          <w:b/>
          <w:bCs/>
          <w:spacing w:val="-82"/>
          <w:sz w:val="21"/>
          <w:szCs w:val="21"/>
        </w:rPr>
      </w:r>
      <w:r>
        <w:rPr>
          <w:rFonts w:ascii="宋体" w:hAnsi="宋体" w:cs="宋体" w:eastAsia="宋体" w:hint="default"/>
          <w:sz w:val="21"/>
          <w:szCs w:val="21"/>
        </w:rPr>
        <w:t>报告期内，未取得或处置子公司及其他营业单位。</w:t>
      </w:r>
    </w:p>
    <w:p>
      <w:pPr>
        <w:spacing w:before="104"/>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）现金和现金等价物的构成</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4001"/>
        <w:gridCol w:w="2319"/>
        <w:gridCol w:w="2429"/>
      </w:tblGrid>
      <w:tr>
        <w:trPr>
          <w:trHeight w:val="324" w:hRule="exact"/>
        </w:trPr>
        <w:tc>
          <w:tcPr>
            <w:tcW w:w="4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0"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3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230,414,730.09</w:t>
            </w:r>
            <w:r>
              <w:rPr>
                <w:rFonts w:ascii="Arial Narrow"/>
                <w:sz w:val="21"/>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372,247,146.80</w:t>
            </w:r>
            <w:r>
              <w:rPr>
                <w:rFonts w:ascii="Arial Narrow"/>
                <w:sz w:val="21"/>
              </w:rPr>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3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59,212.77</w:t>
            </w:r>
            <w:r>
              <w:rPr>
                <w:rFonts w:ascii="Arial Narrow"/>
                <w:sz w:val="21"/>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52,468.30</w:t>
            </w:r>
            <w:r>
              <w:rPr>
                <w:rFonts w:ascii="Arial Narrow"/>
                <w:sz w:val="21"/>
              </w:rPr>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3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230,355,517.32</w:t>
            </w:r>
            <w:r>
              <w:rPr>
                <w:rFonts w:ascii="Arial Narrow"/>
                <w:sz w:val="21"/>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372,194,678.50</w:t>
            </w:r>
            <w:r>
              <w:rPr>
                <w:rFonts w:ascii="Arial Narrow"/>
                <w:sz w:val="21"/>
              </w:rPr>
            </w: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600"/>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319" w:type="dxa"/>
            <w:tcBorders>
              <w:top w:val="single" w:sz="4" w:space="0" w:color="000000"/>
              <w:left w:val="single" w:sz="13" w:space="0" w:color="D2D2D2"/>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600"/>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319" w:type="dxa"/>
            <w:tcBorders>
              <w:top w:val="single" w:sz="4" w:space="0" w:color="000000"/>
              <w:left w:val="single" w:sz="13" w:space="0" w:color="D2D2D2"/>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44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319" w:type="dxa"/>
            <w:tcBorders>
              <w:top w:val="single" w:sz="4" w:space="0" w:color="000000"/>
              <w:left w:val="single" w:sz="13" w:space="0" w:color="D2D2D2"/>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4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319" w:type="dxa"/>
            <w:tcBorders>
              <w:top w:val="single" w:sz="4" w:space="0" w:color="000000"/>
              <w:left w:val="single" w:sz="13" w:space="0" w:color="D2D2D2"/>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319" w:type="dxa"/>
            <w:tcBorders>
              <w:top w:val="single" w:sz="4" w:space="0" w:color="000000"/>
              <w:left w:val="single" w:sz="13" w:space="0" w:color="D2D2D2"/>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319" w:type="dxa"/>
            <w:tcBorders>
              <w:top w:val="single" w:sz="4" w:space="0" w:color="000000"/>
              <w:left w:val="single" w:sz="13" w:space="0" w:color="D2D2D2"/>
              <w:bottom w:val="single" w:sz="4" w:space="0" w:color="000000"/>
              <w:right w:val="single" w:sz="4" w:space="0" w:color="000000"/>
            </w:tcBorders>
          </w:tcPr>
          <w:p>
            <w:pPr/>
          </w:p>
        </w:tc>
        <w:tc>
          <w:tcPr>
            <w:tcW w:w="2429"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3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230,414,730.09</w:t>
            </w:r>
            <w:r>
              <w:rPr>
                <w:rFonts w:ascii="Arial Narrow"/>
                <w:sz w:val="21"/>
              </w:rPr>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372,247,146.80</w:t>
            </w:r>
            <w:r>
              <w:rPr>
                <w:rFonts w:ascii="Arial Narrow"/>
                <w:sz w:val="21"/>
              </w:rPr>
            </w:r>
          </w:p>
        </w:tc>
      </w:tr>
    </w:tbl>
    <w:p>
      <w:pPr>
        <w:spacing w:line="273" w:lineRule="auto" w:before="0"/>
        <w:ind w:left="558" w:right="0" w:firstLine="0"/>
        <w:jc w:val="left"/>
        <w:rPr>
          <w:rFonts w:ascii="宋体" w:hAnsi="宋体" w:cs="宋体" w:eastAsia="宋体" w:hint="default"/>
          <w:sz w:val="21"/>
          <w:szCs w:val="21"/>
        </w:rPr>
      </w:pPr>
      <w:r>
        <w:rPr>
          <w:rFonts w:ascii="宋体" w:hAnsi="宋体" w:cs="宋体" w:eastAsia="宋体" w:hint="default"/>
          <w:spacing w:val="-2"/>
          <w:sz w:val="21"/>
          <w:szCs w:val="21"/>
        </w:rPr>
        <w:t>注：现金和现金等价物不含母公司或集团内子公司使用受限制的现金和现金等价物。</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现金流量表补充资料的说明：无</w:t>
      </w:r>
    </w:p>
    <w:p>
      <w:pPr>
        <w:spacing w:line="240" w:lineRule="auto" w:before="7"/>
        <w:rPr>
          <w:rFonts w:ascii="宋体" w:hAnsi="宋体" w:cs="宋体" w:eastAsia="宋体" w:hint="default"/>
          <w:sz w:val="23"/>
          <w:szCs w:val="23"/>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、所有者权益变动表项目注释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line="247" w:lineRule="auto" w:before="0"/>
        <w:ind w:left="558" w:right="0" w:firstLine="0"/>
        <w:jc w:val="left"/>
        <w:rPr>
          <w:rFonts w:ascii="宋体" w:hAnsi="宋体" w:cs="宋体" w:eastAsia="宋体" w:hint="default"/>
          <w:sz w:val="21"/>
          <w:szCs w:val="21"/>
        </w:rPr>
      </w:pPr>
      <w:r>
        <w:rPr>
          <w:rFonts w:ascii="宋体" w:hAnsi="宋体" w:cs="宋体" w:eastAsia="宋体" w:hint="default"/>
          <w:spacing w:val="-4"/>
          <w:w w:val="100"/>
          <w:sz w:val="21"/>
          <w:szCs w:val="21"/>
        </w:rPr>
        <w:t>说明对上年年末余额进行调整的</w:t>
      </w:r>
      <w:r>
        <w:rPr>
          <w:rFonts w:ascii="Calibri" w:hAnsi="Calibri" w:cs="Calibri" w:eastAsia="Calibri" w:hint="default"/>
          <w:spacing w:val="-4"/>
          <w:w w:val="100"/>
          <w:sz w:val="21"/>
          <w:szCs w:val="21"/>
        </w:rPr>
        <w:t>“</w:t>
      </w:r>
      <w:r>
        <w:rPr>
          <w:rFonts w:ascii="宋体" w:hAnsi="宋体" w:cs="宋体" w:eastAsia="宋体" w:hint="default"/>
          <w:spacing w:val="-4"/>
          <w:w w:val="100"/>
          <w:sz w:val="21"/>
          <w:szCs w:val="21"/>
        </w:rPr>
        <w:t>其他</w:t>
      </w:r>
      <w:r>
        <w:rPr>
          <w:rFonts w:ascii="Calibri" w:hAnsi="Calibri" w:cs="Calibri" w:eastAsia="Calibri" w:hint="default"/>
          <w:spacing w:val="-4"/>
          <w:w w:val="100"/>
          <w:sz w:val="21"/>
          <w:szCs w:val="21"/>
        </w:rPr>
        <w:t>”</w:t>
      </w:r>
      <w:r>
        <w:rPr>
          <w:rFonts w:ascii="宋体" w:hAnsi="宋体" w:cs="宋体" w:eastAsia="宋体" w:hint="default"/>
          <w:spacing w:val="-4"/>
          <w:w w:val="100"/>
          <w:sz w:val="21"/>
          <w:szCs w:val="21"/>
        </w:rPr>
        <w:t>项目名称及调整金额、由同一控制下企业合并产生的追溯</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调整等事项：无</w:t>
      </w:r>
    </w:p>
    <w:p>
      <w:pPr>
        <w:spacing w:line="240" w:lineRule="auto" w:before="4"/>
        <w:rPr>
          <w:rFonts w:ascii="宋体" w:hAnsi="宋体" w:cs="宋体" w:eastAsia="宋体" w:hint="default"/>
          <w:sz w:val="23"/>
          <w:szCs w:val="23"/>
        </w:rPr>
      </w:pPr>
    </w:p>
    <w:p>
      <w:pPr>
        <w:spacing w:line="496" w:lineRule="auto" w:before="0"/>
        <w:ind w:left="558" w:right="5455" w:firstLine="0"/>
        <w:jc w:val="left"/>
        <w:rPr>
          <w:rFonts w:ascii="宋体" w:hAnsi="宋体" w:cs="宋体" w:eastAsia="宋体" w:hint="default"/>
          <w:sz w:val="21"/>
          <w:szCs w:val="21"/>
        </w:rPr>
      </w:pPr>
      <w:r>
        <w:rPr>
          <w:rFonts w:ascii="宋体" w:hAnsi="宋体" w:cs="宋体" w:eastAsia="宋体" w:hint="default"/>
          <w:b/>
          <w:bCs/>
          <w:sz w:val="24"/>
          <w:szCs w:val="24"/>
        </w:rPr>
        <w:t>八、资产证券化业务的会计处理</w:t>
      </w:r>
      <w:r>
        <w:rPr>
          <w:rFonts w:ascii="宋体" w:hAnsi="宋体" w:cs="宋体" w:eastAsia="宋体" w:hint="default"/>
          <w:b/>
          <w:bCs/>
          <w:w w:val="99"/>
          <w:sz w:val="24"/>
          <w:szCs w:val="24"/>
        </w:rPr>
        <w:t> </w:t>
      </w:r>
      <w:r>
        <w:rPr>
          <w:rFonts w:ascii="宋体" w:hAnsi="宋体" w:cs="宋体" w:eastAsia="宋体" w:hint="default"/>
          <w:sz w:val="21"/>
          <w:szCs w:val="21"/>
        </w:rPr>
        <w:t>公司无资产证券化业务。</w:t>
      </w:r>
      <w:r>
        <w:rPr>
          <w:rFonts w:ascii="宋体" w:hAnsi="宋体" w:cs="宋体" w:eastAsia="宋体" w:hint="default"/>
          <w:w w:val="100"/>
          <w:sz w:val="21"/>
          <w:szCs w:val="21"/>
        </w:rPr>
        <w:t> </w:t>
      </w:r>
      <w:r>
        <w:rPr>
          <w:rFonts w:ascii="宋体" w:hAnsi="宋体" w:cs="宋体" w:eastAsia="宋体" w:hint="default"/>
          <w:b/>
          <w:bCs/>
          <w:sz w:val="24"/>
          <w:szCs w:val="24"/>
        </w:rPr>
        <w:t>九、关联方及关联交易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before="75"/>
        <w:ind w:left="558" w:right="0" w:firstLine="0"/>
        <w:jc w:val="left"/>
        <w:rPr>
          <w:rFonts w:ascii="宋体" w:hAnsi="宋体" w:cs="宋体" w:eastAsia="宋体" w:hint="default"/>
          <w:sz w:val="21"/>
          <w:szCs w:val="21"/>
        </w:rPr>
      </w:pPr>
      <w:r>
        <w:rPr>
          <w:rFonts w:ascii="宋体" w:hAnsi="宋体" w:cs="宋体" w:eastAsia="宋体" w:hint="default"/>
          <w:w w:val="100"/>
          <w:sz w:val="21"/>
          <w:szCs w:val="21"/>
        </w:rPr>
        <w:t>无</w:t>
      </w:r>
    </w:p>
    <w:p>
      <w:pPr>
        <w:spacing w:after="0"/>
        <w:jc w:val="left"/>
        <w:rPr>
          <w:rFonts w:ascii="宋体" w:hAnsi="宋体" w:cs="宋体" w:eastAsia="宋体" w:hint="default"/>
          <w:sz w:val="21"/>
          <w:szCs w:val="21"/>
        </w:rPr>
        <w:sectPr>
          <w:footerReference w:type="default" r:id="rId56"/>
          <w:pgSz w:w="11910" w:h="16840"/>
          <w:pgMar w:footer="1007" w:header="884" w:top="1160" w:bottom="1200" w:left="1240" w:right="1260"/>
          <w:pgNumType w:start="160"/>
        </w:sectPr>
      </w:pPr>
    </w:p>
    <w:p>
      <w:pPr>
        <w:tabs>
          <w:tab w:pos="4392" w:val="left" w:leader="none"/>
          <w:tab w:pos="7548" w:val="left" w:leader="none"/>
        </w:tabs>
        <w:spacing w:before="14"/>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北京超图软件股份有限公司</w:t>
        <w:tab/>
      </w:r>
      <w:r>
        <w:rPr>
          <w:rFonts w:ascii="Calibri" w:hAnsi="Calibri" w:cs="Calibri" w:eastAsia="Calibri" w:hint="default"/>
          <w:spacing w:val="-1"/>
          <w:sz w:val="21"/>
          <w:szCs w:val="21"/>
        </w:rPr>
        <w:t>300036</w:t>
        <w:tab/>
        <w:t>2012</w:t>
      </w:r>
      <w:r>
        <w:rPr>
          <w:rFonts w:ascii="Calibri" w:hAnsi="Calibri" w:cs="Calibri" w:eastAsia="Calibri" w:hint="default"/>
          <w:spacing w:val="15"/>
          <w:sz w:val="21"/>
          <w:szCs w:val="21"/>
        </w:rPr>
        <w:t> </w:t>
      </w:r>
      <w:r>
        <w:rPr>
          <w:rFonts w:ascii="宋体" w:hAnsi="宋体" w:cs="宋体" w:eastAsia="宋体" w:hint="default"/>
          <w:spacing w:val="-2"/>
          <w:sz w:val="21"/>
          <w:szCs w:val="21"/>
        </w:rPr>
        <w:t>年度报告</w:t>
      </w:r>
    </w:p>
    <w:p>
      <w:pPr>
        <w:spacing w:line="240" w:lineRule="auto" w:before="3"/>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23.75pt;height:.75pt;mso-position-horizontal-relative:char;mso-position-vertical-relative:line" coordorigin="0,0" coordsize="14475,15">
            <v:group style="position:absolute;left:7;top:7;width:14460;height:2" coordorigin="7,7" coordsize="14460,2">
              <v:shape style="position:absolute;left:7;top:7;width:14460;height:2" coordorigin="7,7" coordsize="14460,0" path="m7,7l1446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3"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731"/>
        <w:gridCol w:w="1279"/>
        <w:gridCol w:w="1419"/>
        <w:gridCol w:w="2837"/>
        <w:gridCol w:w="1272"/>
        <w:gridCol w:w="991"/>
        <w:gridCol w:w="1563"/>
        <w:gridCol w:w="706"/>
        <w:gridCol w:w="840"/>
        <w:gridCol w:w="1402"/>
      </w:tblGrid>
      <w:tr>
        <w:trPr>
          <w:trHeight w:val="634"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34" w:right="0"/>
              <w:jc w:val="left"/>
              <w:rPr>
                <w:rFonts w:ascii="宋体" w:hAnsi="宋体" w:cs="宋体" w:eastAsia="宋体" w:hint="default"/>
                <w:sz w:val="21"/>
                <w:szCs w:val="21"/>
              </w:rPr>
            </w:pPr>
            <w:r>
              <w:rPr>
                <w:rFonts w:ascii="宋体" w:hAnsi="宋体" w:cs="宋体" w:eastAsia="宋体" w:hint="default"/>
                <w:b/>
                <w:bCs/>
                <w:sz w:val="21"/>
                <w:szCs w:val="21"/>
              </w:rPr>
              <w:t>子公司全称</w:t>
            </w:r>
            <w:r>
              <w:rPr>
                <w:rFonts w:ascii="宋体" w:hAnsi="宋体" w:cs="宋体" w:eastAsia="宋体" w:hint="default"/>
                <w:sz w:val="21"/>
                <w:szCs w:val="21"/>
              </w:rPr>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107" w:right="0"/>
              <w:jc w:val="left"/>
              <w:rPr>
                <w:rFonts w:ascii="宋体" w:hAnsi="宋体" w:cs="宋体" w:eastAsia="宋体" w:hint="default"/>
                <w:sz w:val="21"/>
                <w:szCs w:val="21"/>
              </w:rPr>
            </w:pPr>
            <w:r>
              <w:rPr>
                <w:rFonts w:ascii="宋体" w:hAnsi="宋体" w:cs="宋体" w:eastAsia="宋体" w:hint="default"/>
                <w:b/>
                <w:bCs/>
                <w:sz w:val="21"/>
                <w:szCs w:val="21"/>
              </w:rPr>
              <w:t>子公司类型</w:t>
            </w:r>
            <w:r>
              <w:rPr>
                <w:rFonts w:ascii="宋体" w:hAnsi="宋体" w:cs="宋体" w:eastAsia="宋体" w:hint="default"/>
                <w:sz w:val="21"/>
                <w:szCs w:val="21"/>
              </w:rPr>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80" w:right="0"/>
              <w:jc w:val="left"/>
              <w:rPr>
                <w:rFonts w:ascii="宋体" w:hAnsi="宋体" w:cs="宋体" w:eastAsia="宋体" w:hint="default"/>
                <w:sz w:val="21"/>
                <w:szCs w:val="21"/>
              </w:rPr>
            </w:pPr>
            <w:r>
              <w:rPr>
                <w:rFonts w:ascii="宋体" w:hAnsi="宋体" w:cs="宋体" w:eastAsia="宋体" w:hint="default"/>
                <w:b/>
                <w:bCs/>
                <w:sz w:val="21"/>
                <w:szCs w:val="21"/>
              </w:rPr>
              <w:t>企业类型</w:t>
            </w:r>
            <w:r>
              <w:rPr>
                <w:rFonts w:ascii="宋体" w:hAnsi="宋体" w:cs="宋体" w:eastAsia="宋体" w:hint="default"/>
                <w:sz w:val="21"/>
                <w:szCs w:val="21"/>
              </w:rPr>
            </w:r>
          </w:p>
        </w:tc>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1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103" w:right="0"/>
              <w:jc w:val="left"/>
              <w:rPr>
                <w:rFonts w:ascii="宋体" w:hAnsi="宋体" w:cs="宋体" w:eastAsia="宋体" w:hint="default"/>
                <w:sz w:val="21"/>
                <w:szCs w:val="21"/>
              </w:rPr>
            </w:pPr>
            <w:r>
              <w:rPr>
                <w:rFonts w:ascii="宋体" w:hAnsi="宋体" w:cs="宋体" w:eastAsia="宋体" w:hint="default"/>
                <w:b/>
                <w:bCs/>
                <w:sz w:val="21"/>
                <w:szCs w:val="21"/>
              </w:rPr>
              <w:t>法定代表人</w:t>
            </w:r>
            <w:r>
              <w:rPr>
                <w:rFonts w:ascii="宋体" w:hAnsi="宋体" w:cs="宋体" w:eastAsia="宋体" w:hint="default"/>
                <w:sz w:val="21"/>
                <w:szCs w:val="21"/>
              </w:rPr>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69" w:right="0"/>
              <w:jc w:val="left"/>
              <w:rPr>
                <w:rFonts w:ascii="宋体" w:hAnsi="宋体" w:cs="宋体" w:eastAsia="宋体" w:hint="default"/>
                <w:sz w:val="21"/>
                <w:szCs w:val="21"/>
              </w:rPr>
            </w:pPr>
            <w:r>
              <w:rPr>
                <w:rFonts w:ascii="宋体" w:hAnsi="宋体" w:cs="宋体" w:eastAsia="宋体" w:hint="default"/>
                <w:b/>
                <w:bCs/>
                <w:sz w:val="21"/>
                <w:szCs w:val="21"/>
              </w:rPr>
              <w:t>业务性质</w:t>
            </w:r>
            <w:r>
              <w:rPr>
                <w:rFonts w:ascii="宋体" w:hAnsi="宋体" w:cs="宋体" w:eastAsia="宋体" w:hint="default"/>
                <w:sz w:val="21"/>
                <w:szCs w:val="21"/>
              </w:rPr>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55"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98" w:right="31" w:hanging="70"/>
              <w:jc w:val="left"/>
              <w:rPr>
                <w:rFonts w:ascii="Calibri" w:hAnsi="Calibri" w:cs="Calibri" w:eastAsia="Calibri" w:hint="default"/>
                <w:sz w:val="21"/>
                <w:szCs w:val="21"/>
              </w:rPr>
            </w:pPr>
            <w:r>
              <w:rPr>
                <w:rFonts w:ascii="宋体" w:hAnsi="宋体" w:cs="宋体" w:eastAsia="宋体" w:hint="default"/>
                <w:b/>
                <w:bCs/>
                <w:sz w:val="21"/>
                <w:szCs w:val="21"/>
              </w:rPr>
              <w:t>持股比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Calibri" w:hAnsi="Calibri" w:cs="Calibri" w:eastAsia="Calibri" w:hint="default"/>
                <w:b/>
                <w:bCs/>
                <w:sz w:val="21"/>
                <w:szCs w:val="21"/>
              </w:rPr>
              <w:t>(%)</w:t>
            </w:r>
            <w:r>
              <w:rPr>
                <w:rFonts w:ascii="Calibri" w:hAnsi="Calibri" w:cs="Calibri" w:eastAsia="Calibri" w:hint="default"/>
                <w:sz w:val="21"/>
                <w:szCs w:val="21"/>
              </w:rPr>
            </w:r>
          </w:p>
        </w:tc>
        <w:tc>
          <w:tcPr>
            <w:tcW w:w="8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62" w:right="56" w:firstLine="36"/>
              <w:jc w:val="left"/>
              <w:rPr>
                <w:rFonts w:ascii="Calibri" w:hAnsi="Calibri" w:cs="Calibri" w:eastAsia="Calibri" w:hint="default"/>
                <w:sz w:val="21"/>
                <w:szCs w:val="21"/>
              </w:rPr>
            </w:pPr>
            <w:r>
              <w:rPr>
                <w:rFonts w:ascii="宋体" w:hAnsi="宋体" w:cs="宋体" w:eastAsia="宋体" w:hint="default"/>
                <w:b/>
                <w:bCs/>
                <w:sz w:val="21"/>
                <w:szCs w:val="21"/>
              </w:rPr>
              <w:t>表决权</w:t>
            </w:r>
            <w:r>
              <w:rPr>
                <w:rFonts w:ascii="宋体" w:hAnsi="宋体" w:cs="宋体" w:eastAsia="宋体" w:hint="default"/>
                <w:b/>
                <w:bCs/>
                <w:w w:val="100"/>
                <w:sz w:val="21"/>
                <w:szCs w:val="21"/>
              </w:rPr>
              <w:t> </w:t>
            </w:r>
            <w:r>
              <w:rPr>
                <w:rFonts w:ascii="宋体" w:hAnsi="宋体" w:cs="宋体" w:eastAsia="宋体" w:hint="default"/>
                <w:b/>
                <w:bCs/>
                <w:sz w:val="21"/>
                <w:szCs w:val="21"/>
              </w:rPr>
              <w:t>比例</w:t>
            </w:r>
            <w:r>
              <w:rPr>
                <w:rFonts w:ascii="Calibri" w:hAnsi="Calibri" w:cs="Calibri" w:eastAsia="Calibri" w:hint="default"/>
                <w:b/>
                <w:bCs/>
                <w:sz w:val="21"/>
                <w:szCs w:val="21"/>
              </w:rPr>
              <w:t>(%)</w:t>
            </w:r>
            <w:r>
              <w:rPr>
                <w:rFonts w:ascii="Calibri" w:hAnsi="Calibri" w:cs="Calibri" w:eastAsia="Calibri" w:hint="default"/>
                <w:sz w:val="21"/>
                <w:szCs w:val="21"/>
              </w:rPr>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59" w:right="0"/>
              <w:jc w:val="left"/>
              <w:rPr>
                <w:rFonts w:ascii="宋体" w:hAnsi="宋体" w:cs="宋体" w:eastAsia="宋体" w:hint="default"/>
                <w:sz w:val="21"/>
                <w:szCs w:val="21"/>
              </w:rPr>
            </w:pPr>
            <w:r>
              <w:rPr>
                <w:rFonts w:ascii="宋体" w:hAnsi="宋体" w:cs="宋体" w:eastAsia="宋体" w:hint="default"/>
                <w:b/>
                <w:bCs/>
                <w:sz w:val="21"/>
                <w:szCs w:val="21"/>
              </w:rPr>
              <w:t>组织机构代码</w:t>
            </w:r>
            <w:r>
              <w:rPr>
                <w:rFonts w:ascii="宋体" w:hAnsi="宋体" w:cs="宋体" w:eastAsia="宋体" w:hint="default"/>
                <w:sz w:val="21"/>
                <w:szCs w:val="21"/>
              </w:rPr>
            </w:r>
          </w:p>
        </w:tc>
      </w:tr>
      <w:tr>
        <w:trPr>
          <w:trHeight w:val="637"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21"/>
              <w:jc w:val="left"/>
              <w:rPr>
                <w:rFonts w:ascii="宋体" w:hAnsi="宋体" w:cs="宋体" w:eastAsia="宋体" w:hint="default"/>
                <w:sz w:val="21"/>
                <w:szCs w:val="21"/>
              </w:rPr>
            </w:pPr>
            <w:r>
              <w:rPr>
                <w:rFonts w:ascii="宋体" w:hAnsi="宋体" w:cs="宋体" w:eastAsia="宋体" w:hint="default"/>
                <w:sz w:val="21"/>
                <w:szCs w:val="21"/>
              </w:rPr>
              <w:t>北京超图信息技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术有限公司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3"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3" w:right="0"/>
              <w:jc w:val="left"/>
              <w:rPr>
                <w:rFonts w:ascii="Calibri" w:hAnsi="Calibri" w:cs="Calibri" w:eastAsia="Calibri" w:hint="default"/>
                <w:sz w:val="21"/>
                <w:szCs w:val="21"/>
              </w:rPr>
            </w:pPr>
            <w:r>
              <w:rPr>
                <w:rFonts w:ascii="宋体" w:hAnsi="宋体" w:cs="宋体" w:eastAsia="宋体" w:hint="default"/>
                <w:sz w:val="21"/>
                <w:szCs w:val="21"/>
              </w:rPr>
              <w:t>北京市朝阳区安翔北里甲</w:t>
            </w:r>
            <w:r>
              <w:rPr>
                <w:rFonts w:ascii="宋体" w:hAnsi="宋体" w:cs="宋体" w:eastAsia="宋体" w:hint="default"/>
                <w:spacing w:val="-56"/>
                <w:sz w:val="21"/>
                <w:szCs w:val="21"/>
              </w:rPr>
              <w:t> </w:t>
            </w:r>
            <w:r>
              <w:rPr>
                <w:rFonts w:ascii="Calibri" w:hAnsi="Calibri" w:cs="Calibri" w:eastAsia="Calibri" w:hint="default"/>
                <w:sz w:val="21"/>
                <w:szCs w:val="21"/>
              </w:rPr>
              <w:t>11</w:t>
            </w:r>
          </w:p>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号院</w:t>
            </w:r>
            <w:r>
              <w:rPr>
                <w:rFonts w:ascii="宋体" w:hAnsi="宋体" w:cs="宋体" w:eastAsia="宋体" w:hint="default"/>
                <w:spacing w:val="-55"/>
                <w:sz w:val="21"/>
                <w:szCs w:val="21"/>
              </w:rPr>
              <w:t> </w:t>
            </w: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号楼</w:t>
            </w:r>
            <w:r>
              <w:rPr>
                <w:rFonts w:ascii="宋体" w:hAnsi="宋体" w:cs="宋体" w:eastAsia="宋体" w:hint="default"/>
                <w:spacing w:val="-55"/>
                <w:sz w:val="21"/>
                <w:szCs w:val="21"/>
              </w:rPr>
              <w:t> </w:t>
            </w:r>
            <w:r>
              <w:rPr>
                <w:rFonts w:ascii="Calibri" w:hAnsi="Calibri" w:cs="Calibri" w:eastAsia="Calibri" w:hint="default"/>
                <w:sz w:val="21"/>
                <w:szCs w:val="21"/>
              </w:rPr>
              <w:t>1310</w:t>
            </w:r>
            <w:r>
              <w:rPr>
                <w:rFonts w:ascii="Calibri" w:hAnsi="Calibri" w:cs="Calibri" w:eastAsia="Calibri" w:hint="default"/>
                <w:spacing w:val="6"/>
                <w:sz w:val="21"/>
                <w:szCs w:val="21"/>
              </w:rPr>
              <w:t> </w:t>
            </w:r>
            <w:r>
              <w:rPr>
                <w:rFonts w:ascii="宋体" w:hAnsi="宋体" w:cs="宋体" w:eastAsia="宋体" w:hint="default"/>
                <w:sz w:val="21"/>
                <w:szCs w:val="21"/>
              </w:rPr>
              <w:t>室</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1" w:right="0"/>
              <w:jc w:val="left"/>
              <w:rPr>
                <w:rFonts w:ascii="宋体" w:hAnsi="宋体" w:cs="宋体" w:eastAsia="宋体" w:hint="default"/>
                <w:sz w:val="21"/>
                <w:szCs w:val="21"/>
              </w:rPr>
            </w:pPr>
            <w:r>
              <w:rPr>
                <w:rFonts w:ascii="宋体" w:hAnsi="宋体" w:cs="宋体" w:eastAsia="宋体" w:hint="default"/>
                <w:sz w:val="21"/>
                <w:szCs w:val="21"/>
              </w:rPr>
              <w:t>王尔琪</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15"/>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spacing w:val="-3"/>
                <w:w w:val="100"/>
                <w:sz w:val="21"/>
                <w:szCs w:val="21"/>
              </w:rPr>
              <w:t> </w:t>
            </w:r>
            <w:r>
              <w:rPr>
                <w:rFonts w:ascii="宋体" w:hAnsi="宋体" w:cs="宋体" w:eastAsia="宋体" w:hint="default"/>
                <w:sz w:val="21"/>
                <w:szCs w:val="21"/>
              </w:rPr>
              <w:t>销售</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Calibri" w:hAnsi="Calibri" w:cs="Calibri" w:eastAsia="Calibri" w:hint="default"/>
                <w:sz w:val="21"/>
                <w:szCs w:val="21"/>
              </w:rPr>
            </w:pPr>
            <w:r>
              <w:rPr>
                <w:rFonts w:ascii="Calibri"/>
                <w:sz w:val="21"/>
              </w:rPr>
              <w:t>5,000,000.00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100%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100%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1" w:right="0"/>
              <w:jc w:val="left"/>
              <w:rPr>
                <w:rFonts w:ascii="Calibri" w:hAnsi="Calibri" w:cs="Calibri" w:eastAsia="Calibri" w:hint="default"/>
                <w:sz w:val="21"/>
                <w:szCs w:val="21"/>
              </w:rPr>
            </w:pPr>
            <w:r>
              <w:rPr>
                <w:rFonts w:ascii="Calibri"/>
                <w:sz w:val="21"/>
              </w:rPr>
              <w:t>79162517-X</w:t>
            </w:r>
          </w:p>
        </w:tc>
      </w:tr>
      <w:tr>
        <w:trPr>
          <w:trHeight w:val="634"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21"/>
              <w:jc w:val="left"/>
              <w:rPr>
                <w:rFonts w:ascii="宋体" w:hAnsi="宋体" w:cs="宋体" w:eastAsia="宋体" w:hint="default"/>
                <w:sz w:val="21"/>
                <w:szCs w:val="21"/>
              </w:rPr>
            </w:pPr>
            <w:r>
              <w:rPr>
                <w:rFonts w:ascii="宋体" w:hAnsi="宋体" w:cs="宋体" w:eastAsia="宋体" w:hint="default"/>
                <w:sz w:val="21"/>
                <w:szCs w:val="21"/>
              </w:rPr>
              <w:t>超图国际有限公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香港中环轩尼诗道世界广场</w:t>
            </w:r>
          </w:p>
          <w:p>
            <w:pPr>
              <w:pStyle w:val="TableParagraph"/>
              <w:spacing w:line="240" w:lineRule="auto" w:before="37"/>
              <w:ind w:left="23" w:right="0"/>
              <w:jc w:val="left"/>
              <w:rPr>
                <w:rFonts w:ascii="宋体" w:hAnsi="宋体" w:cs="宋体" w:eastAsia="宋体" w:hint="default"/>
                <w:sz w:val="21"/>
                <w:szCs w:val="21"/>
              </w:rPr>
            </w:pPr>
            <w:r>
              <w:rPr>
                <w:rFonts w:ascii="Calibri" w:hAnsi="Calibri" w:cs="Calibri" w:eastAsia="Calibri" w:hint="default"/>
                <w:sz w:val="21"/>
                <w:szCs w:val="21"/>
              </w:rPr>
              <w:t>2305</w:t>
            </w:r>
            <w:r>
              <w:rPr>
                <w:rFonts w:ascii="Calibri" w:hAnsi="Calibri" w:cs="Calibri" w:eastAsia="Calibri" w:hint="default"/>
                <w:spacing w:val="5"/>
                <w:sz w:val="21"/>
                <w:szCs w:val="21"/>
              </w:rPr>
              <w:t> </w:t>
            </w:r>
            <w:r>
              <w:rPr>
                <w:rFonts w:ascii="宋体" w:hAnsi="宋体" w:cs="宋体" w:eastAsia="宋体" w:hint="default"/>
                <w:sz w:val="21"/>
                <w:szCs w:val="21"/>
              </w:rPr>
              <w:t>室</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钟耳顺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13"/>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w w:val="100"/>
                <w:sz w:val="21"/>
                <w:szCs w:val="21"/>
              </w:rPr>
              <w:t> </w:t>
            </w:r>
            <w:r>
              <w:rPr>
                <w:rFonts w:ascii="宋体" w:hAnsi="宋体" w:cs="宋体" w:eastAsia="宋体" w:hint="default"/>
                <w:sz w:val="21"/>
                <w:szCs w:val="21"/>
              </w:rPr>
              <w:t>销售</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港币</w:t>
            </w:r>
          </w:p>
          <w:p>
            <w:pPr>
              <w:pStyle w:val="TableParagraph"/>
              <w:spacing w:line="240" w:lineRule="auto" w:before="77"/>
              <w:ind w:left="23" w:right="0"/>
              <w:jc w:val="left"/>
              <w:rPr>
                <w:rFonts w:ascii="Calibri" w:hAnsi="Calibri" w:cs="Calibri" w:eastAsia="Calibri" w:hint="default"/>
                <w:sz w:val="21"/>
                <w:szCs w:val="21"/>
              </w:rPr>
            </w:pPr>
            <w:r>
              <w:rPr>
                <w:rFonts w:ascii="Calibri"/>
                <w:sz w:val="21"/>
              </w:rPr>
              <w:t>4,500,000.00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100%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100%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Calibri" w:hAnsi="Calibri" w:cs="Calibri" w:eastAsia="Calibri" w:hint="default"/>
                <w:sz w:val="21"/>
                <w:szCs w:val="21"/>
              </w:rPr>
            </w:pPr>
            <w:r>
              <w:rPr>
                <w:rFonts w:ascii="Calibri"/>
                <w:sz w:val="21"/>
              </w:rPr>
              <w:t>1097822</w:t>
            </w:r>
          </w:p>
        </w:tc>
      </w:tr>
      <w:tr>
        <w:trPr>
          <w:trHeight w:val="634"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21"/>
              <w:jc w:val="left"/>
              <w:rPr>
                <w:rFonts w:ascii="宋体" w:hAnsi="宋体" w:cs="宋体" w:eastAsia="宋体" w:hint="default"/>
                <w:sz w:val="21"/>
                <w:szCs w:val="21"/>
              </w:rPr>
            </w:pPr>
            <w:r>
              <w:rPr>
                <w:rFonts w:ascii="宋体" w:hAnsi="宋体" w:cs="宋体" w:eastAsia="宋体" w:hint="default"/>
                <w:sz w:val="21"/>
                <w:szCs w:val="21"/>
              </w:rPr>
              <w:t>日本超图株式会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社</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控股子公司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2837"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Calibri" w:hAnsi="Calibri" w:cs="Calibri" w:eastAsia="Calibri" w:hint="default"/>
                <w:sz w:val="21"/>
                <w:szCs w:val="21"/>
              </w:rPr>
            </w:pPr>
            <w:r>
              <w:rPr>
                <w:rFonts w:ascii="宋体" w:hAnsi="宋体" w:cs="宋体" w:eastAsia="宋体" w:hint="default"/>
                <w:sz w:val="21"/>
                <w:szCs w:val="21"/>
              </w:rPr>
              <w:t>日本东京都港区芝二丁目</w:t>
            </w:r>
            <w:r>
              <w:rPr>
                <w:rFonts w:ascii="宋体" w:hAnsi="宋体" w:cs="宋体" w:eastAsia="宋体" w:hint="default"/>
                <w:spacing w:val="-56"/>
                <w:sz w:val="21"/>
                <w:szCs w:val="21"/>
              </w:rPr>
              <w:t> </w:t>
            </w:r>
            <w:r>
              <w:rPr>
                <w:rFonts w:ascii="Calibri" w:hAnsi="Calibri" w:cs="Calibri" w:eastAsia="Calibri" w:hint="default"/>
                <w:sz w:val="21"/>
                <w:szCs w:val="21"/>
              </w:rPr>
              <w:t>13</w:t>
            </w:r>
          </w:p>
          <w:p>
            <w:pPr>
              <w:pStyle w:val="TableParagraph"/>
              <w:spacing w:line="240" w:lineRule="auto" w:before="10"/>
              <w:ind w:left="23" w:right="0"/>
              <w:jc w:val="left"/>
              <w:rPr>
                <w:rFonts w:ascii="宋体" w:hAnsi="宋体" w:cs="宋体" w:eastAsia="宋体" w:hint="default"/>
                <w:sz w:val="21"/>
                <w:szCs w:val="21"/>
              </w:rPr>
            </w:pPr>
            <w:r>
              <w:rPr>
                <w:rFonts w:ascii="宋体" w:hAnsi="宋体" w:cs="宋体" w:eastAsia="宋体" w:hint="default"/>
                <w:sz w:val="21"/>
                <w:szCs w:val="21"/>
              </w:rPr>
              <w:t>番</w:t>
            </w:r>
            <w:r>
              <w:rPr>
                <w:rFonts w:ascii="宋体" w:hAnsi="宋体" w:cs="宋体" w:eastAsia="宋体" w:hint="default"/>
                <w:spacing w:val="-52"/>
                <w:sz w:val="21"/>
                <w:szCs w:val="21"/>
              </w:rPr>
              <w:t> </w:t>
            </w:r>
            <w:r>
              <w:rPr>
                <w:rFonts w:ascii="Calibri" w:hAnsi="Calibri" w:cs="Calibri" w:eastAsia="Calibri" w:hint="default"/>
                <w:sz w:val="21"/>
                <w:szCs w:val="21"/>
              </w:rPr>
              <w:t>4</w:t>
            </w:r>
            <w:r>
              <w:rPr>
                <w:rFonts w:ascii="Calibri" w:hAnsi="Calibri" w:cs="Calibri" w:eastAsia="Calibri" w:hint="default"/>
                <w:spacing w:val="4"/>
                <w:sz w:val="21"/>
                <w:szCs w:val="21"/>
              </w:rPr>
              <w:t> </w:t>
            </w:r>
            <w:r>
              <w:rPr>
                <w:rFonts w:ascii="宋体" w:hAnsi="宋体" w:cs="宋体" w:eastAsia="宋体" w:hint="default"/>
                <w:sz w:val="21"/>
                <w:szCs w:val="21"/>
              </w:rPr>
              <w:t>号</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林秋博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13"/>
              <w:jc w:val="left"/>
              <w:rPr>
                <w:rFonts w:ascii="宋体" w:hAnsi="宋体" w:cs="宋体" w:eastAsia="宋体" w:hint="default"/>
                <w:sz w:val="21"/>
                <w:szCs w:val="21"/>
              </w:rPr>
            </w:pPr>
            <w:r>
              <w:rPr>
                <w:rFonts w:ascii="宋体" w:hAnsi="宋体" w:cs="宋体" w:eastAsia="宋体" w:hint="default"/>
                <w:sz w:val="21"/>
                <w:szCs w:val="21"/>
              </w:rPr>
              <w:t>软件开发</w:t>
            </w:r>
            <w:r>
              <w:rPr>
                <w:rFonts w:ascii="宋体" w:hAnsi="宋体" w:cs="宋体" w:eastAsia="宋体" w:hint="default"/>
                <w:w w:val="100"/>
                <w:sz w:val="21"/>
                <w:szCs w:val="21"/>
              </w:rPr>
              <w:t> </w:t>
            </w:r>
            <w:r>
              <w:rPr>
                <w:rFonts w:ascii="宋体" w:hAnsi="宋体" w:cs="宋体" w:eastAsia="宋体" w:hint="default"/>
                <w:sz w:val="21"/>
                <w:szCs w:val="21"/>
              </w:rPr>
              <w:t>销售</w:t>
            </w:r>
          </w:p>
        </w:tc>
        <w:tc>
          <w:tcPr>
            <w:tcW w:w="156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日元</w:t>
            </w:r>
          </w:p>
          <w:p>
            <w:pPr>
              <w:pStyle w:val="TableParagraph"/>
              <w:spacing w:line="240" w:lineRule="auto" w:before="77"/>
              <w:ind w:left="23" w:right="0"/>
              <w:jc w:val="left"/>
              <w:rPr>
                <w:rFonts w:ascii="Calibri" w:hAnsi="Calibri" w:cs="Calibri" w:eastAsia="Calibri" w:hint="default"/>
                <w:sz w:val="21"/>
                <w:szCs w:val="21"/>
              </w:rPr>
            </w:pPr>
            <w:r>
              <w:rPr>
                <w:rFonts w:ascii="Calibri"/>
                <w:sz w:val="21"/>
              </w:rPr>
              <w:t>236,200,000.00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36.6%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51.69%</w:t>
            </w:r>
          </w:p>
        </w:tc>
        <w:tc>
          <w:tcPr>
            <w:tcW w:w="14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、本企业的合营和联营企业情况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3"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731"/>
        <w:gridCol w:w="1070"/>
        <w:gridCol w:w="1623"/>
        <w:gridCol w:w="1186"/>
        <w:gridCol w:w="1404"/>
        <w:gridCol w:w="1404"/>
        <w:gridCol w:w="1406"/>
        <w:gridCol w:w="1832"/>
        <w:gridCol w:w="977"/>
        <w:gridCol w:w="1407"/>
      </w:tblGrid>
      <w:tr>
        <w:trPr>
          <w:trHeight w:val="634" w:hRule="exact"/>
        </w:trPr>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122" w:right="0"/>
              <w:jc w:val="left"/>
              <w:rPr>
                <w:rFonts w:ascii="宋体" w:hAnsi="宋体" w:cs="宋体" w:eastAsia="宋体" w:hint="default"/>
                <w:sz w:val="21"/>
                <w:szCs w:val="21"/>
              </w:rPr>
            </w:pPr>
            <w:r>
              <w:rPr>
                <w:rFonts w:ascii="宋体" w:hAnsi="宋体" w:cs="宋体" w:eastAsia="宋体" w:hint="default"/>
                <w:b/>
                <w:bCs/>
                <w:sz w:val="21"/>
                <w:szCs w:val="21"/>
              </w:rPr>
              <w:t>被投资单位名称</w:t>
            </w:r>
            <w:r>
              <w:rPr>
                <w:rFonts w:ascii="宋体" w:hAnsi="宋体" w:cs="宋体" w:eastAsia="宋体" w:hint="default"/>
                <w:sz w:val="21"/>
                <w:szCs w:val="21"/>
              </w:rPr>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105" w:right="0"/>
              <w:jc w:val="left"/>
              <w:rPr>
                <w:rFonts w:ascii="宋体" w:hAnsi="宋体" w:cs="宋体" w:eastAsia="宋体" w:hint="default"/>
                <w:sz w:val="21"/>
                <w:szCs w:val="21"/>
              </w:rPr>
            </w:pPr>
            <w:r>
              <w:rPr>
                <w:rFonts w:ascii="宋体" w:hAnsi="宋体" w:cs="宋体" w:eastAsia="宋体" w:hint="default"/>
                <w:b/>
                <w:bCs/>
                <w:sz w:val="21"/>
                <w:szCs w:val="21"/>
              </w:rPr>
              <w:t>企业类型</w:t>
            </w:r>
            <w:r>
              <w:rPr>
                <w:rFonts w:ascii="宋体" w:hAnsi="宋体" w:cs="宋体" w:eastAsia="宋体" w:hint="default"/>
                <w:sz w:val="21"/>
                <w:szCs w:val="21"/>
              </w:rPr>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87" w:right="0"/>
              <w:jc w:val="lef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57" w:right="0"/>
              <w:jc w:val="left"/>
              <w:rPr>
                <w:rFonts w:ascii="宋体" w:hAnsi="宋体" w:cs="宋体" w:eastAsia="宋体" w:hint="default"/>
                <w:sz w:val="21"/>
                <w:szCs w:val="21"/>
              </w:rPr>
            </w:pPr>
            <w:r>
              <w:rPr>
                <w:rFonts w:ascii="宋体" w:hAnsi="宋体" w:cs="宋体" w:eastAsia="宋体" w:hint="default"/>
                <w:b/>
                <w:bCs/>
                <w:sz w:val="21"/>
                <w:szCs w:val="21"/>
              </w:rPr>
              <w:t>法定代表人</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73" w:right="0"/>
              <w:jc w:val="left"/>
              <w:rPr>
                <w:rFonts w:ascii="宋体" w:hAnsi="宋体" w:cs="宋体" w:eastAsia="宋体" w:hint="default"/>
                <w:sz w:val="21"/>
                <w:szCs w:val="21"/>
              </w:rPr>
            </w:pPr>
            <w:r>
              <w:rPr>
                <w:rFonts w:ascii="宋体" w:hAnsi="宋体" w:cs="宋体" w:eastAsia="宋体" w:hint="default"/>
                <w:b/>
                <w:bCs/>
                <w:sz w:val="21"/>
                <w:szCs w:val="21"/>
              </w:rPr>
              <w:t>业务性质</w:t>
            </w:r>
            <w:r>
              <w:rPr>
                <w:rFonts w:ascii="宋体" w:hAnsi="宋体" w:cs="宋体" w:eastAsia="宋体" w:hint="default"/>
                <w:sz w:val="21"/>
                <w:szCs w:val="21"/>
              </w:rPr>
            </w:r>
          </w:p>
        </w:tc>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 w:right="0"/>
              <w:jc w:val="center"/>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51" w:right="60" w:hanging="384"/>
              <w:jc w:val="left"/>
              <w:rPr>
                <w:rFonts w:ascii="Calibri" w:hAnsi="Calibri" w:cs="Calibri" w:eastAsia="Calibri" w:hint="default"/>
                <w:sz w:val="21"/>
                <w:szCs w:val="21"/>
              </w:rPr>
            </w:pPr>
            <w:r>
              <w:rPr>
                <w:rFonts w:ascii="宋体" w:hAnsi="宋体" w:cs="宋体" w:eastAsia="宋体" w:hint="default"/>
                <w:b/>
                <w:bCs/>
                <w:sz w:val="21"/>
                <w:szCs w:val="21"/>
              </w:rPr>
              <w:t>本企业持股比</w:t>
            </w:r>
            <w:r>
              <w:rPr>
                <w:rFonts w:ascii="宋体" w:hAnsi="宋体" w:cs="宋体" w:eastAsia="宋体" w:hint="default"/>
                <w:b/>
                <w:bCs/>
                <w:spacing w:val="-104"/>
                <w:sz w:val="21"/>
                <w:szCs w:val="21"/>
              </w:rPr>
              <w:t> </w:t>
            </w:r>
            <w:r>
              <w:rPr>
                <w:rFonts w:ascii="宋体" w:hAnsi="宋体" w:cs="宋体" w:eastAsia="宋体" w:hint="default"/>
                <w:b/>
                <w:bCs/>
                <w:sz w:val="21"/>
                <w:szCs w:val="21"/>
              </w:rPr>
              <w:t>例</w:t>
            </w:r>
            <w:r>
              <w:rPr>
                <w:rFonts w:ascii="Calibri" w:hAnsi="Calibri" w:cs="Calibri" w:eastAsia="Calibri" w:hint="default"/>
                <w:b/>
                <w:bCs/>
                <w:sz w:val="21"/>
                <w:szCs w:val="21"/>
              </w:rPr>
              <w:t>(%)</w:t>
            </w:r>
            <w:r>
              <w:rPr>
                <w:rFonts w:ascii="Calibri" w:hAnsi="Calibri" w:cs="Calibri" w:eastAsia="Calibri" w:hint="default"/>
                <w:sz w:val="21"/>
                <w:szCs w:val="21"/>
              </w:rPr>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36" w:right="63" w:hanging="70"/>
              <w:jc w:val="left"/>
              <w:rPr>
                <w:rFonts w:ascii="Calibri" w:hAnsi="Calibri" w:cs="Calibri" w:eastAsia="Calibri" w:hint="default"/>
                <w:sz w:val="21"/>
                <w:szCs w:val="21"/>
              </w:rPr>
            </w:pPr>
            <w:r>
              <w:rPr>
                <w:rFonts w:ascii="宋体" w:hAnsi="宋体" w:cs="宋体" w:eastAsia="宋体" w:hint="default"/>
                <w:b/>
                <w:bCs/>
                <w:sz w:val="21"/>
                <w:szCs w:val="21"/>
              </w:rPr>
              <w:t>本企业在被投资单</w:t>
            </w:r>
            <w:r>
              <w:rPr>
                <w:rFonts w:ascii="宋体" w:hAnsi="宋体" w:cs="宋体" w:eastAsia="宋体" w:hint="default"/>
                <w:b/>
                <w:bCs/>
                <w:spacing w:val="-103"/>
                <w:sz w:val="21"/>
                <w:szCs w:val="21"/>
              </w:rPr>
              <w:t> </w:t>
            </w:r>
            <w:r>
              <w:rPr>
                <w:rFonts w:ascii="宋体" w:hAnsi="宋体" w:cs="宋体" w:eastAsia="宋体" w:hint="default"/>
                <w:b/>
                <w:bCs/>
                <w:sz w:val="21"/>
                <w:szCs w:val="21"/>
              </w:rPr>
              <w:t>位表决权比例</w:t>
            </w:r>
            <w:r>
              <w:rPr>
                <w:rFonts w:ascii="Calibri" w:hAnsi="Calibri" w:cs="Calibri" w:eastAsia="Calibri" w:hint="default"/>
                <w:b/>
                <w:bCs/>
                <w:sz w:val="21"/>
                <w:szCs w:val="21"/>
              </w:rPr>
              <w:t>(%)</w:t>
            </w:r>
            <w:r>
              <w:rPr>
                <w:rFonts w:ascii="Calibri" w:hAnsi="Calibri" w:cs="Calibri" w:eastAsia="Calibri" w:hint="default"/>
                <w:sz w:val="21"/>
                <w:szCs w:val="21"/>
              </w:rPr>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60" w:right="0"/>
              <w:jc w:val="left"/>
              <w:rPr>
                <w:rFonts w:ascii="宋体" w:hAnsi="宋体" w:cs="宋体" w:eastAsia="宋体" w:hint="default"/>
                <w:sz w:val="21"/>
                <w:szCs w:val="21"/>
              </w:rPr>
            </w:pPr>
            <w:r>
              <w:rPr>
                <w:rFonts w:ascii="宋体" w:hAnsi="宋体" w:cs="宋体" w:eastAsia="宋体" w:hint="default"/>
                <w:b/>
                <w:bCs/>
                <w:sz w:val="21"/>
                <w:szCs w:val="21"/>
              </w:rPr>
              <w:t>关联关系</w:t>
            </w:r>
            <w:r>
              <w:rPr>
                <w:rFonts w:ascii="宋体" w:hAnsi="宋体" w:cs="宋体" w:eastAsia="宋体" w:hint="default"/>
                <w:sz w:val="21"/>
                <w:szCs w:val="21"/>
              </w:rPr>
            </w:r>
          </w:p>
        </w:tc>
        <w:tc>
          <w:tcPr>
            <w:tcW w:w="1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64" w:right="0"/>
              <w:jc w:val="left"/>
              <w:rPr>
                <w:rFonts w:ascii="宋体" w:hAnsi="宋体" w:cs="宋体" w:eastAsia="宋体" w:hint="default"/>
                <w:sz w:val="21"/>
                <w:szCs w:val="21"/>
              </w:rPr>
            </w:pPr>
            <w:r>
              <w:rPr>
                <w:rFonts w:ascii="宋体" w:hAnsi="宋体" w:cs="宋体" w:eastAsia="宋体" w:hint="default"/>
                <w:b/>
                <w:bCs/>
                <w:sz w:val="21"/>
                <w:szCs w:val="21"/>
              </w:rPr>
              <w:t>组织机构代码</w:t>
            </w:r>
            <w:r>
              <w:rPr>
                <w:rFonts w:ascii="宋体" w:hAnsi="宋体" w:cs="宋体" w:eastAsia="宋体" w:hint="default"/>
                <w:sz w:val="21"/>
                <w:szCs w:val="21"/>
              </w:rPr>
            </w:r>
          </w:p>
        </w:tc>
      </w:tr>
      <w:tr>
        <w:trPr>
          <w:trHeight w:val="322" w:hRule="exact"/>
        </w:trPr>
        <w:tc>
          <w:tcPr>
            <w:tcW w:w="1404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322" w:hRule="exact"/>
        </w:trPr>
        <w:tc>
          <w:tcPr>
            <w:tcW w:w="1404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r>
        <w:trPr>
          <w:trHeight w:val="634"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21"/>
              <w:jc w:val="left"/>
              <w:rPr>
                <w:rFonts w:ascii="宋体" w:hAnsi="宋体" w:cs="宋体" w:eastAsia="宋体" w:hint="default"/>
                <w:sz w:val="21"/>
                <w:szCs w:val="21"/>
              </w:rPr>
            </w:pPr>
            <w:r>
              <w:rPr>
                <w:rFonts w:ascii="宋体" w:hAnsi="宋体" w:cs="宋体" w:eastAsia="宋体" w:hint="default"/>
                <w:sz w:val="21"/>
                <w:szCs w:val="21"/>
              </w:rPr>
              <w:t>浙江中科数城软</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件有限公司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有限责任</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16"/>
              <w:jc w:val="left"/>
              <w:rPr>
                <w:rFonts w:ascii="宋体" w:hAnsi="宋体" w:cs="宋体" w:eastAsia="宋体" w:hint="default"/>
                <w:sz w:val="21"/>
                <w:szCs w:val="21"/>
              </w:rPr>
            </w:pPr>
            <w:r>
              <w:rPr>
                <w:rFonts w:ascii="宋体" w:hAnsi="宋体" w:cs="宋体" w:eastAsia="宋体" w:hint="default"/>
                <w:sz w:val="21"/>
                <w:szCs w:val="21"/>
              </w:rPr>
              <w:t>宁波高新区江南</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路</w:t>
            </w:r>
            <w:r>
              <w:rPr>
                <w:rFonts w:ascii="宋体" w:hAnsi="宋体" w:cs="宋体" w:eastAsia="宋体" w:hint="default"/>
                <w:spacing w:val="-53"/>
                <w:sz w:val="21"/>
                <w:szCs w:val="21"/>
              </w:rPr>
              <w:t> </w:t>
            </w:r>
            <w:r>
              <w:rPr>
                <w:rFonts w:ascii="Calibri" w:hAnsi="Calibri" w:cs="Calibri" w:eastAsia="Calibri" w:hint="default"/>
                <w:sz w:val="21"/>
                <w:szCs w:val="21"/>
              </w:rPr>
              <w:t>599</w:t>
            </w:r>
            <w:r>
              <w:rPr>
                <w:rFonts w:ascii="Calibri" w:hAnsi="Calibri" w:cs="Calibri" w:eastAsia="Calibri" w:hint="default"/>
                <w:spacing w:val="6"/>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Calibri" w:hAnsi="Calibri" w:cs="Calibri" w:eastAsia="Calibri" w:hint="default"/>
                <w:sz w:val="21"/>
                <w:szCs w:val="21"/>
              </w:rPr>
              <w:t>8-5</w:t>
            </w:r>
            <w:r>
              <w:rPr>
                <w:rFonts w:ascii="Calibri" w:hAnsi="Calibri" w:cs="Calibri" w:eastAsia="Calibri" w:hint="default"/>
                <w:spacing w:val="3"/>
                <w:sz w:val="21"/>
                <w:szCs w:val="21"/>
              </w:rPr>
              <w:t> </w:t>
            </w:r>
            <w:r>
              <w:rPr>
                <w:rFonts w:ascii="宋体" w:hAnsi="宋体" w:cs="宋体" w:eastAsia="宋体" w:hint="default"/>
                <w:sz w:val="21"/>
                <w:szCs w:val="21"/>
              </w:rPr>
              <w:t>房</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沈舟峰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08"/>
              <w:jc w:val="left"/>
              <w:rPr>
                <w:rFonts w:ascii="宋体" w:hAnsi="宋体" w:cs="宋体" w:eastAsia="宋体" w:hint="default"/>
                <w:sz w:val="21"/>
                <w:szCs w:val="21"/>
              </w:rPr>
            </w:pPr>
            <w:r>
              <w:rPr>
                <w:rFonts w:ascii="宋体" w:hAnsi="宋体" w:cs="宋体" w:eastAsia="宋体" w:hint="default"/>
                <w:sz w:val="21"/>
                <w:szCs w:val="21"/>
              </w:rPr>
              <w:t>软件研发、销</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27"/>
              <w:jc w:val="center"/>
              <w:rPr>
                <w:rFonts w:ascii="Calibri" w:hAnsi="Calibri" w:cs="Calibri" w:eastAsia="Calibri" w:hint="default"/>
                <w:sz w:val="21"/>
                <w:szCs w:val="21"/>
              </w:rPr>
            </w:pPr>
            <w:r>
              <w:rPr>
                <w:rFonts w:ascii="Calibri"/>
                <w:sz w:val="21"/>
              </w:rPr>
              <w:t>1,0000,000.00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8"/>
              <w:jc w:val="right"/>
              <w:rPr>
                <w:rFonts w:ascii="Calibri" w:hAnsi="Calibri" w:cs="Calibri" w:eastAsia="Calibri" w:hint="default"/>
                <w:sz w:val="21"/>
                <w:szCs w:val="21"/>
              </w:rPr>
            </w:pPr>
            <w:r>
              <w:rPr>
                <w:rFonts w:ascii="Calibri"/>
                <w:spacing w:val="-1"/>
                <w:sz w:val="21"/>
              </w:rPr>
              <w:t>23.36%</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23.36%</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重大影响</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1" w:right="0"/>
              <w:jc w:val="left"/>
              <w:rPr>
                <w:rFonts w:ascii="Calibri" w:hAnsi="Calibri" w:cs="Calibri" w:eastAsia="Calibri" w:hint="default"/>
                <w:sz w:val="21"/>
                <w:szCs w:val="21"/>
              </w:rPr>
            </w:pPr>
            <w:r>
              <w:rPr>
                <w:rFonts w:ascii="Calibri"/>
                <w:sz w:val="21"/>
              </w:rPr>
              <w:t>72811697-0</w:t>
            </w:r>
          </w:p>
        </w:tc>
      </w:tr>
      <w:tr>
        <w:trPr>
          <w:trHeight w:val="1261" w:hRule="exact"/>
        </w:trPr>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4"/>
              <w:ind w:left="24" w:right="221"/>
              <w:jc w:val="both"/>
              <w:rPr>
                <w:rFonts w:ascii="宋体" w:hAnsi="宋体" w:cs="宋体" w:eastAsia="宋体" w:hint="default"/>
                <w:sz w:val="21"/>
                <w:szCs w:val="21"/>
              </w:rPr>
            </w:pPr>
            <w:r>
              <w:rPr>
                <w:rFonts w:ascii="宋体" w:hAnsi="宋体" w:cs="宋体" w:eastAsia="宋体" w:hint="default"/>
                <w:sz w:val="21"/>
                <w:szCs w:val="21"/>
              </w:rPr>
              <w:t>北京国遥新天地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信息技术有限公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有限责任</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z w:val="21"/>
                <w:szCs w:val="21"/>
              </w:rPr>
              <w:t>北京市朝阳区安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翔北里甲</w:t>
            </w:r>
            <w:r>
              <w:rPr>
                <w:rFonts w:ascii="宋体" w:hAnsi="宋体" w:cs="宋体" w:eastAsia="宋体" w:hint="default"/>
                <w:spacing w:val="-58"/>
                <w:sz w:val="21"/>
                <w:szCs w:val="21"/>
              </w:rPr>
              <w:t> </w:t>
            </w:r>
            <w:r>
              <w:rPr>
                <w:rFonts w:ascii="Calibri" w:hAnsi="Calibri" w:cs="Calibri" w:eastAsia="Calibri" w:hint="default"/>
                <w:sz w:val="21"/>
                <w:szCs w:val="21"/>
              </w:rPr>
              <w:t>11 </w:t>
            </w:r>
            <w:r>
              <w:rPr>
                <w:rFonts w:ascii="宋体" w:hAnsi="宋体" w:cs="宋体" w:eastAsia="宋体" w:hint="default"/>
                <w:sz w:val="21"/>
                <w:szCs w:val="21"/>
              </w:rPr>
              <w:t>号院</w:t>
            </w:r>
          </w:p>
          <w:p>
            <w:pPr>
              <w:pStyle w:val="TableParagraph"/>
              <w:spacing w:line="276" w:lineRule="exact"/>
              <w:ind w:left="21" w:right="0"/>
              <w:jc w:val="left"/>
              <w:rPr>
                <w:rFonts w:ascii="Calibri" w:hAnsi="Calibri" w:cs="Calibri" w:eastAsia="Calibri"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号楼</w:t>
            </w:r>
            <w:r>
              <w:rPr>
                <w:rFonts w:ascii="宋体" w:hAnsi="宋体" w:cs="宋体" w:eastAsia="宋体" w:hint="default"/>
                <w:spacing w:val="-53"/>
                <w:sz w:val="21"/>
                <w:szCs w:val="21"/>
              </w:rPr>
              <w:t> </w:t>
            </w:r>
            <w:r>
              <w:rPr>
                <w:rFonts w:ascii="Calibri" w:hAnsi="Calibri" w:cs="Calibri" w:eastAsia="Calibri" w:hint="default"/>
                <w:sz w:val="21"/>
                <w:szCs w:val="21"/>
              </w:rPr>
              <w:t>B</w:t>
            </w:r>
            <w:r>
              <w:rPr>
                <w:rFonts w:ascii="Calibri" w:hAnsi="Calibri" w:cs="Calibri" w:eastAsia="Calibri" w:hint="default"/>
                <w:spacing w:val="3"/>
                <w:sz w:val="21"/>
                <w:szCs w:val="21"/>
              </w:rPr>
              <w:t> </w:t>
            </w:r>
            <w:r>
              <w:rPr>
                <w:rFonts w:ascii="宋体" w:hAnsi="宋体" w:cs="宋体" w:eastAsia="宋体" w:hint="default"/>
                <w:sz w:val="21"/>
                <w:szCs w:val="21"/>
              </w:rPr>
              <w:t>座</w:t>
            </w:r>
            <w:r>
              <w:rPr>
                <w:rFonts w:ascii="宋体" w:hAnsi="宋体" w:cs="宋体" w:eastAsia="宋体" w:hint="default"/>
                <w:spacing w:val="-55"/>
                <w:sz w:val="21"/>
                <w:szCs w:val="21"/>
              </w:rPr>
              <w:t> </w:t>
            </w:r>
            <w:r>
              <w:rPr>
                <w:rFonts w:ascii="Calibri" w:hAnsi="Calibri" w:cs="Calibri" w:eastAsia="Calibri" w:hint="default"/>
                <w:sz w:val="21"/>
                <w:szCs w:val="21"/>
              </w:rPr>
              <w:t>2101</w:t>
            </w:r>
          </w:p>
          <w:p>
            <w:pPr>
              <w:pStyle w:val="TableParagraph"/>
              <w:spacing w:line="240" w:lineRule="auto" w:before="10"/>
              <w:ind w:left="21" w:right="0"/>
              <w:jc w:val="left"/>
              <w:rPr>
                <w:rFonts w:ascii="宋体" w:hAnsi="宋体" w:cs="宋体" w:eastAsia="宋体" w:hint="default"/>
                <w:sz w:val="21"/>
                <w:szCs w:val="21"/>
              </w:rPr>
            </w:pPr>
            <w:r>
              <w:rPr>
                <w:rFonts w:ascii="宋体" w:hAnsi="宋体" w:cs="宋体" w:eastAsia="宋体" w:hint="default"/>
                <w:w w:val="100"/>
                <w:sz w:val="21"/>
                <w:szCs w:val="21"/>
              </w:rPr>
              <w:t>室</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吴秋华</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1" w:right="108"/>
              <w:jc w:val="left"/>
              <w:rPr>
                <w:rFonts w:ascii="宋体" w:hAnsi="宋体" w:cs="宋体" w:eastAsia="宋体" w:hint="default"/>
                <w:sz w:val="21"/>
                <w:szCs w:val="21"/>
              </w:rPr>
            </w:pPr>
            <w:r>
              <w:rPr>
                <w:rFonts w:ascii="宋体" w:hAnsi="宋体" w:cs="宋体" w:eastAsia="宋体" w:hint="default"/>
                <w:sz w:val="21"/>
                <w:szCs w:val="21"/>
              </w:rPr>
              <w:t>软件研发、销</w:t>
            </w:r>
            <w:r>
              <w:rPr>
                <w:rFonts w:ascii="宋体" w:hAnsi="宋体" w:cs="宋体" w:eastAsia="宋体" w:hint="default"/>
                <w:w w:val="100"/>
                <w:sz w:val="21"/>
                <w:szCs w:val="21"/>
              </w:rPr>
              <w:t> </w:t>
            </w:r>
            <w:r>
              <w:rPr>
                <w:rFonts w:ascii="宋体" w:hAnsi="宋体" w:cs="宋体" w:eastAsia="宋体" w:hint="default"/>
                <w:sz w:val="21"/>
                <w:szCs w:val="21"/>
              </w:rPr>
              <w:t>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27"/>
              <w:jc w:val="center"/>
              <w:rPr>
                <w:rFonts w:ascii="Calibri" w:hAnsi="Calibri" w:cs="Calibri" w:eastAsia="Calibri" w:hint="default"/>
                <w:sz w:val="21"/>
                <w:szCs w:val="21"/>
              </w:rPr>
            </w:pPr>
            <w:r>
              <w:rPr>
                <w:rFonts w:ascii="Calibri"/>
                <w:sz w:val="21"/>
              </w:rPr>
              <w:t>1,0000,000.00</w:t>
            </w:r>
          </w:p>
        </w:tc>
        <w:tc>
          <w:tcPr>
            <w:tcW w:w="1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17"/>
              <w:jc w:val="right"/>
              <w:rPr>
                <w:rFonts w:ascii="Calibri" w:hAnsi="Calibri" w:cs="Calibri" w:eastAsia="Calibri" w:hint="default"/>
                <w:sz w:val="21"/>
                <w:szCs w:val="21"/>
              </w:rPr>
            </w:pPr>
            <w:r>
              <w:rPr>
                <w:rFonts w:ascii="Calibri"/>
                <w:spacing w:val="-1"/>
                <w:sz w:val="21"/>
              </w:rPr>
              <w:t>20%</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20%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重大影响</w:t>
            </w:r>
          </w:p>
        </w:tc>
        <w:tc>
          <w:tcPr>
            <w:tcW w:w="1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1" w:right="0"/>
              <w:jc w:val="left"/>
              <w:rPr>
                <w:rFonts w:ascii="Calibri" w:hAnsi="Calibri" w:cs="Calibri" w:eastAsia="Calibri" w:hint="default"/>
                <w:sz w:val="21"/>
                <w:szCs w:val="21"/>
              </w:rPr>
            </w:pPr>
            <w:r>
              <w:rPr>
                <w:rFonts w:ascii="Calibri"/>
                <w:sz w:val="21"/>
              </w:rPr>
              <w:t>76143898-X</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spacing w:before="58"/>
        <w:ind w:left="7370" w:right="6968" w:firstLine="0"/>
        <w:jc w:val="center"/>
        <w:rPr>
          <w:rFonts w:ascii="Calibri" w:hAnsi="Calibri" w:cs="Calibri" w:eastAsia="Calibri" w:hint="default"/>
          <w:sz w:val="21"/>
          <w:szCs w:val="21"/>
        </w:rPr>
      </w:pPr>
      <w:r>
        <w:rPr>
          <w:rFonts w:ascii="Calibri"/>
          <w:sz w:val="21"/>
        </w:rPr>
        <w:t>161</w:t>
      </w:r>
    </w:p>
    <w:p>
      <w:pPr>
        <w:spacing w:after="0"/>
        <w:jc w:val="center"/>
        <w:rPr>
          <w:rFonts w:ascii="Calibri" w:hAnsi="Calibri" w:cs="Calibri" w:eastAsia="Calibri" w:hint="default"/>
          <w:sz w:val="21"/>
          <w:szCs w:val="21"/>
        </w:rPr>
        <w:sectPr>
          <w:headerReference w:type="default" r:id="rId57"/>
          <w:footerReference w:type="default" r:id="rId58"/>
          <w:pgSz w:w="16840" w:h="11910" w:orient="landscape"/>
          <w:pgMar w:header="0" w:footer="0" w:top="800" w:bottom="280" w:left="860" w:right="1280"/>
        </w:sectPr>
      </w:pPr>
    </w:p>
    <w:p>
      <w:pPr>
        <w:spacing w:line="240" w:lineRule="auto" w:before="0"/>
        <w:rPr>
          <w:rFonts w:ascii="Calibri" w:hAnsi="Calibri" w:cs="Calibri" w:eastAsia="Calibri" w:hint="default"/>
          <w:sz w:val="20"/>
          <w:szCs w:val="20"/>
        </w:rPr>
      </w:pPr>
    </w:p>
    <w:p>
      <w:pPr>
        <w:spacing w:line="240" w:lineRule="auto" w:before="1"/>
        <w:rPr>
          <w:rFonts w:ascii="Calibri" w:hAnsi="Calibri" w:cs="Calibri" w:eastAsia="Calibri" w:hint="default"/>
          <w:sz w:val="22"/>
          <w:szCs w:val="22"/>
        </w:rPr>
      </w:pPr>
    </w:p>
    <w:p>
      <w:pPr>
        <w:spacing w:before="36"/>
        <w:ind w:left="558" w:right="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、本企业的其他关联方情况</w:t>
      </w:r>
      <w:r>
        <w:rPr>
          <w:rFonts w:ascii="宋体" w:hAnsi="宋体" w:cs="宋体" w:eastAsia="宋体" w:hint="default"/>
          <w:sz w:val="21"/>
          <w:szCs w:val="21"/>
        </w:rPr>
      </w:r>
    </w:p>
    <w:p>
      <w:pPr>
        <w:spacing w:line="240" w:lineRule="auto" w:before="9"/>
        <w:rPr>
          <w:rFonts w:ascii="宋体" w:hAnsi="宋体" w:cs="宋体" w:eastAsia="宋体" w:hint="default"/>
          <w:b/>
          <w:bCs/>
          <w:sz w:val="25"/>
          <w:szCs w:val="25"/>
        </w:rPr>
      </w:pPr>
    </w:p>
    <w:tbl>
      <w:tblPr>
        <w:tblW w:w="0" w:type="auto"/>
        <w:jc w:val="left"/>
        <w:tblInd w:w="524" w:type="dxa"/>
        <w:tblLayout w:type="fixed"/>
        <w:tblCellMar>
          <w:top w:w="0" w:type="dxa"/>
          <w:left w:w="0" w:type="dxa"/>
          <w:bottom w:w="0" w:type="dxa"/>
          <w:right w:w="0" w:type="dxa"/>
        </w:tblCellMar>
        <w:tblLook w:val="01E0"/>
      </w:tblPr>
      <w:tblGrid>
        <w:gridCol w:w="2917"/>
        <w:gridCol w:w="2916"/>
        <w:gridCol w:w="2917"/>
      </w:tblGrid>
      <w:tr>
        <w:trPr>
          <w:trHeight w:val="322" w:hRule="exact"/>
        </w:trPr>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15" w:right="0"/>
              <w:jc w:val="left"/>
              <w:rPr>
                <w:rFonts w:ascii="宋体" w:hAnsi="宋体" w:cs="宋体" w:eastAsia="宋体" w:hint="default"/>
                <w:sz w:val="21"/>
                <w:szCs w:val="21"/>
              </w:rPr>
            </w:pPr>
            <w:r>
              <w:rPr>
                <w:rFonts w:ascii="宋体" w:hAnsi="宋体" w:cs="宋体" w:eastAsia="宋体" w:hint="default"/>
                <w:b/>
                <w:bCs/>
                <w:sz w:val="21"/>
                <w:szCs w:val="21"/>
              </w:rPr>
              <w:t>其他关联方名称</w:t>
            </w:r>
            <w:r>
              <w:rPr>
                <w:rFonts w:ascii="宋体" w:hAnsi="宋体" w:cs="宋体" w:eastAsia="宋体" w:hint="default"/>
                <w:sz w:val="21"/>
                <w:szCs w:val="21"/>
              </w:rPr>
            </w:r>
          </w:p>
        </w:tc>
        <w:tc>
          <w:tcPr>
            <w:tcW w:w="2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18" w:right="0"/>
              <w:jc w:val="left"/>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2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18" w:right="0"/>
              <w:jc w:val="left"/>
              <w:rPr>
                <w:rFonts w:ascii="宋体" w:hAnsi="宋体" w:cs="宋体" w:eastAsia="宋体" w:hint="default"/>
                <w:sz w:val="21"/>
                <w:szCs w:val="21"/>
              </w:rPr>
            </w:pPr>
            <w:r>
              <w:rPr>
                <w:rFonts w:ascii="宋体" w:hAnsi="宋体" w:cs="宋体" w:eastAsia="宋体" w:hint="default"/>
                <w:b/>
                <w:bCs/>
                <w:sz w:val="21"/>
                <w:szCs w:val="21"/>
              </w:rPr>
              <w:t>组织机构代码</w:t>
            </w:r>
            <w:r>
              <w:rPr>
                <w:rFonts w:ascii="宋体" w:hAnsi="宋体" w:cs="宋体" w:eastAsia="宋体" w:hint="default"/>
                <w:sz w:val="21"/>
                <w:szCs w:val="21"/>
              </w:rPr>
            </w:r>
          </w:p>
        </w:tc>
      </w:tr>
      <w:tr>
        <w:trPr>
          <w:trHeight w:val="634"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46"/>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中国科学院地理科学与资源研</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究所</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本公司之股东</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21" w:right="0"/>
              <w:jc w:val="left"/>
              <w:rPr>
                <w:rFonts w:ascii="Calibri" w:hAnsi="Calibri" w:cs="Calibri" w:eastAsia="Calibri" w:hint="default"/>
                <w:sz w:val="21"/>
                <w:szCs w:val="21"/>
              </w:rPr>
            </w:pPr>
            <w:r>
              <w:rPr>
                <w:rFonts w:ascii="Calibri"/>
                <w:sz w:val="21"/>
              </w:rPr>
              <w:t>40001158-5</w:t>
            </w:r>
          </w:p>
        </w:tc>
      </w:tr>
      <w:tr>
        <w:trPr>
          <w:trHeight w:val="634" w:hRule="exact"/>
        </w:trPr>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9"/>
              <w:jc w:val="left"/>
              <w:rPr>
                <w:rFonts w:ascii="宋体" w:hAnsi="宋体" w:cs="宋体" w:eastAsia="宋体" w:hint="default"/>
                <w:sz w:val="21"/>
                <w:szCs w:val="21"/>
              </w:rPr>
            </w:pPr>
            <w:r>
              <w:rPr>
                <w:rFonts w:ascii="宋体" w:hAnsi="宋体" w:cs="宋体" w:eastAsia="宋体" w:hint="default"/>
                <w:spacing w:val="-8"/>
                <w:sz w:val="21"/>
                <w:szCs w:val="21"/>
              </w:rPr>
              <w:t>董事、经理、财务总监及董事会</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秘书</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1" w:right="0"/>
              <w:jc w:val="left"/>
              <w:rPr>
                <w:rFonts w:ascii="宋体" w:hAnsi="宋体" w:cs="宋体" w:eastAsia="宋体" w:hint="default"/>
                <w:sz w:val="21"/>
                <w:szCs w:val="21"/>
              </w:rPr>
            </w:pPr>
            <w:r>
              <w:rPr>
                <w:rFonts w:ascii="宋体" w:hAnsi="宋体" w:cs="宋体" w:eastAsia="宋体" w:hint="default"/>
                <w:sz w:val="21"/>
                <w:szCs w:val="21"/>
              </w:rPr>
              <w:t>关键管理人员</w:t>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62" w:lineRule="exact" w:before="0"/>
        <w:ind w:left="558" w:right="82" w:firstLine="0"/>
        <w:jc w:val="left"/>
        <w:rPr>
          <w:rFonts w:ascii="宋体" w:hAnsi="宋体" w:cs="宋体" w:eastAsia="宋体" w:hint="default"/>
          <w:sz w:val="21"/>
          <w:szCs w:val="21"/>
        </w:rPr>
      </w:pPr>
      <w:r>
        <w:rPr>
          <w:rFonts w:ascii="宋体" w:hAnsi="宋体" w:cs="宋体" w:eastAsia="宋体" w:hint="default"/>
          <w:sz w:val="21"/>
          <w:szCs w:val="21"/>
        </w:rPr>
        <w:t>本企业的其他关联方情况的说明：无</w:t>
      </w:r>
    </w:p>
    <w:p>
      <w:pPr>
        <w:spacing w:line="240" w:lineRule="auto" w:before="10"/>
        <w:rPr>
          <w:rFonts w:ascii="宋体" w:hAnsi="宋体" w:cs="宋体" w:eastAsia="宋体" w:hint="default"/>
          <w:sz w:val="25"/>
          <w:szCs w:val="25"/>
        </w:rPr>
      </w:pPr>
    </w:p>
    <w:p>
      <w:pPr>
        <w:spacing w:before="0"/>
        <w:ind w:left="558" w:right="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、关联方交易</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2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before="36"/>
        <w:ind w:left="0" w:right="108" w:firstLine="0"/>
        <w:jc w:val="right"/>
        <w:rPr>
          <w:rFonts w:ascii="宋体" w:hAnsi="宋体" w:cs="宋体" w:eastAsia="宋体" w:hint="default"/>
          <w:sz w:val="21"/>
          <w:szCs w:val="21"/>
        </w:rPr>
      </w:pPr>
      <w:r>
        <w:rPr/>
        <w:pict>
          <v:shape style="position:absolute;margin-left:410.230011pt;margin-top:-5.376332pt;width:79.25pt;height:23.4pt;mso-position-horizontal-relative:page;mso-position-vertical-relative:paragraph;z-index:-917728" type="#_x0000_t202" filled="false" stroked="false">
            <v:textbox inset="0,0,0,0">
              <w:txbxContent>
                <w:p>
                  <w:pPr>
                    <w:spacing w:before="143"/>
                    <w:ind w:left="0" w:right="0" w:firstLine="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xbxContent>
            </v:textbox>
            <w10:wrap type="none"/>
          </v:shape>
        </w:pict>
      </w:r>
      <w:r>
        <w:rPr/>
        <w:pict>
          <v:shape style="position:absolute;margin-left:88.223999pt;margin-top:-61.056313pt;width:438.2pt;height:174.65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16"/>
                    <w:gridCol w:w="1275"/>
                    <w:gridCol w:w="1092"/>
                    <w:gridCol w:w="1457"/>
                    <w:gridCol w:w="730"/>
                    <w:gridCol w:w="296"/>
                    <w:gridCol w:w="1161"/>
                    <w:gridCol w:w="722"/>
                  </w:tblGrid>
                  <w:tr>
                    <w:trPr>
                      <w:trHeight w:val="323" w:hRule="exact"/>
                    </w:trPr>
                    <w:tc>
                      <w:tcPr>
                        <w:tcW w:w="20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73" w:lineRule="auto"/>
                          <w:ind w:left="526" w:right="103" w:hanging="423"/>
                          <w:jc w:val="left"/>
                          <w:rPr>
                            <w:rFonts w:ascii="宋体" w:hAnsi="宋体" w:cs="宋体" w:eastAsia="宋体" w:hint="default"/>
                            <w:sz w:val="21"/>
                            <w:szCs w:val="21"/>
                          </w:rPr>
                        </w:pPr>
                        <w:r>
                          <w:rPr>
                            <w:rFonts w:ascii="宋体" w:hAnsi="宋体" w:cs="宋体" w:eastAsia="宋体" w:hint="default"/>
                            <w:b/>
                            <w:bCs/>
                            <w:sz w:val="21"/>
                            <w:szCs w:val="21"/>
                          </w:rPr>
                          <w:t>关联交易内</w:t>
                        </w:r>
                        <w:r>
                          <w:rPr>
                            <w:rFonts w:ascii="宋体" w:hAnsi="宋体" w:cs="宋体" w:eastAsia="宋体" w:hint="default"/>
                            <w:b/>
                            <w:bCs/>
                            <w:w w:val="100"/>
                            <w:sz w:val="21"/>
                            <w:szCs w:val="21"/>
                          </w:rPr>
                          <w:t> </w:t>
                        </w:r>
                        <w:r>
                          <w:rPr>
                            <w:rFonts w:ascii="宋体" w:hAnsi="宋体" w:cs="宋体" w:eastAsia="宋体" w:hint="default"/>
                            <w:b/>
                            <w:bCs/>
                            <w:sz w:val="21"/>
                            <w:szCs w:val="21"/>
                          </w:rPr>
                          <w:t>容</w:t>
                        </w:r>
                        <w:r>
                          <w:rPr>
                            <w:rFonts w:ascii="宋体" w:hAnsi="宋体" w:cs="宋体" w:eastAsia="宋体" w:hint="default"/>
                            <w:sz w:val="21"/>
                            <w:szCs w:val="21"/>
                          </w:rPr>
                        </w:r>
                      </w:p>
                    </w:tc>
                    <w:tc>
                      <w:tcPr>
                        <w:tcW w:w="109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150"/>
                          <w:ind w:left="117" w:right="119"/>
                          <w:jc w:val="center"/>
                          <w:rPr>
                            <w:rFonts w:ascii="宋体" w:hAnsi="宋体" w:cs="宋体" w:eastAsia="宋体" w:hint="default"/>
                            <w:sz w:val="21"/>
                            <w:szCs w:val="21"/>
                          </w:rPr>
                        </w:pPr>
                        <w:r>
                          <w:rPr>
                            <w:rFonts w:ascii="宋体" w:hAnsi="宋体" w:cs="宋体" w:eastAsia="宋体" w:hint="default"/>
                            <w:b/>
                            <w:bCs/>
                            <w:sz w:val="21"/>
                            <w:szCs w:val="21"/>
                          </w:rPr>
                          <w:t>关联交易</w:t>
                        </w:r>
                        <w:r>
                          <w:rPr>
                            <w:rFonts w:ascii="宋体" w:hAnsi="宋体" w:cs="宋体" w:eastAsia="宋体" w:hint="default"/>
                            <w:b/>
                            <w:bCs/>
                            <w:w w:val="100"/>
                            <w:sz w:val="21"/>
                            <w:szCs w:val="21"/>
                          </w:rPr>
                          <w:t> </w:t>
                        </w:r>
                        <w:r>
                          <w:rPr>
                            <w:rFonts w:ascii="宋体" w:hAnsi="宋体" w:cs="宋体" w:eastAsia="宋体" w:hint="default"/>
                            <w:b/>
                            <w:bCs/>
                            <w:sz w:val="21"/>
                            <w:szCs w:val="21"/>
                          </w:rPr>
                          <w:t>定价方式</w:t>
                        </w:r>
                        <w:r>
                          <w:rPr>
                            <w:rFonts w:ascii="宋体" w:hAnsi="宋体" w:cs="宋体" w:eastAsia="宋体" w:hint="default"/>
                            <w:b/>
                            <w:bCs/>
                            <w:w w:val="100"/>
                            <w:sz w:val="21"/>
                            <w:szCs w:val="21"/>
                          </w:rPr>
                          <w:t> </w:t>
                        </w:r>
                        <w:r>
                          <w:rPr>
                            <w:rFonts w:ascii="宋体" w:hAnsi="宋体" w:cs="宋体" w:eastAsia="宋体" w:hint="default"/>
                            <w:b/>
                            <w:bCs/>
                            <w:sz w:val="21"/>
                            <w:szCs w:val="21"/>
                          </w:rPr>
                          <w:t>及决策程</w:t>
                        </w:r>
                        <w:r>
                          <w:rPr>
                            <w:rFonts w:ascii="宋体" w:hAnsi="宋体" w:cs="宋体" w:eastAsia="宋体" w:hint="default"/>
                            <w:b/>
                            <w:bCs/>
                            <w:w w:val="100"/>
                            <w:sz w:val="21"/>
                            <w:szCs w:val="21"/>
                          </w:rPr>
                          <w:t> </w:t>
                        </w:r>
                        <w:r>
                          <w:rPr>
                            <w:rFonts w:ascii="宋体" w:hAnsi="宋体" w:cs="宋体" w:eastAsia="宋体" w:hint="default"/>
                            <w:b/>
                            <w:bCs/>
                            <w:sz w:val="21"/>
                            <w:szCs w:val="21"/>
                          </w:rPr>
                          <w:t>序</w:t>
                        </w:r>
                        <w:r>
                          <w:rPr>
                            <w:rFonts w:ascii="宋体" w:hAnsi="宋体" w:cs="宋体" w:eastAsia="宋体" w:hint="default"/>
                            <w:sz w:val="21"/>
                            <w:szCs w:val="21"/>
                          </w:rPr>
                        </w:r>
                      </w:p>
                    </w:tc>
                    <w:tc>
                      <w:tcPr>
                        <w:tcW w:w="2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5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57"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1259" w:hRule="exact"/>
                    </w:trPr>
                    <w:tc>
                      <w:tcPr>
                        <w:tcW w:w="2016"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092" w:type="dxa"/>
                        <w:vMerge/>
                        <w:tcBorders>
                          <w:left w:val="single" w:sz="4" w:space="0" w:color="000000"/>
                          <w:bottom w:val="single" w:sz="4" w:space="0" w:color="000000"/>
                          <w:right w:val="single" w:sz="4" w:space="0" w:color="000000"/>
                        </w:tcBorders>
                        <w:shd w:val="clear" w:color="auto" w:fill="D2D2D2"/>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11"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1" w:right="43" w:firstLine="19"/>
                          <w:jc w:val="both"/>
                          <w:rPr>
                            <w:rFonts w:ascii="Calibri" w:hAnsi="Calibri" w:cs="Calibri" w:eastAsia="Calibri" w:hint="default"/>
                            <w:sz w:val="21"/>
                            <w:szCs w:val="21"/>
                          </w:rPr>
                        </w:pPr>
                        <w:r>
                          <w:rPr>
                            <w:rFonts w:ascii="宋体" w:hAnsi="宋体" w:cs="宋体" w:eastAsia="宋体" w:hint="default"/>
                            <w:b/>
                            <w:bCs/>
                            <w:sz w:val="21"/>
                            <w:szCs w:val="21"/>
                          </w:rPr>
                          <w:t>占同类</w:t>
                        </w:r>
                        <w:r>
                          <w:rPr>
                            <w:rFonts w:ascii="宋体" w:hAnsi="宋体" w:cs="宋体" w:eastAsia="宋体" w:hint="default"/>
                            <w:b/>
                            <w:bCs/>
                            <w:w w:val="100"/>
                            <w:sz w:val="21"/>
                            <w:szCs w:val="21"/>
                          </w:rPr>
                          <w:t> </w:t>
                        </w:r>
                        <w:r>
                          <w:rPr>
                            <w:rFonts w:ascii="宋体" w:hAnsi="宋体" w:cs="宋体" w:eastAsia="宋体" w:hint="default"/>
                            <w:b/>
                            <w:bCs/>
                            <w:sz w:val="21"/>
                            <w:szCs w:val="21"/>
                          </w:rPr>
                          <w:t>交易金</w:t>
                        </w:r>
                        <w:r>
                          <w:rPr>
                            <w:rFonts w:ascii="宋体" w:hAnsi="宋体" w:cs="宋体" w:eastAsia="宋体" w:hint="default"/>
                            <w:b/>
                            <w:bCs/>
                            <w:w w:val="100"/>
                            <w:sz w:val="21"/>
                            <w:szCs w:val="21"/>
                          </w:rPr>
                          <w:t> </w:t>
                        </w:r>
                        <w:r>
                          <w:rPr>
                            <w:rFonts w:ascii="宋体" w:hAnsi="宋体" w:cs="宋体" w:eastAsia="宋体" w:hint="default"/>
                            <w:b/>
                            <w:bCs/>
                            <w:sz w:val="21"/>
                            <w:szCs w:val="21"/>
                          </w:rPr>
                          <w:t>额的比</w:t>
                        </w:r>
                        <w:r>
                          <w:rPr>
                            <w:rFonts w:ascii="宋体" w:hAnsi="宋体" w:cs="宋体" w:eastAsia="宋体" w:hint="default"/>
                            <w:b/>
                            <w:bCs/>
                            <w:w w:val="100"/>
                            <w:sz w:val="21"/>
                            <w:szCs w:val="21"/>
                          </w:rPr>
                          <w:t> </w:t>
                        </w:r>
                        <w:r>
                          <w:rPr>
                            <w:rFonts w:ascii="宋体" w:hAnsi="宋体" w:cs="宋体" w:eastAsia="宋体" w:hint="default"/>
                            <w:b/>
                            <w:bCs/>
                            <w:spacing w:val="-2"/>
                            <w:sz w:val="21"/>
                            <w:szCs w:val="21"/>
                          </w:rPr>
                          <w:t>例（</w:t>
                        </w:r>
                        <w:r>
                          <w:rPr>
                            <w:rFonts w:ascii="Calibri" w:hAnsi="Calibri" w:cs="Calibri" w:eastAsia="Calibri" w:hint="default"/>
                            <w:b/>
                            <w:bCs/>
                            <w:spacing w:val="-2"/>
                            <w:sz w:val="21"/>
                            <w:szCs w:val="21"/>
                          </w:rPr>
                          <w:t>%</w:t>
                        </w:r>
                        <w:r>
                          <w:rPr>
                            <w:rFonts w:ascii="Calibri" w:hAnsi="Calibri" w:cs="Calibri" w:eastAsia="Calibri" w:hint="default"/>
                            <w:spacing w:val="-2"/>
                            <w:sz w:val="21"/>
                            <w:szCs w:val="21"/>
                          </w:rPr>
                        </w:r>
                      </w:p>
                    </w:tc>
                    <w:tc>
                      <w:tcPr>
                        <w:tcW w:w="296" w:type="dxa"/>
                        <w:tcBorders>
                          <w:top w:val="single" w:sz="4" w:space="0" w:color="000000"/>
                          <w:left w:val="single" w:sz="4" w:space="0" w:color="000000"/>
                          <w:bottom w:val="single" w:sz="4" w:space="0" w:color="000000"/>
                          <w:right w:val="nil" w:sz="6" w:space="0" w:color="auto"/>
                        </w:tcBorders>
                        <w:shd w:val="clear" w:color="auto" w:fill="D2D2D2"/>
                      </w:tcPr>
                      <w:p>
                        <w:pPr/>
                      </w:p>
                    </w:tc>
                    <w:tc>
                      <w:tcPr>
                        <w:tcW w:w="1161"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1" w:right="38" w:firstLine="16"/>
                          <w:jc w:val="both"/>
                          <w:rPr>
                            <w:rFonts w:ascii="Calibri" w:hAnsi="Calibri" w:cs="Calibri" w:eastAsia="Calibri" w:hint="default"/>
                            <w:sz w:val="21"/>
                            <w:szCs w:val="21"/>
                          </w:rPr>
                        </w:pPr>
                        <w:r>
                          <w:rPr>
                            <w:rFonts w:ascii="宋体" w:hAnsi="宋体" w:cs="宋体" w:eastAsia="宋体" w:hint="default"/>
                            <w:b/>
                            <w:bCs/>
                            <w:sz w:val="21"/>
                            <w:szCs w:val="21"/>
                          </w:rPr>
                          <w:t>占同类</w:t>
                        </w:r>
                        <w:r>
                          <w:rPr>
                            <w:rFonts w:ascii="宋体" w:hAnsi="宋体" w:cs="宋体" w:eastAsia="宋体" w:hint="default"/>
                            <w:b/>
                            <w:bCs/>
                            <w:w w:val="100"/>
                            <w:sz w:val="21"/>
                            <w:szCs w:val="21"/>
                          </w:rPr>
                          <w:t> </w:t>
                        </w:r>
                        <w:r>
                          <w:rPr>
                            <w:rFonts w:ascii="宋体" w:hAnsi="宋体" w:cs="宋体" w:eastAsia="宋体" w:hint="default"/>
                            <w:b/>
                            <w:bCs/>
                            <w:sz w:val="21"/>
                            <w:szCs w:val="21"/>
                          </w:rPr>
                          <w:t>交易金</w:t>
                        </w:r>
                        <w:r>
                          <w:rPr>
                            <w:rFonts w:ascii="宋体" w:hAnsi="宋体" w:cs="宋体" w:eastAsia="宋体" w:hint="default"/>
                            <w:b/>
                            <w:bCs/>
                            <w:w w:val="100"/>
                            <w:sz w:val="21"/>
                            <w:szCs w:val="21"/>
                          </w:rPr>
                          <w:t> </w:t>
                        </w:r>
                        <w:r>
                          <w:rPr>
                            <w:rFonts w:ascii="宋体" w:hAnsi="宋体" w:cs="宋体" w:eastAsia="宋体" w:hint="default"/>
                            <w:b/>
                            <w:bCs/>
                            <w:sz w:val="21"/>
                            <w:szCs w:val="21"/>
                          </w:rPr>
                          <w:t>额的比</w:t>
                        </w:r>
                        <w:r>
                          <w:rPr>
                            <w:rFonts w:ascii="宋体" w:hAnsi="宋体" w:cs="宋体" w:eastAsia="宋体" w:hint="default"/>
                            <w:b/>
                            <w:bCs/>
                            <w:w w:val="100"/>
                            <w:sz w:val="21"/>
                            <w:szCs w:val="21"/>
                          </w:rPr>
                          <w:t> </w:t>
                        </w:r>
                        <w:r>
                          <w:rPr>
                            <w:rFonts w:ascii="宋体" w:hAnsi="宋体" w:cs="宋体" w:eastAsia="宋体" w:hint="default"/>
                            <w:b/>
                            <w:bCs/>
                            <w:spacing w:val="-4"/>
                            <w:sz w:val="21"/>
                            <w:szCs w:val="21"/>
                          </w:rPr>
                          <w:t>例（</w:t>
                        </w:r>
                        <w:r>
                          <w:rPr>
                            <w:rFonts w:ascii="Calibri" w:hAnsi="Calibri" w:cs="Calibri" w:eastAsia="Calibri" w:hint="default"/>
                            <w:b/>
                            <w:bCs/>
                            <w:spacing w:val="-4"/>
                            <w:sz w:val="21"/>
                            <w:szCs w:val="21"/>
                          </w:rPr>
                          <w:t>%</w:t>
                        </w:r>
                        <w:r>
                          <w:rPr>
                            <w:rFonts w:ascii="Calibri" w:hAnsi="Calibri" w:cs="Calibri" w:eastAsia="Calibri" w:hint="default"/>
                            <w:spacing w:val="-4"/>
                            <w:sz w:val="21"/>
                            <w:szCs w:val="21"/>
                          </w:rPr>
                        </w:r>
                      </w:p>
                    </w:tc>
                  </w:tr>
                  <w:tr>
                    <w:trPr>
                      <w:trHeight w:val="63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86"/>
                          <w:jc w:val="left"/>
                          <w:rPr>
                            <w:rFonts w:ascii="宋体" w:hAnsi="宋体" w:cs="宋体" w:eastAsia="宋体" w:hint="default"/>
                            <w:sz w:val="21"/>
                            <w:szCs w:val="21"/>
                          </w:rPr>
                        </w:pPr>
                        <w:r>
                          <w:rPr>
                            <w:rFonts w:ascii="宋体" w:hAnsi="宋体" w:cs="宋体" w:eastAsia="宋体" w:hint="default"/>
                            <w:sz w:val="21"/>
                            <w:szCs w:val="21"/>
                          </w:rPr>
                          <w:t>浙江中科数城软件有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 w:right="187"/>
                          <w:jc w:val="left"/>
                          <w:rPr>
                            <w:rFonts w:ascii="宋体" w:hAnsi="宋体" w:cs="宋体" w:eastAsia="宋体" w:hint="default"/>
                            <w:sz w:val="21"/>
                            <w:szCs w:val="21"/>
                          </w:rPr>
                        </w:pPr>
                        <w:r>
                          <w:rPr>
                            <w:rFonts w:ascii="宋体" w:hAnsi="宋体" w:cs="宋体" w:eastAsia="宋体" w:hint="default"/>
                            <w:sz w:val="21"/>
                            <w:szCs w:val="21"/>
                          </w:rPr>
                          <w:t>软件技术开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pacing w:val="-4"/>
                            <w:sz w:val="21"/>
                            <w:szCs w:val="21"/>
                          </w:rPr>
                          <w:t>市价；总经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理批准</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66" w:right="0"/>
                          <w:jc w:val="left"/>
                          <w:rPr>
                            <w:rFonts w:ascii="Calibri" w:hAnsi="Calibri" w:cs="Calibri" w:eastAsia="Calibri" w:hint="default"/>
                            <w:sz w:val="21"/>
                            <w:szCs w:val="21"/>
                          </w:rPr>
                        </w:pPr>
                        <w:r>
                          <w:rPr>
                            <w:rFonts w:ascii="Calibri"/>
                            <w:sz w:val="21"/>
                          </w:rPr>
                          <w:t>980,500.00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1.01%</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307" w:right="0"/>
                          <w:jc w:val="left"/>
                          <w:rPr>
                            <w:rFonts w:ascii="Calibri" w:hAnsi="Calibri" w:cs="Calibri" w:eastAsia="Calibri" w:hint="default"/>
                            <w:sz w:val="21"/>
                            <w:szCs w:val="21"/>
                          </w:rPr>
                        </w:pPr>
                        <w:r>
                          <w:rPr>
                            <w:rFonts w:ascii="Calibri"/>
                            <w:sz w:val="21"/>
                          </w:rPr>
                          <w:t>1,861,900.00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2.28%</w:t>
                        </w:r>
                      </w:p>
                    </w:tc>
                  </w:tr>
                  <w:tr>
                    <w:trPr>
                      <w:trHeight w:val="63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86"/>
                          <w:jc w:val="left"/>
                          <w:rPr>
                            <w:rFonts w:ascii="宋体" w:hAnsi="宋体" w:cs="宋体" w:eastAsia="宋体" w:hint="default"/>
                            <w:sz w:val="21"/>
                            <w:szCs w:val="21"/>
                          </w:rPr>
                        </w:pPr>
                        <w:r>
                          <w:rPr>
                            <w:rFonts w:ascii="宋体" w:hAnsi="宋体" w:cs="宋体" w:eastAsia="宋体" w:hint="default"/>
                            <w:sz w:val="21"/>
                            <w:szCs w:val="21"/>
                          </w:rPr>
                          <w:t>北京国遥新天地信息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 w:right="187"/>
                          <w:jc w:val="left"/>
                          <w:rPr>
                            <w:rFonts w:ascii="宋体" w:hAnsi="宋体" w:cs="宋体" w:eastAsia="宋体" w:hint="default"/>
                            <w:sz w:val="21"/>
                            <w:szCs w:val="21"/>
                          </w:rPr>
                        </w:pPr>
                        <w:r>
                          <w:rPr>
                            <w:rFonts w:ascii="宋体" w:hAnsi="宋体" w:cs="宋体" w:eastAsia="宋体" w:hint="default"/>
                            <w:sz w:val="21"/>
                            <w:szCs w:val="21"/>
                          </w:rPr>
                          <w:t>软件技术开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pacing w:val="-4"/>
                            <w:sz w:val="21"/>
                            <w:szCs w:val="21"/>
                          </w:rPr>
                          <w:t>市价；总经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理批准</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70" w:right="0"/>
                          <w:jc w:val="left"/>
                          <w:rPr>
                            <w:rFonts w:ascii="Calibri" w:hAnsi="Calibri" w:cs="Calibri" w:eastAsia="Calibri" w:hint="default"/>
                            <w:sz w:val="21"/>
                            <w:szCs w:val="21"/>
                          </w:rPr>
                        </w:pPr>
                        <w:r>
                          <w:rPr>
                            <w:rFonts w:ascii="Calibri"/>
                            <w:sz w:val="21"/>
                          </w:rPr>
                          <w:t>423,700.00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2"/>
                          <w:jc w:val="right"/>
                          <w:rPr>
                            <w:rFonts w:ascii="Calibri" w:hAnsi="Calibri" w:cs="Calibri" w:eastAsia="Calibri" w:hint="default"/>
                            <w:sz w:val="21"/>
                            <w:szCs w:val="21"/>
                          </w:rPr>
                        </w:pPr>
                        <w:r>
                          <w:rPr>
                            <w:rFonts w:ascii="Calibri"/>
                            <w:spacing w:val="-1"/>
                            <w:sz w:val="21"/>
                          </w:rPr>
                          <w:t>0.44%</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74" w:right="0"/>
                          <w:jc w:val="left"/>
                          <w:rPr>
                            <w:rFonts w:ascii="Calibri" w:hAnsi="Calibri" w:cs="Calibri" w:eastAsia="Calibri" w:hint="default"/>
                            <w:sz w:val="21"/>
                            <w:szCs w:val="21"/>
                          </w:rPr>
                        </w:pPr>
                        <w:r>
                          <w:rPr>
                            <w:rFonts w:ascii="Calibri"/>
                            <w:sz w:val="21"/>
                          </w:rPr>
                          <w:t>68,500.00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0.08%</w:t>
                        </w:r>
                      </w:p>
                    </w:tc>
                  </w:tr>
                  <w:tr>
                    <w:trPr>
                      <w:trHeight w:val="63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86"/>
                          <w:jc w:val="left"/>
                          <w:rPr>
                            <w:rFonts w:ascii="宋体" w:hAnsi="宋体" w:cs="宋体" w:eastAsia="宋体" w:hint="default"/>
                            <w:sz w:val="21"/>
                            <w:szCs w:val="21"/>
                          </w:rPr>
                        </w:pPr>
                        <w:r>
                          <w:rPr>
                            <w:rFonts w:ascii="宋体" w:hAnsi="宋体" w:cs="宋体" w:eastAsia="宋体" w:hint="default"/>
                            <w:sz w:val="21"/>
                            <w:szCs w:val="21"/>
                          </w:rPr>
                          <w:t>中国科学院地理科学</w:t>
                        </w:r>
                        <w:r>
                          <w:rPr>
                            <w:rFonts w:ascii="宋体" w:hAnsi="宋体" w:cs="宋体" w:eastAsia="宋体" w:hint="default"/>
                            <w:w w:val="100"/>
                            <w:sz w:val="21"/>
                            <w:szCs w:val="21"/>
                          </w:rPr>
                          <w:t> </w:t>
                        </w:r>
                        <w:r>
                          <w:rPr>
                            <w:rFonts w:ascii="宋体" w:hAnsi="宋体" w:cs="宋体" w:eastAsia="宋体" w:hint="default"/>
                            <w:sz w:val="21"/>
                            <w:szCs w:val="21"/>
                          </w:rPr>
                          <w:t>与资源研究所</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pacing w:val="-4"/>
                            <w:sz w:val="21"/>
                            <w:szCs w:val="21"/>
                          </w:rPr>
                          <w:t>市价；总经</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理批准</w:t>
                        </w:r>
                      </w:p>
                    </w:tc>
                    <w:tc>
                      <w:tcPr>
                        <w:tcW w:w="14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67" w:right="0"/>
                          <w:jc w:val="left"/>
                          <w:rPr>
                            <w:rFonts w:ascii="Calibri" w:hAnsi="Calibri" w:cs="Calibri" w:eastAsia="Calibri" w:hint="default"/>
                            <w:sz w:val="21"/>
                            <w:szCs w:val="21"/>
                          </w:rPr>
                        </w:pPr>
                        <w:r>
                          <w:rPr>
                            <w:rFonts w:ascii="Calibri"/>
                            <w:sz w:val="21"/>
                          </w:rPr>
                          <w:t>226,000.00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3.08%</w:t>
                        </w:r>
                      </w:p>
                    </w:tc>
                  </w:tr>
                </w:tbl>
                <w:p>
                  <w:pPr/>
                </w:p>
              </w:txbxContent>
            </v:textbox>
            <w10:wrap type="none"/>
          </v:shape>
        </w:pict>
      </w:r>
      <w:r>
        <w:rPr>
          <w:rFonts w:ascii="宋体" w:hAnsi="宋体" w:cs="宋体" w:eastAsia="宋体" w:hint="default"/>
          <w:b/>
          <w:bCs/>
          <w:w w:val="100"/>
          <w:sz w:val="21"/>
          <w:szCs w:val="21"/>
        </w:rPr>
        <w:t>）</w:t>
      </w:r>
      <w:r>
        <w:rPr>
          <w:rFonts w:ascii="宋体" w:hAnsi="宋体" w:cs="宋体" w:eastAsia="宋体" w:hint="default"/>
          <w:w w:val="100"/>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before="36"/>
        <w:ind w:left="558" w:right="82" w:firstLine="0"/>
        <w:jc w:val="left"/>
        <w:rPr>
          <w:rFonts w:ascii="宋体" w:hAnsi="宋体" w:cs="宋体" w:eastAsia="宋体" w:hint="default"/>
          <w:sz w:val="21"/>
          <w:szCs w:val="21"/>
        </w:rPr>
      </w:pPr>
      <w:r>
        <w:rPr>
          <w:rFonts w:ascii="宋体" w:hAnsi="宋体" w:cs="宋体" w:eastAsia="宋体" w:hint="default"/>
          <w:sz w:val="21"/>
          <w:szCs w:val="21"/>
        </w:rPr>
        <w:t>出售商品、提供劳务情况表</w:t>
      </w:r>
    </w:p>
    <w:p>
      <w:pPr>
        <w:spacing w:before="37"/>
        <w:ind w:left="0" w:right="2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36"/>
        <w:ind w:left="0" w:right="108" w:firstLine="0"/>
        <w:jc w:val="right"/>
        <w:rPr>
          <w:rFonts w:ascii="宋体" w:hAnsi="宋体" w:cs="宋体" w:eastAsia="宋体" w:hint="default"/>
          <w:sz w:val="21"/>
          <w:szCs w:val="21"/>
        </w:rPr>
      </w:pPr>
      <w:r>
        <w:rPr/>
        <w:pict>
          <v:shape style="position:absolute;margin-left:410.230011pt;margin-top:-5.400322pt;width:79.25pt;height:23.45pt;mso-position-horizontal-relative:page;mso-position-vertical-relative:paragraph;z-index:-917704" type="#_x0000_t202" filled="false" stroked="false">
            <v:textbox inset="0,0,0,0">
              <w:txbxContent>
                <w:p>
                  <w:pPr>
                    <w:spacing w:before="144"/>
                    <w:ind w:left="0" w:right="0" w:firstLine="0"/>
                    <w:jc w:val="left"/>
                    <w:rPr>
                      <w:rFonts w:ascii="宋体" w:hAnsi="宋体" w:cs="宋体" w:eastAsia="宋体" w:hint="default"/>
                      <w:sz w:val="21"/>
                      <w:szCs w:val="21"/>
                    </w:rPr>
                  </w:pPr>
                  <w:r>
                    <w:rPr>
                      <w:rFonts w:ascii="宋体" w:hAnsi="宋体" w:cs="宋体" w:eastAsia="宋体" w:hint="default"/>
                      <w:b/>
                      <w:bCs/>
                      <w:w w:val="100"/>
                      <w:sz w:val="21"/>
                      <w:szCs w:val="21"/>
                    </w:rPr>
                    <w:t>）</w:t>
                  </w:r>
                  <w:r>
                    <w:rPr>
                      <w:rFonts w:ascii="宋体" w:hAnsi="宋体" w:cs="宋体" w:eastAsia="宋体" w:hint="default"/>
                      <w:w w:val="100"/>
                      <w:sz w:val="21"/>
                      <w:szCs w:val="21"/>
                    </w:rPr>
                  </w:r>
                </w:p>
              </w:txbxContent>
            </v:textbox>
            <w10:wrap type="none"/>
          </v:shape>
        </w:pict>
      </w:r>
      <w:r>
        <w:rPr/>
        <w:pict>
          <v:shape style="position:absolute;margin-left:88.223999pt;margin-top:-61.086304pt;width:438.2pt;height:206.35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16"/>
                    <w:gridCol w:w="1277"/>
                    <w:gridCol w:w="1087"/>
                    <w:gridCol w:w="1457"/>
                    <w:gridCol w:w="730"/>
                    <w:gridCol w:w="299"/>
                    <w:gridCol w:w="1159"/>
                    <w:gridCol w:w="725"/>
                  </w:tblGrid>
                  <w:tr>
                    <w:trPr>
                      <w:trHeight w:val="323" w:hRule="exact"/>
                    </w:trPr>
                    <w:tc>
                      <w:tcPr>
                        <w:tcW w:w="20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7"/>
                            <w:szCs w:val="2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73" w:lineRule="auto"/>
                          <w:ind w:left="526" w:right="103" w:hanging="420"/>
                          <w:jc w:val="left"/>
                          <w:rPr>
                            <w:rFonts w:ascii="宋体" w:hAnsi="宋体" w:cs="宋体" w:eastAsia="宋体" w:hint="default"/>
                            <w:sz w:val="21"/>
                            <w:szCs w:val="21"/>
                          </w:rPr>
                        </w:pPr>
                        <w:r>
                          <w:rPr>
                            <w:rFonts w:ascii="宋体" w:hAnsi="宋体" w:cs="宋体" w:eastAsia="宋体" w:hint="default"/>
                            <w:b/>
                            <w:bCs/>
                            <w:sz w:val="21"/>
                            <w:szCs w:val="21"/>
                          </w:rPr>
                          <w:t>关联交易内</w:t>
                        </w:r>
                        <w:r>
                          <w:rPr>
                            <w:rFonts w:ascii="宋体" w:hAnsi="宋体" w:cs="宋体" w:eastAsia="宋体" w:hint="default"/>
                            <w:b/>
                            <w:bCs/>
                            <w:w w:val="100"/>
                            <w:sz w:val="21"/>
                            <w:szCs w:val="21"/>
                          </w:rPr>
                          <w:t> </w:t>
                        </w:r>
                        <w:r>
                          <w:rPr>
                            <w:rFonts w:ascii="宋体" w:hAnsi="宋体" w:cs="宋体" w:eastAsia="宋体" w:hint="default"/>
                            <w:b/>
                            <w:bCs/>
                            <w:sz w:val="21"/>
                            <w:szCs w:val="21"/>
                          </w:rPr>
                          <w:t>容</w:t>
                        </w:r>
                        <w:r>
                          <w:rPr>
                            <w:rFonts w:ascii="宋体" w:hAnsi="宋体" w:cs="宋体" w:eastAsia="宋体" w:hint="default"/>
                            <w:sz w:val="21"/>
                            <w:szCs w:val="21"/>
                          </w:rPr>
                        </w:r>
                      </w:p>
                    </w:tc>
                    <w:tc>
                      <w:tcPr>
                        <w:tcW w:w="1087"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150"/>
                          <w:ind w:left="115" w:right="115"/>
                          <w:jc w:val="center"/>
                          <w:rPr>
                            <w:rFonts w:ascii="宋体" w:hAnsi="宋体" w:cs="宋体" w:eastAsia="宋体" w:hint="default"/>
                            <w:sz w:val="21"/>
                            <w:szCs w:val="21"/>
                          </w:rPr>
                        </w:pPr>
                        <w:r>
                          <w:rPr>
                            <w:rFonts w:ascii="宋体" w:hAnsi="宋体" w:cs="宋体" w:eastAsia="宋体" w:hint="default"/>
                            <w:b/>
                            <w:bCs/>
                            <w:sz w:val="21"/>
                            <w:szCs w:val="21"/>
                          </w:rPr>
                          <w:t>关联交易</w:t>
                        </w:r>
                        <w:r>
                          <w:rPr>
                            <w:rFonts w:ascii="宋体" w:hAnsi="宋体" w:cs="宋体" w:eastAsia="宋体" w:hint="default"/>
                            <w:b/>
                            <w:bCs/>
                            <w:w w:val="100"/>
                            <w:sz w:val="21"/>
                            <w:szCs w:val="21"/>
                          </w:rPr>
                          <w:t> </w:t>
                        </w:r>
                        <w:r>
                          <w:rPr>
                            <w:rFonts w:ascii="宋体" w:hAnsi="宋体" w:cs="宋体" w:eastAsia="宋体" w:hint="default"/>
                            <w:b/>
                            <w:bCs/>
                            <w:sz w:val="21"/>
                            <w:szCs w:val="21"/>
                          </w:rPr>
                          <w:t>定价方式</w:t>
                        </w:r>
                        <w:r>
                          <w:rPr>
                            <w:rFonts w:ascii="宋体" w:hAnsi="宋体" w:cs="宋体" w:eastAsia="宋体" w:hint="default"/>
                            <w:b/>
                            <w:bCs/>
                            <w:w w:val="100"/>
                            <w:sz w:val="21"/>
                            <w:szCs w:val="21"/>
                          </w:rPr>
                          <w:t> </w:t>
                        </w:r>
                        <w:r>
                          <w:rPr>
                            <w:rFonts w:ascii="宋体" w:hAnsi="宋体" w:cs="宋体" w:eastAsia="宋体" w:hint="default"/>
                            <w:b/>
                            <w:bCs/>
                            <w:sz w:val="21"/>
                            <w:szCs w:val="21"/>
                          </w:rPr>
                          <w:t>及决策程</w:t>
                        </w:r>
                        <w:r>
                          <w:rPr>
                            <w:rFonts w:ascii="宋体" w:hAnsi="宋体" w:cs="宋体" w:eastAsia="宋体" w:hint="default"/>
                            <w:b/>
                            <w:bCs/>
                            <w:w w:val="100"/>
                            <w:sz w:val="21"/>
                            <w:szCs w:val="21"/>
                          </w:rPr>
                          <w:t> </w:t>
                        </w:r>
                        <w:r>
                          <w:rPr>
                            <w:rFonts w:ascii="宋体" w:hAnsi="宋体" w:cs="宋体" w:eastAsia="宋体" w:hint="default"/>
                            <w:b/>
                            <w:bCs/>
                            <w:sz w:val="21"/>
                            <w:szCs w:val="21"/>
                          </w:rPr>
                          <w:t>序</w:t>
                        </w:r>
                        <w:r>
                          <w:rPr>
                            <w:rFonts w:ascii="宋体" w:hAnsi="宋体" w:cs="宋体" w:eastAsia="宋体" w:hint="default"/>
                            <w:sz w:val="21"/>
                            <w:szCs w:val="21"/>
                          </w:rPr>
                        </w:r>
                      </w:p>
                    </w:tc>
                    <w:tc>
                      <w:tcPr>
                        <w:tcW w:w="21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6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5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1259" w:hRule="exact"/>
                    </w:trPr>
                    <w:tc>
                      <w:tcPr>
                        <w:tcW w:w="2016"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087" w:type="dxa"/>
                        <w:vMerge/>
                        <w:tcBorders>
                          <w:left w:val="single" w:sz="4" w:space="0" w:color="000000"/>
                          <w:bottom w:val="single" w:sz="4" w:space="0" w:color="000000"/>
                          <w:right w:val="single" w:sz="4" w:space="0" w:color="000000"/>
                        </w:tcBorders>
                        <w:shd w:val="clear" w:color="auto" w:fill="D2D2D2"/>
                      </w:tcPr>
                      <w:p>
                        <w:pP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41" w:firstLine="19"/>
                          <w:jc w:val="both"/>
                          <w:rPr>
                            <w:rFonts w:ascii="Calibri" w:hAnsi="Calibri" w:cs="Calibri" w:eastAsia="Calibri" w:hint="default"/>
                            <w:sz w:val="21"/>
                            <w:szCs w:val="21"/>
                          </w:rPr>
                        </w:pPr>
                        <w:r>
                          <w:rPr>
                            <w:rFonts w:ascii="宋体" w:hAnsi="宋体" w:cs="宋体" w:eastAsia="宋体" w:hint="default"/>
                            <w:b/>
                            <w:bCs/>
                            <w:sz w:val="21"/>
                            <w:szCs w:val="21"/>
                          </w:rPr>
                          <w:t>占同类</w:t>
                        </w:r>
                        <w:r>
                          <w:rPr>
                            <w:rFonts w:ascii="宋体" w:hAnsi="宋体" w:cs="宋体" w:eastAsia="宋体" w:hint="default"/>
                            <w:b/>
                            <w:bCs/>
                            <w:w w:val="100"/>
                            <w:sz w:val="21"/>
                            <w:szCs w:val="21"/>
                          </w:rPr>
                          <w:t> </w:t>
                        </w:r>
                        <w:r>
                          <w:rPr>
                            <w:rFonts w:ascii="宋体" w:hAnsi="宋体" w:cs="宋体" w:eastAsia="宋体" w:hint="default"/>
                            <w:b/>
                            <w:bCs/>
                            <w:sz w:val="21"/>
                            <w:szCs w:val="21"/>
                          </w:rPr>
                          <w:t>交易金</w:t>
                        </w:r>
                        <w:r>
                          <w:rPr>
                            <w:rFonts w:ascii="宋体" w:hAnsi="宋体" w:cs="宋体" w:eastAsia="宋体" w:hint="default"/>
                            <w:b/>
                            <w:bCs/>
                            <w:w w:val="100"/>
                            <w:sz w:val="21"/>
                            <w:szCs w:val="21"/>
                          </w:rPr>
                          <w:t> </w:t>
                        </w:r>
                        <w:r>
                          <w:rPr>
                            <w:rFonts w:ascii="宋体" w:hAnsi="宋体" w:cs="宋体" w:eastAsia="宋体" w:hint="default"/>
                            <w:b/>
                            <w:bCs/>
                            <w:sz w:val="21"/>
                            <w:szCs w:val="21"/>
                          </w:rPr>
                          <w:t>额的比</w:t>
                        </w:r>
                        <w:r>
                          <w:rPr>
                            <w:rFonts w:ascii="宋体" w:hAnsi="宋体" w:cs="宋体" w:eastAsia="宋体" w:hint="default"/>
                            <w:b/>
                            <w:bCs/>
                            <w:w w:val="100"/>
                            <w:sz w:val="21"/>
                            <w:szCs w:val="21"/>
                          </w:rPr>
                          <w:t> </w:t>
                        </w:r>
                        <w:r>
                          <w:rPr>
                            <w:rFonts w:ascii="宋体" w:hAnsi="宋体" w:cs="宋体" w:eastAsia="宋体" w:hint="default"/>
                            <w:b/>
                            <w:bCs/>
                            <w:spacing w:val="-2"/>
                            <w:sz w:val="21"/>
                            <w:szCs w:val="21"/>
                          </w:rPr>
                          <w:t>例（</w:t>
                        </w:r>
                        <w:r>
                          <w:rPr>
                            <w:rFonts w:ascii="Calibri" w:hAnsi="Calibri" w:cs="Calibri" w:eastAsia="Calibri" w:hint="default"/>
                            <w:b/>
                            <w:bCs/>
                            <w:spacing w:val="-2"/>
                            <w:sz w:val="21"/>
                            <w:szCs w:val="21"/>
                          </w:rPr>
                          <w:t>%</w:t>
                        </w:r>
                        <w:r>
                          <w:rPr>
                            <w:rFonts w:ascii="Calibri" w:hAnsi="Calibri" w:cs="Calibri" w:eastAsia="Calibri" w:hint="default"/>
                            <w:spacing w:val="-2"/>
                            <w:sz w:val="21"/>
                            <w:szCs w:val="21"/>
                          </w:rPr>
                        </w:r>
                      </w:p>
                    </w:tc>
                    <w:tc>
                      <w:tcPr>
                        <w:tcW w:w="299" w:type="dxa"/>
                        <w:tcBorders>
                          <w:top w:val="single" w:sz="4" w:space="0" w:color="000000"/>
                          <w:left w:val="single" w:sz="4" w:space="0" w:color="000000"/>
                          <w:bottom w:val="single" w:sz="4" w:space="0" w:color="000000"/>
                          <w:right w:val="nil" w:sz="6" w:space="0" w:color="auto"/>
                        </w:tcBorders>
                        <w:shd w:val="clear" w:color="auto" w:fill="D2D2D2"/>
                      </w:tcPr>
                      <w:p>
                        <w:pPr/>
                      </w:p>
                    </w:tc>
                    <w:tc>
                      <w:tcPr>
                        <w:tcW w:w="1159"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38" w:firstLine="16"/>
                          <w:jc w:val="both"/>
                          <w:rPr>
                            <w:rFonts w:ascii="Calibri" w:hAnsi="Calibri" w:cs="Calibri" w:eastAsia="Calibri" w:hint="default"/>
                            <w:sz w:val="21"/>
                            <w:szCs w:val="21"/>
                          </w:rPr>
                        </w:pPr>
                        <w:r>
                          <w:rPr>
                            <w:rFonts w:ascii="宋体" w:hAnsi="宋体" w:cs="宋体" w:eastAsia="宋体" w:hint="default"/>
                            <w:b/>
                            <w:bCs/>
                            <w:sz w:val="21"/>
                            <w:szCs w:val="21"/>
                          </w:rPr>
                          <w:t>占同类</w:t>
                        </w:r>
                        <w:r>
                          <w:rPr>
                            <w:rFonts w:ascii="宋体" w:hAnsi="宋体" w:cs="宋体" w:eastAsia="宋体" w:hint="default"/>
                            <w:b/>
                            <w:bCs/>
                            <w:w w:val="100"/>
                            <w:sz w:val="21"/>
                            <w:szCs w:val="21"/>
                          </w:rPr>
                          <w:t> </w:t>
                        </w:r>
                        <w:r>
                          <w:rPr>
                            <w:rFonts w:ascii="宋体" w:hAnsi="宋体" w:cs="宋体" w:eastAsia="宋体" w:hint="default"/>
                            <w:b/>
                            <w:bCs/>
                            <w:sz w:val="21"/>
                            <w:szCs w:val="21"/>
                          </w:rPr>
                          <w:t>交易金</w:t>
                        </w:r>
                        <w:r>
                          <w:rPr>
                            <w:rFonts w:ascii="宋体" w:hAnsi="宋体" w:cs="宋体" w:eastAsia="宋体" w:hint="default"/>
                            <w:b/>
                            <w:bCs/>
                            <w:w w:val="100"/>
                            <w:sz w:val="21"/>
                            <w:szCs w:val="21"/>
                          </w:rPr>
                          <w:t> </w:t>
                        </w:r>
                        <w:r>
                          <w:rPr>
                            <w:rFonts w:ascii="宋体" w:hAnsi="宋体" w:cs="宋体" w:eastAsia="宋体" w:hint="default"/>
                            <w:b/>
                            <w:bCs/>
                            <w:sz w:val="21"/>
                            <w:szCs w:val="21"/>
                          </w:rPr>
                          <w:t>额的比</w:t>
                        </w:r>
                        <w:r>
                          <w:rPr>
                            <w:rFonts w:ascii="宋体" w:hAnsi="宋体" w:cs="宋体" w:eastAsia="宋体" w:hint="default"/>
                            <w:b/>
                            <w:bCs/>
                            <w:w w:val="100"/>
                            <w:sz w:val="21"/>
                            <w:szCs w:val="21"/>
                          </w:rPr>
                          <w:t> </w:t>
                        </w:r>
                        <w:r>
                          <w:rPr>
                            <w:rFonts w:ascii="宋体" w:hAnsi="宋体" w:cs="宋体" w:eastAsia="宋体" w:hint="default"/>
                            <w:b/>
                            <w:bCs/>
                            <w:spacing w:val="-4"/>
                            <w:sz w:val="21"/>
                            <w:szCs w:val="21"/>
                          </w:rPr>
                          <w:t>例（</w:t>
                        </w:r>
                        <w:r>
                          <w:rPr>
                            <w:rFonts w:ascii="Calibri" w:hAnsi="Calibri" w:cs="Calibri" w:eastAsia="Calibri" w:hint="default"/>
                            <w:b/>
                            <w:bCs/>
                            <w:spacing w:val="-4"/>
                            <w:sz w:val="21"/>
                            <w:szCs w:val="21"/>
                          </w:rPr>
                          <w:t>%</w:t>
                        </w:r>
                        <w:r>
                          <w:rPr>
                            <w:rFonts w:ascii="Calibri" w:hAnsi="Calibri" w:cs="Calibri" w:eastAsia="Calibri" w:hint="default"/>
                            <w:spacing w:val="-4"/>
                            <w:sz w:val="21"/>
                            <w:szCs w:val="21"/>
                          </w:rPr>
                        </w:r>
                      </w:p>
                    </w:tc>
                  </w:tr>
                  <w:tr>
                    <w:trPr>
                      <w:trHeight w:val="63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86"/>
                          <w:jc w:val="left"/>
                          <w:rPr>
                            <w:rFonts w:ascii="宋体" w:hAnsi="宋体" w:cs="宋体" w:eastAsia="宋体" w:hint="default"/>
                            <w:sz w:val="21"/>
                            <w:szCs w:val="21"/>
                          </w:rPr>
                        </w:pPr>
                        <w:r>
                          <w:rPr>
                            <w:rFonts w:ascii="宋体" w:hAnsi="宋体" w:cs="宋体" w:eastAsia="宋体" w:hint="default"/>
                            <w:sz w:val="21"/>
                            <w:szCs w:val="21"/>
                          </w:rPr>
                          <w:t>浙江中科数城软件有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 w:right="191"/>
                          <w:jc w:val="left"/>
                          <w:rPr>
                            <w:rFonts w:ascii="宋体" w:hAnsi="宋体" w:cs="宋体" w:eastAsia="宋体" w:hint="default"/>
                            <w:sz w:val="21"/>
                            <w:szCs w:val="21"/>
                          </w:rPr>
                        </w:pPr>
                        <w:r>
                          <w:rPr>
                            <w:rFonts w:ascii="宋体" w:hAnsi="宋体" w:cs="宋体" w:eastAsia="宋体" w:hint="default"/>
                            <w:sz w:val="21"/>
                            <w:szCs w:val="21"/>
                          </w:rPr>
                          <w:t>软件技术开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pacing w:val="-5"/>
                            <w:sz w:val="21"/>
                            <w:szCs w:val="21"/>
                          </w:rPr>
                          <w:t>市价；总经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理批准</w:t>
                        </w:r>
                      </w:p>
                    </w:tc>
                    <w:tc>
                      <w:tcPr>
                        <w:tcW w:w="1457"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682" w:right="0"/>
                          <w:jc w:val="left"/>
                          <w:rPr>
                            <w:rFonts w:ascii="Calibri" w:hAnsi="Calibri" w:cs="Calibri" w:eastAsia="Calibri" w:hint="default"/>
                            <w:sz w:val="21"/>
                            <w:szCs w:val="21"/>
                          </w:rPr>
                        </w:pPr>
                        <w:r>
                          <w:rPr>
                            <w:rFonts w:ascii="Calibri"/>
                            <w:sz w:val="21"/>
                          </w:rPr>
                          <w:t>3,000.00</w:t>
                        </w: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86"/>
                          <w:jc w:val="left"/>
                          <w:rPr>
                            <w:rFonts w:ascii="宋体" w:hAnsi="宋体" w:cs="宋体" w:eastAsia="宋体" w:hint="default"/>
                            <w:sz w:val="21"/>
                            <w:szCs w:val="21"/>
                          </w:rPr>
                        </w:pPr>
                        <w:r>
                          <w:rPr>
                            <w:rFonts w:ascii="宋体" w:hAnsi="宋体" w:cs="宋体" w:eastAsia="宋体" w:hint="default"/>
                            <w:sz w:val="21"/>
                            <w:szCs w:val="21"/>
                          </w:rPr>
                          <w:t>北京国遥新天地信息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 w:right="189"/>
                          <w:jc w:val="left"/>
                          <w:rPr>
                            <w:rFonts w:ascii="宋体" w:hAnsi="宋体" w:cs="宋体" w:eastAsia="宋体" w:hint="default"/>
                            <w:sz w:val="21"/>
                            <w:szCs w:val="21"/>
                          </w:rPr>
                        </w:pPr>
                        <w:r>
                          <w:rPr>
                            <w:rFonts w:ascii="宋体" w:hAnsi="宋体" w:cs="宋体" w:eastAsia="宋体" w:hint="default"/>
                            <w:sz w:val="21"/>
                            <w:szCs w:val="21"/>
                          </w:rPr>
                          <w:t>软件技术开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pacing w:val="-5"/>
                            <w:sz w:val="21"/>
                            <w:szCs w:val="21"/>
                          </w:rPr>
                          <w:t>市价；总经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理批准</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15,000.00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0.01%</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576" w:right="0"/>
                          <w:jc w:val="left"/>
                          <w:rPr>
                            <w:rFonts w:ascii="Calibri" w:hAnsi="Calibri" w:cs="Calibri" w:eastAsia="Calibri" w:hint="default"/>
                            <w:sz w:val="21"/>
                            <w:szCs w:val="21"/>
                          </w:rPr>
                        </w:pPr>
                        <w:r>
                          <w:rPr>
                            <w:rFonts w:ascii="Calibri"/>
                            <w:sz w:val="21"/>
                          </w:rPr>
                          <w:t>14,400.00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0.01%</w:t>
                        </w:r>
                      </w:p>
                    </w:tc>
                  </w:tr>
                  <w:tr>
                    <w:trPr>
                      <w:trHeight w:val="63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86"/>
                          <w:jc w:val="left"/>
                          <w:rPr>
                            <w:rFonts w:ascii="宋体" w:hAnsi="宋体" w:cs="宋体" w:eastAsia="宋体" w:hint="default"/>
                            <w:sz w:val="21"/>
                            <w:szCs w:val="21"/>
                          </w:rPr>
                        </w:pPr>
                        <w:r>
                          <w:rPr>
                            <w:rFonts w:ascii="宋体" w:hAnsi="宋体" w:cs="宋体" w:eastAsia="宋体" w:hint="default"/>
                            <w:sz w:val="21"/>
                            <w:szCs w:val="21"/>
                          </w:rPr>
                          <w:t>北京国遥新天地信息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2" w:right="0"/>
                          <w:jc w:val="left"/>
                          <w:rPr>
                            <w:rFonts w:ascii="宋体" w:hAnsi="宋体" w:cs="宋体" w:eastAsia="宋体" w:hint="default"/>
                            <w:sz w:val="21"/>
                            <w:szCs w:val="21"/>
                          </w:rPr>
                        </w:pPr>
                        <w:r>
                          <w:rPr>
                            <w:rFonts w:ascii="宋体" w:hAnsi="宋体" w:cs="宋体" w:eastAsia="宋体" w:hint="default"/>
                            <w:sz w:val="21"/>
                            <w:szCs w:val="21"/>
                          </w:rPr>
                          <w:t>软件销售</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pacing w:val="-5"/>
                            <w:sz w:val="21"/>
                            <w:szCs w:val="21"/>
                          </w:rPr>
                          <w:t>市价；总经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理批准</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18,400.00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0.01%</w:t>
                        </w:r>
                      </w:p>
                    </w:tc>
                    <w:tc>
                      <w:tcPr>
                        <w:tcW w:w="1457" w:type="dxa"/>
                        <w:gridSpan w:val="2"/>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86"/>
                          <w:jc w:val="left"/>
                          <w:rPr>
                            <w:rFonts w:ascii="宋体" w:hAnsi="宋体" w:cs="宋体" w:eastAsia="宋体" w:hint="default"/>
                            <w:sz w:val="21"/>
                            <w:szCs w:val="21"/>
                          </w:rPr>
                        </w:pPr>
                        <w:r>
                          <w:rPr>
                            <w:rFonts w:ascii="宋体" w:hAnsi="宋体" w:cs="宋体" w:eastAsia="宋体" w:hint="default"/>
                            <w:sz w:val="21"/>
                            <w:szCs w:val="21"/>
                          </w:rPr>
                          <w:t>中国科学院地理科学</w:t>
                        </w:r>
                        <w:r>
                          <w:rPr>
                            <w:rFonts w:ascii="宋体" w:hAnsi="宋体" w:cs="宋体" w:eastAsia="宋体" w:hint="default"/>
                            <w:w w:val="100"/>
                            <w:sz w:val="21"/>
                            <w:szCs w:val="21"/>
                          </w:rPr>
                          <w:t> </w:t>
                        </w:r>
                        <w:r>
                          <w:rPr>
                            <w:rFonts w:ascii="宋体" w:hAnsi="宋体" w:cs="宋体" w:eastAsia="宋体" w:hint="default"/>
                            <w:sz w:val="21"/>
                            <w:szCs w:val="21"/>
                          </w:rPr>
                          <w:t>与资源研究所</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2" w:right="189"/>
                          <w:jc w:val="left"/>
                          <w:rPr>
                            <w:rFonts w:ascii="宋体" w:hAnsi="宋体" w:cs="宋体" w:eastAsia="宋体" w:hint="default"/>
                            <w:sz w:val="21"/>
                            <w:szCs w:val="21"/>
                          </w:rPr>
                        </w:pPr>
                        <w:r>
                          <w:rPr>
                            <w:rFonts w:ascii="宋体" w:hAnsi="宋体" w:cs="宋体" w:eastAsia="宋体" w:hint="default"/>
                            <w:sz w:val="21"/>
                            <w:szCs w:val="21"/>
                          </w:rPr>
                          <w:t>软件技术开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发</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9"/>
                          <w:jc w:val="left"/>
                          <w:rPr>
                            <w:rFonts w:ascii="宋体" w:hAnsi="宋体" w:cs="宋体" w:eastAsia="宋体" w:hint="default"/>
                            <w:sz w:val="21"/>
                            <w:szCs w:val="21"/>
                          </w:rPr>
                        </w:pPr>
                        <w:r>
                          <w:rPr>
                            <w:rFonts w:ascii="宋体" w:hAnsi="宋体" w:cs="宋体" w:eastAsia="宋体" w:hint="default"/>
                            <w:spacing w:val="-5"/>
                            <w:sz w:val="21"/>
                            <w:szCs w:val="21"/>
                          </w:rPr>
                          <w:t>市价；总经</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理批准</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1,170,000.00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1"/>
                            <w:sz w:val="21"/>
                          </w:rPr>
                          <w:t>0.44%</w:t>
                        </w:r>
                      </w:p>
                    </w:tc>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left="468" w:right="0"/>
                          <w:jc w:val="left"/>
                          <w:rPr>
                            <w:rFonts w:ascii="Calibri" w:hAnsi="Calibri" w:cs="Calibri" w:eastAsia="Calibri" w:hint="default"/>
                            <w:sz w:val="21"/>
                            <w:szCs w:val="21"/>
                          </w:rPr>
                        </w:pPr>
                        <w:r>
                          <w:rPr>
                            <w:rFonts w:ascii="Calibri"/>
                            <w:sz w:val="21"/>
                          </w:rPr>
                          <w:t>218,300.00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4"/>
                            <w:szCs w:val="14"/>
                          </w:rPr>
                        </w:pPr>
                      </w:p>
                      <w:p>
                        <w:pPr>
                          <w:pStyle w:val="TableParagraph"/>
                          <w:spacing w:line="240" w:lineRule="auto"/>
                          <w:ind w:right="20"/>
                          <w:jc w:val="right"/>
                          <w:rPr>
                            <w:rFonts w:ascii="Calibri" w:hAnsi="Calibri" w:cs="Calibri" w:eastAsia="Calibri" w:hint="default"/>
                            <w:sz w:val="21"/>
                            <w:szCs w:val="21"/>
                          </w:rPr>
                        </w:pPr>
                        <w:r>
                          <w:rPr>
                            <w:rFonts w:ascii="Calibri"/>
                            <w:spacing w:val="-2"/>
                            <w:sz w:val="21"/>
                          </w:rPr>
                          <w:t>0.07%</w:t>
                        </w:r>
                      </w:p>
                    </w:tc>
                  </w:tr>
                </w:tbl>
                <w:p>
                  <w:pPr/>
                </w:p>
              </w:txbxContent>
            </v:textbox>
            <w10:wrap type="none"/>
          </v:shape>
        </w:pict>
      </w:r>
      <w:r>
        <w:rPr>
          <w:rFonts w:ascii="宋体" w:hAnsi="宋体" w:cs="宋体" w:eastAsia="宋体" w:hint="default"/>
          <w:b/>
          <w:bCs/>
          <w:w w:val="100"/>
          <w:sz w:val="21"/>
          <w:szCs w:val="21"/>
        </w:rPr>
        <w:t>）</w:t>
      </w:r>
      <w:r>
        <w:rPr>
          <w:rFonts w:ascii="宋体" w:hAnsi="宋体" w:cs="宋体" w:eastAsia="宋体" w:hint="default"/>
          <w:w w:val="100"/>
          <w:sz w:val="21"/>
          <w:szCs w:val="21"/>
        </w:rPr>
      </w:r>
    </w:p>
    <w:p>
      <w:pPr>
        <w:spacing w:after="0"/>
        <w:jc w:val="right"/>
        <w:rPr>
          <w:rFonts w:ascii="宋体" w:hAnsi="宋体" w:cs="宋体" w:eastAsia="宋体" w:hint="default"/>
          <w:sz w:val="21"/>
          <w:szCs w:val="21"/>
        </w:rPr>
        <w:sectPr>
          <w:footerReference w:type="default" r:id="rId59"/>
          <w:pgSz w:w="11910" w:h="16840"/>
          <w:pgMar w:footer="1007" w:header="0" w:top="1160" w:bottom="1200" w:left="1240" w:right="1200"/>
          <w:pgNumType w:start="162"/>
        </w:sectPr>
      </w:pPr>
    </w:p>
    <w:p>
      <w:pPr>
        <w:spacing w:line="240" w:lineRule="auto" w:before="4"/>
        <w:rPr>
          <w:rFonts w:ascii="宋体" w:hAnsi="宋体" w:cs="宋体" w:eastAsia="宋体" w:hint="default"/>
          <w:b/>
          <w:bCs/>
          <w:sz w:val="16"/>
          <w:szCs w:val="16"/>
        </w:rPr>
      </w:pPr>
    </w:p>
    <w:p>
      <w:pPr>
        <w:spacing w:line="506" w:lineRule="auto" w:before="36"/>
        <w:ind w:left="558" w:right="6568"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2</w:t>
      </w:r>
      <w:r>
        <w:rPr>
          <w:rFonts w:ascii="宋体" w:hAnsi="宋体" w:cs="宋体" w:eastAsia="宋体" w:hint="default"/>
          <w:b/>
          <w:bCs/>
          <w:spacing w:val="-1"/>
          <w:sz w:val="21"/>
          <w:szCs w:val="21"/>
        </w:rPr>
        <w:t>）关联托管</w:t>
      </w:r>
      <w:r>
        <w:rPr>
          <w:rFonts w:ascii="Times New Roman" w:hAnsi="Times New Roman" w:cs="Times New Roman" w:eastAsia="Times New Roman" w:hint="default"/>
          <w:b/>
          <w:bCs/>
          <w:spacing w:val="-1"/>
          <w:sz w:val="21"/>
          <w:szCs w:val="21"/>
        </w:rPr>
        <w:t>/</w:t>
      </w:r>
      <w:r>
        <w:rPr>
          <w:rFonts w:ascii="宋体" w:hAnsi="宋体" w:cs="宋体" w:eastAsia="宋体" w:hint="default"/>
          <w:b/>
          <w:bCs/>
          <w:spacing w:val="-1"/>
          <w:sz w:val="21"/>
          <w:szCs w:val="21"/>
        </w:rPr>
        <w:t>承包情况</w:t>
      </w:r>
      <w:r>
        <w:rPr>
          <w:rFonts w:ascii="宋体" w:hAnsi="宋体" w:cs="宋体" w:eastAsia="宋体" w:hint="default"/>
          <w:b/>
          <w:bCs/>
          <w:spacing w:val="-95"/>
          <w:sz w:val="21"/>
          <w:szCs w:val="21"/>
        </w:rPr>
        <w:t> </w:t>
      </w:r>
      <w:r>
        <w:rPr>
          <w:rFonts w:ascii="宋体" w:hAnsi="宋体" w:cs="宋体" w:eastAsia="宋体" w:hint="default"/>
          <w:sz w:val="21"/>
          <w:szCs w:val="21"/>
        </w:rPr>
        <w:t>无此情况</w:t>
      </w:r>
    </w:p>
    <w:p>
      <w:pPr>
        <w:spacing w:line="506" w:lineRule="auto" w:before="104"/>
        <w:ind w:left="558" w:right="703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）关联租赁情况</w:t>
      </w:r>
      <w:r>
        <w:rPr>
          <w:rFonts w:ascii="宋体" w:hAnsi="宋体" w:cs="宋体" w:eastAsia="宋体" w:hint="default"/>
          <w:b/>
          <w:bCs/>
          <w:spacing w:val="-104"/>
          <w:sz w:val="21"/>
          <w:szCs w:val="21"/>
        </w:rPr>
        <w:t> </w:t>
      </w:r>
      <w:r>
        <w:rPr>
          <w:rFonts w:ascii="宋体" w:hAnsi="宋体" w:cs="宋体" w:eastAsia="宋体" w:hint="default"/>
          <w:sz w:val="21"/>
          <w:szCs w:val="21"/>
        </w:rPr>
        <w:t>无此情况</w:t>
      </w:r>
    </w:p>
    <w:p>
      <w:pPr>
        <w:spacing w:line="506" w:lineRule="auto" w:before="104"/>
        <w:ind w:left="558" w:right="703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04"/>
          <w:sz w:val="21"/>
          <w:szCs w:val="21"/>
        </w:rPr>
        <w:t> </w:t>
      </w:r>
      <w:r>
        <w:rPr>
          <w:rFonts w:ascii="宋体" w:hAnsi="宋体" w:cs="宋体" w:eastAsia="宋体" w:hint="default"/>
          <w:sz w:val="21"/>
          <w:szCs w:val="21"/>
        </w:rPr>
        <w:t>无此情况</w:t>
      </w:r>
    </w:p>
    <w:p>
      <w:pPr>
        <w:spacing w:line="506" w:lineRule="auto" w:before="104"/>
        <w:ind w:left="558" w:right="682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b/>
          <w:bCs/>
          <w:w w:val="100"/>
          <w:sz w:val="21"/>
          <w:szCs w:val="21"/>
        </w:rPr>
        <w:t> </w:t>
      </w:r>
      <w:r>
        <w:rPr>
          <w:rFonts w:ascii="宋体" w:hAnsi="宋体" w:cs="宋体" w:eastAsia="宋体" w:hint="default"/>
          <w:sz w:val="21"/>
          <w:szCs w:val="21"/>
        </w:rPr>
        <w:t>无此情况</w:t>
      </w:r>
    </w:p>
    <w:p>
      <w:pPr>
        <w:spacing w:line="506" w:lineRule="auto" w:before="104"/>
        <w:ind w:left="558" w:right="5197"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6</w:t>
      </w:r>
      <w:r>
        <w:rPr>
          <w:rFonts w:ascii="宋体" w:hAnsi="宋体" w:cs="宋体" w:eastAsia="宋体" w:hint="default"/>
          <w:b/>
          <w:bCs/>
          <w:spacing w:val="-1"/>
          <w:sz w:val="21"/>
          <w:szCs w:val="21"/>
        </w:rPr>
        <w:t>）关联方资产转让、债务重组情况</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无此情况</w:t>
      </w:r>
    </w:p>
    <w:p>
      <w:pPr>
        <w:spacing w:line="506" w:lineRule="auto" w:before="104"/>
        <w:ind w:left="558" w:right="703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）其他关联交易</w:t>
      </w:r>
      <w:r>
        <w:rPr>
          <w:rFonts w:ascii="宋体" w:hAnsi="宋体" w:cs="宋体" w:eastAsia="宋体" w:hint="default"/>
          <w:b/>
          <w:bCs/>
          <w:spacing w:val="-104"/>
          <w:sz w:val="21"/>
          <w:szCs w:val="21"/>
        </w:rPr>
        <w:t> </w:t>
      </w:r>
      <w:r>
        <w:rPr>
          <w:rFonts w:ascii="宋体" w:hAnsi="宋体" w:cs="宋体" w:eastAsia="宋体" w:hint="default"/>
          <w:sz w:val="21"/>
          <w:szCs w:val="21"/>
        </w:rPr>
        <w:t>无</w:t>
      </w:r>
    </w:p>
    <w:p>
      <w:pPr>
        <w:spacing w:before="104"/>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sz w:val="21"/>
          <w:szCs w:val="21"/>
        </w:rPr>
        <w:t>上市公司应收关联方款项</w:t>
      </w:r>
    </w:p>
    <w:p>
      <w:pPr>
        <w:spacing w:before="37"/>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882"/>
        <w:gridCol w:w="1525"/>
        <w:gridCol w:w="1337"/>
        <w:gridCol w:w="1337"/>
        <w:gridCol w:w="1337"/>
        <w:gridCol w:w="1332"/>
      </w:tblGrid>
      <w:tr>
        <w:trPr>
          <w:trHeight w:val="322" w:hRule="exact"/>
        </w:trPr>
        <w:tc>
          <w:tcPr>
            <w:tcW w:w="18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left="513" w:right="0"/>
              <w:jc w:val="left"/>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15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left="439" w:right="0"/>
              <w:jc w:val="left"/>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67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w:t>
            </w:r>
            <w:r>
              <w:rPr>
                <w:rFonts w:ascii="宋体" w:hAnsi="宋体" w:cs="宋体" w:eastAsia="宋体" w:hint="default"/>
                <w:sz w:val="21"/>
                <w:szCs w:val="21"/>
              </w:rPr>
            </w:r>
          </w:p>
        </w:tc>
        <w:tc>
          <w:tcPr>
            <w:tcW w:w="26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期初</w:t>
            </w:r>
            <w:r>
              <w:rPr>
                <w:rFonts w:ascii="宋体" w:hAnsi="宋体" w:cs="宋体" w:eastAsia="宋体" w:hint="default"/>
                <w:sz w:val="21"/>
                <w:szCs w:val="21"/>
              </w:rPr>
            </w:r>
          </w:p>
        </w:tc>
      </w:tr>
      <w:tr>
        <w:trPr>
          <w:trHeight w:val="322" w:hRule="exact"/>
        </w:trPr>
        <w:tc>
          <w:tcPr>
            <w:tcW w:w="1882" w:type="dxa"/>
            <w:vMerge/>
            <w:tcBorders>
              <w:left w:val="single" w:sz="4" w:space="0" w:color="000000"/>
              <w:bottom w:val="single" w:sz="4" w:space="0" w:color="000000"/>
              <w:right w:val="single" w:sz="4" w:space="0" w:color="000000"/>
            </w:tcBorders>
            <w:shd w:val="clear" w:color="auto" w:fill="D2D2D2"/>
          </w:tcPr>
          <w:p>
            <w:pPr/>
          </w:p>
        </w:tc>
        <w:tc>
          <w:tcPr>
            <w:tcW w:w="1525" w:type="dxa"/>
            <w:vMerge/>
            <w:tcBorders>
              <w:left w:val="single" w:sz="4" w:space="0" w:color="000000"/>
              <w:bottom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2"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42"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7"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634"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28"/>
              <w:jc w:val="left"/>
              <w:rPr>
                <w:rFonts w:ascii="宋体" w:hAnsi="宋体" w:cs="宋体" w:eastAsia="宋体" w:hint="default"/>
                <w:sz w:val="21"/>
                <w:szCs w:val="21"/>
              </w:rPr>
            </w:pPr>
            <w:r>
              <w:rPr>
                <w:rFonts w:ascii="宋体" w:hAnsi="宋体" w:cs="宋体" w:eastAsia="宋体" w:hint="default"/>
                <w:sz w:val="21"/>
                <w:szCs w:val="21"/>
              </w:rPr>
              <w:t>浙江中科数城</w:t>
            </w:r>
            <w:r>
              <w:rPr>
                <w:rFonts w:ascii="宋体" w:hAnsi="宋体" w:cs="宋体" w:eastAsia="宋体" w:hint="default"/>
                <w:w w:val="100"/>
                <w:sz w:val="21"/>
                <w:szCs w:val="21"/>
              </w:rPr>
              <w:t> </w:t>
            </w:r>
            <w:r>
              <w:rPr>
                <w:rFonts w:ascii="宋体" w:hAnsi="宋体" w:cs="宋体" w:eastAsia="宋体" w:hint="default"/>
                <w:sz w:val="21"/>
                <w:szCs w:val="21"/>
              </w:rPr>
              <w:t>软件有限公司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Calibri" w:hAnsi="Calibri" w:cs="Calibri" w:eastAsia="Calibri" w:hint="default"/>
                <w:sz w:val="21"/>
                <w:szCs w:val="21"/>
              </w:rPr>
            </w:pPr>
            <w:r>
              <w:rPr>
                <w:rFonts w:ascii="Calibri"/>
                <w:spacing w:val="-1"/>
                <w:sz w:val="21"/>
              </w:rPr>
              <w:t>919,500.00</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949" w:hRule="exact"/>
        </w:trPr>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228"/>
              <w:jc w:val="both"/>
              <w:rPr>
                <w:rFonts w:ascii="宋体" w:hAnsi="宋体" w:cs="宋体" w:eastAsia="宋体" w:hint="default"/>
                <w:sz w:val="21"/>
                <w:szCs w:val="21"/>
              </w:rPr>
            </w:pPr>
            <w:r>
              <w:rPr>
                <w:rFonts w:ascii="宋体" w:hAnsi="宋体" w:cs="宋体" w:eastAsia="宋体" w:hint="default"/>
                <w:sz w:val="21"/>
                <w:szCs w:val="21"/>
              </w:rPr>
              <w:t>中国科学院地</w:t>
            </w:r>
            <w:r>
              <w:rPr>
                <w:rFonts w:ascii="宋体" w:hAnsi="宋体" w:cs="宋体" w:eastAsia="宋体" w:hint="default"/>
                <w:w w:val="100"/>
                <w:sz w:val="21"/>
                <w:szCs w:val="21"/>
              </w:rPr>
              <w:t> </w:t>
            </w:r>
            <w:r>
              <w:rPr>
                <w:rFonts w:ascii="宋体" w:hAnsi="宋体" w:cs="宋体" w:eastAsia="宋体" w:hint="default"/>
                <w:sz w:val="21"/>
                <w:szCs w:val="21"/>
              </w:rPr>
              <w:t>理科学与资源</w:t>
            </w:r>
            <w:r>
              <w:rPr>
                <w:rFonts w:ascii="宋体" w:hAnsi="宋体" w:cs="宋体" w:eastAsia="宋体" w:hint="default"/>
                <w:w w:val="100"/>
                <w:sz w:val="21"/>
                <w:szCs w:val="21"/>
              </w:rPr>
              <w:t> </w:t>
            </w:r>
            <w:r>
              <w:rPr>
                <w:rFonts w:ascii="宋体" w:hAnsi="宋体" w:cs="宋体" w:eastAsia="宋体" w:hint="default"/>
                <w:sz w:val="21"/>
                <w:szCs w:val="21"/>
              </w:rPr>
              <w:t>研究所</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right="19"/>
              <w:jc w:val="right"/>
              <w:rPr>
                <w:rFonts w:ascii="Calibri" w:hAnsi="Calibri" w:cs="Calibri" w:eastAsia="Calibri" w:hint="default"/>
                <w:sz w:val="21"/>
                <w:szCs w:val="21"/>
              </w:rPr>
            </w:pPr>
            <w:r>
              <w:rPr>
                <w:rFonts w:ascii="Calibri"/>
                <w:spacing w:val="-2"/>
                <w:sz w:val="21"/>
              </w:rPr>
              <w:t>673,053.15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458" w:right="0"/>
              <w:jc w:val="left"/>
              <w:rPr>
                <w:rFonts w:ascii="Calibri" w:hAnsi="Calibri" w:cs="Calibri" w:eastAsia="Calibri" w:hint="default"/>
                <w:sz w:val="21"/>
                <w:szCs w:val="21"/>
              </w:rPr>
            </w:pPr>
            <w:r>
              <w:rPr>
                <w:rFonts w:ascii="Calibri"/>
                <w:sz w:val="21"/>
              </w:rPr>
              <w:t>33,652.66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89" w:right="0"/>
              <w:jc w:val="left"/>
              <w:rPr>
                <w:rFonts w:ascii="Calibri" w:hAnsi="Calibri" w:cs="Calibri" w:eastAsia="Calibri" w:hint="default"/>
                <w:sz w:val="21"/>
                <w:szCs w:val="21"/>
              </w:rPr>
            </w:pPr>
            <w:r>
              <w:rPr>
                <w:rFonts w:ascii="Calibri"/>
                <w:sz w:val="21"/>
              </w:rPr>
              <w:t>1,791,253.15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p>
            <w:pPr>
              <w:pStyle w:val="TableParagraph"/>
              <w:spacing w:line="240" w:lineRule="auto"/>
              <w:ind w:left="184" w:right="0"/>
              <w:jc w:val="left"/>
              <w:rPr>
                <w:rFonts w:ascii="Calibri" w:hAnsi="Calibri" w:cs="Calibri" w:eastAsia="Calibri" w:hint="default"/>
                <w:sz w:val="21"/>
                <w:szCs w:val="21"/>
              </w:rPr>
            </w:pPr>
            <w:r>
              <w:rPr>
                <w:rFonts w:ascii="Calibri"/>
                <w:sz w:val="21"/>
              </w:rPr>
              <w:t>1,167,041.35</w:t>
            </w:r>
          </w:p>
        </w:tc>
      </w:tr>
    </w:tbl>
    <w:p>
      <w:pPr>
        <w:spacing w:after="0" w:line="240" w:lineRule="auto"/>
        <w:jc w:val="left"/>
        <w:rPr>
          <w:rFonts w:ascii="Calibri" w:hAnsi="Calibri" w:cs="Calibri" w:eastAsia="Calibri" w:hint="default"/>
          <w:sz w:val="21"/>
          <w:szCs w:val="21"/>
        </w:rPr>
        <w:sectPr>
          <w:pgSz w:w="11910" w:h="16840"/>
          <w:pgMar w:header="0" w:footer="1007" w:top="1160" w:bottom="1200" w:left="1240" w:right="1260"/>
        </w:sectPr>
      </w:pPr>
    </w:p>
    <w:p>
      <w:pPr>
        <w:spacing w:line="273" w:lineRule="auto" w:before="0"/>
        <w:ind w:left="558" w:right="0" w:firstLine="0"/>
        <w:jc w:val="left"/>
        <w:rPr>
          <w:rFonts w:ascii="宋体" w:hAnsi="宋体" w:cs="宋体" w:eastAsia="宋体" w:hint="default"/>
          <w:sz w:val="21"/>
          <w:szCs w:val="21"/>
        </w:rPr>
      </w:pPr>
      <w:r>
        <w:rPr>
          <w:rFonts w:ascii="宋体" w:hAnsi="宋体" w:cs="宋体" w:eastAsia="宋体" w:hint="default"/>
          <w:spacing w:val="-2"/>
          <w:sz w:val="21"/>
          <w:szCs w:val="21"/>
        </w:rPr>
        <w:t>注：关联交易约定以净额结算的，应收关联方款项可以抵销后金额填列。</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上市公司应付关联方款项</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6"/>
          <w:szCs w:val="26"/>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440" w:bottom="280" w:left="1240" w:right="1260"/>
          <w:cols w:num="2" w:equalWidth="0">
            <w:col w:w="7284" w:space="462"/>
            <w:col w:w="1664"/>
          </w:cols>
        </w:sectPr>
      </w:pP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557"/>
        <w:gridCol w:w="2064"/>
        <w:gridCol w:w="2064"/>
        <w:gridCol w:w="2065"/>
      </w:tblGrid>
      <w:tr>
        <w:trPr>
          <w:trHeight w:val="322" w:hRule="exact"/>
        </w:trPr>
        <w:tc>
          <w:tcPr>
            <w:tcW w:w="2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项目名称</w:t>
            </w:r>
            <w:r>
              <w:rPr>
                <w:rFonts w:ascii="宋体" w:hAnsi="宋体" w:cs="宋体" w:eastAsia="宋体" w:hint="default"/>
                <w:sz w:val="21"/>
                <w:szCs w:val="21"/>
              </w:rPr>
            </w:r>
          </w:p>
        </w:tc>
        <w:tc>
          <w:tcPr>
            <w:tcW w:w="2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3"/>
              <w:jc w:val="center"/>
              <w:rPr>
                <w:rFonts w:ascii="宋体" w:hAnsi="宋体" w:cs="宋体" w:eastAsia="宋体" w:hint="default"/>
                <w:sz w:val="21"/>
                <w:szCs w:val="21"/>
              </w:rPr>
            </w:pPr>
            <w:r>
              <w:rPr>
                <w:rFonts w:ascii="宋体" w:hAnsi="宋体" w:cs="宋体" w:eastAsia="宋体" w:hint="default"/>
                <w:b/>
                <w:bCs/>
                <w:sz w:val="21"/>
                <w:szCs w:val="21"/>
              </w:rPr>
              <w:t>关联方</w:t>
            </w:r>
            <w:r>
              <w:rPr>
                <w:rFonts w:ascii="宋体" w:hAnsi="宋体" w:cs="宋体" w:eastAsia="宋体" w:hint="default"/>
                <w:sz w:val="21"/>
                <w:szCs w:val="21"/>
              </w:rPr>
            </w:r>
          </w:p>
        </w:tc>
        <w:tc>
          <w:tcPr>
            <w:tcW w:w="2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04" w:right="0"/>
              <w:jc w:val="left"/>
              <w:rPr>
                <w:rFonts w:ascii="宋体" w:hAnsi="宋体" w:cs="宋体" w:eastAsia="宋体" w:hint="default"/>
                <w:sz w:val="21"/>
                <w:szCs w:val="21"/>
              </w:rPr>
            </w:pPr>
            <w:r>
              <w:rPr>
                <w:rFonts w:ascii="宋体" w:hAnsi="宋体" w:cs="宋体" w:eastAsia="宋体" w:hint="default"/>
                <w:b/>
                <w:bCs/>
                <w:sz w:val="21"/>
                <w:szCs w:val="21"/>
              </w:rPr>
              <w:t>期末金额</w:t>
            </w:r>
            <w:r>
              <w:rPr>
                <w:rFonts w:ascii="宋体" w:hAnsi="宋体" w:cs="宋体" w:eastAsia="宋体" w:hint="default"/>
                <w:sz w:val="21"/>
                <w:szCs w:val="21"/>
              </w:rPr>
            </w:r>
          </w:p>
        </w:tc>
        <w:tc>
          <w:tcPr>
            <w:tcW w:w="2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05" w:right="0"/>
              <w:jc w:val="left"/>
              <w:rPr>
                <w:rFonts w:ascii="宋体" w:hAnsi="宋体" w:cs="宋体" w:eastAsia="宋体" w:hint="default"/>
                <w:sz w:val="21"/>
                <w:szCs w:val="21"/>
              </w:rPr>
            </w:pPr>
            <w:r>
              <w:rPr>
                <w:rFonts w:ascii="宋体" w:hAnsi="宋体" w:cs="宋体" w:eastAsia="宋体" w:hint="default"/>
                <w:b/>
                <w:bCs/>
                <w:sz w:val="21"/>
                <w:szCs w:val="21"/>
              </w:rPr>
              <w:t>期初金额</w:t>
            </w:r>
            <w:r>
              <w:rPr>
                <w:rFonts w:ascii="宋体" w:hAnsi="宋体" w:cs="宋体" w:eastAsia="宋体" w:hint="default"/>
                <w:sz w:val="21"/>
                <w:szCs w:val="21"/>
              </w:rPr>
            </w:r>
          </w:p>
        </w:tc>
      </w:tr>
      <w:tr>
        <w:trPr>
          <w:trHeight w:val="634"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37"/>
              <w:jc w:val="left"/>
              <w:rPr>
                <w:rFonts w:ascii="宋体" w:hAnsi="宋体" w:cs="宋体" w:eastAsia="宋体" w:hint="default"/>
                <w:sz w:val="21"/>
                <w:szCs w:val="21"/>
              </w:rPr>
            </w:pPr>
            <w:r>
              <w:rPr>
                <w:rFonts w:ascii="宋体" w:hAnsi="宋体" w:cs="宋体" w:eastAsia="宋体" w:hint="default"/>
                <w:sz w:val="21"/>
                <w:szCs w:val="21"/>
              </w:rPr>
              <w:t>北京国遥新天地信息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443,700.00</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1"/>
                <w:sz w:val="21"/>
              </w:rPr>
              <w:t>20,000.00</w:t>
            </w:r>
          </w:p>
        </w:tc>
      </w:tr>
      <w:tr>
        <w:trPr>
          <w:trHeight w:val="634" w:hRule="exact"/>
        </w:trPr>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left="2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1" w:right="137"/>
              <w:jc w:val="left"/>
              <w:rPr>
                <w:rFonts w:ascii="宋体" w:hAnsi="宋体" w:cs="宋体" w:eastAsia="宋体" w:hint="default"/>
                <w:sz w:val="21"/>
                <w:szCs w:val="21"/>
              </w:rPr>
            </w:pPr>
            <w:r>
              <w:rPr>
                <w:rFonts w:ascii="宋体" w:hAnsi="宋体" w:cs="宋体" w:eastAsia="宋体" w:hint="default"/>
                <w:sz w:val="21"/>
                <w:szCs w:val="21"/>
              </w:rPr>
              <w:t>浙江中科数城软件有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200,000.00</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200,000.00</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注：关联交易约定以净额结算的，应付关联方款项可以抵销后金额填列。</w:t>
      </w:r>
    </w:p>
    <w:p>
      <w:pPr>
        <w:spacing w:after="0" w:line="262" w:lineRule="exact"/>
        <w:jc w:val="left"/>
        <w:rPr>
          <w:rFonts w:ascii="宋体" w:hAnsi="宋体" w:cs="宋体" w:eastAsia="宋体" w:hint="default"/>
          <w:sz w:val="21"/>
          <w:szCs w:val="21"/>
        </w:rPr>
        <w:sectPr>
          <w:type w:val="continuous"/>
          <w:pgSz w:w="11910" w:h="16840"/>
          <w:pgMar w:top="440" w:bottom="280" w:left="1240" w:right="1260"/>
        </w:sectPr>
      </w:pPr>
    </w:p>
    <w:p>
      <w:pPr>
        <w:spacing w:line="240" w:lineRule="auto" w:before="2"/>
        <w:rPr>
          <w:rFonts w:ascii="宋体" w:hAnsi="宋体" w:cs="宋体" w:eastAsia="宋体" w:hint="default"/>
          <w:sz w:val="15"/>
          <w:szCs w:val="15"/>
        </w:rPr>
      </w:pPr>
    </w:p>
    <w:p>
      <w:pPr>
        <w:pStyle w:val="Heading4"/>
        <w:spacing w:line="240" w:lineRule="auto" w:before="26"/>
        <w:ind w:left="558" w:right="392"/>
        <w:jc w:val="left"/>
        <w:rPr>
          <w:b w:val="0"/>
          <w:bCs w:val="0"/>
        </w:rPr>
      </w:pPr>
      <w:r>
        <w:rPr/>
        <w:t>十、股份支付</w:t>
      </w:r>
      <w:r>
        <w:rPr>
          <w:b w:val="0"/>
          <w:bCs w:val="0"/>
        </w:rPr>
      </w:r>
    </w:p>
    <w:p>
      <w:pPr>
        <w:spacing w:line="240" w:lineRule="auto" w:before="12"/>
        <w:rPr>
          <w:rFonts w:ascii="宋体" w:hAnsi="宋体" w:cs="宋体" w:eastAsia="宋体" w:hint="default"/>
          <w:b/>
          <w:bCs/>
          <w:sz w:val="24"/>
          <w:szCs w:val="24"/>
        </w:rPr>
      </w:pPr>
    </w:p>
    <w:p>
      <w:pPr>
        <w:spacing w:before="0"/>
        <w:ind w:left="558" w:right="39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5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641"/>
        <w:gridCol w:w="5108"/>
      </w:tblGrid>
      <w:tr>
        <w:trPr>
          <w:trHeight w:val="322"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5108" w:type="dxa"/>
            <w:tcBorders>
              <w:top w:val="single" w:sz="4" w:space="0" w:color="000000"/>
              <w:left w:val="single" w:sz="13" w:space="0" w:color="D2D2D2"/>
              <w:bottom w:val="single" w:sz="4" w:space="0" w:color="000000"/>
              <w:right w:val="single" w:sz="4" w:space="0" w:color="000000"/>
            </w:tcBorders>
          </w:tcPr>
          <w:p>
            <w:pPr/>
          </w:p>
        </w:tc>
      </w:tr>
      <w:tr>
        <w:trPr>
          <w:trHeight w:val="32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5108" w:type="dxa"/>
            <w:tcBorders>
              <w:top w:val="single" w:sz="4" w:space="0" w:color="000000"/>
              <w:left w:val="single" w:sz="13" w:space="0" w:color="D2D2D2"/>
              <w:bottom w:val="single" w:sz="4" w:space="0" w:color="000000"/>
              <w:right w:val="single" w:sz="4" w:space="0" w:color="000000"/>
            </w:tcBorders>
          </w:tcPr>
          <w:p>
            <w:pPr/>
          </w:p>
        </w:tc>
      </w:tr>
      <w:tr>
        <w:trPr>
          <w:trHeight w:val="32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51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1"/>
              <w:jc w:val="right"/>
              <w:rPr>
                <w:rFonts w:ascii="Calibri" w:hAnsi="Calibri" w:cs="Calibri" w:eastAsia="Calibri" w:hint="default"/>
                <w:sz w:val="21"/>
                <w:szCs w:val="21"/>
              </w:rPr>
            </w:pPr>
            <w:r>
              <w:rPr>
                <w:rFonts w:ascii="Calibri"/>
                <w:spacing w:val="-2"/>
                <w:sz w:val="21"/>
              </w:rPr>
              <w:t>2,595,200.00</w:t>
            </w:r>
          </w:p>
        </w:tc>
      </w:tr>
      <w:tr>
        <w:trPr>
          <w:trHeight w:val="634"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31"/>
              <w:jc w:val="left"/>
              <w:rPr>
                <w:rFonts w:ascii="宋体" w:hAnsi="宋体" w:cs="宋体" w:eastAsia="宋体" w:hint="default"/>
                <w:sz w:val="21"/>
                <w:szCs w:val="21"/>
              </w:rPr>
            </w:pPr>
            <w:r>
              <w:rPr>
                <w:rFonts w:ascii="宋体" w:hAnsi="宋体" w:cs="宋体" w:eastAsia="宋体" w:hint="default"/>
                <w:spacing w:val="-2"/>
                <w:sz w:val="21"/>
                <w:szCs w:val="21"/>
              </w:rPr>
              <w:t>公司期末发行在外的股份期权行权价格</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的范围和合同剩余期限</w:t>
            </w:r>
          </w:p>
        </w:tc>
        <w:tc>
          <w:tcPr>
            <w:tcW w:w="5108" w:type="dxa"/>
            <w:tcBorders>
              <w:top w:val="single" w:sz="4" w:space="0" w:color="000000"/>
              <w:left w:val="single" w:sz="13" w:space="0" w:color="D2D2D2"/>
              <w:bottom w:val="single" w:sz="4" w:space="0" w:color="000000"/>
              <w:right w:val="single" w:sz="4" w:space="0" w:color="000000"/>
            </w:tcBorders>
          </w:tcPr>
          <w:p>
            <w:pPr/>
          </w:p>
        </w:tc>
      </w:tr>
      <w:tr>
        <w:trPr>
          <w:trHeight w:val="634"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31"/>
              <w:jc w:val="left"/>
              <w:rPr>
                <w:rFonts w:ascii="宋体" w:hAnsi="宋体" w:cs="宋体" w:eastAsia="宋体" w:hint="default"/>
                <w:sz w:val="21"/>
                <w:szCs w:val="21"/>
              </w:rPr>
            </w:pPr>
            <w:r>
              <w:rPr>
                <w:rFonts w:ascii="宋体" w:hAnsi="宋体" w:cs="宋体" w:eastAsia="宋体" w:hint="default"/>
                <w:spacing w:val="-2"/>
                <w:sz w:val="21"/>
                <w:szCs w:val="21"/>
              </w:rPr>
              <w:t>公司期末其他权益工具行权价格的范围</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和合同剩余期限</w:t>
            </w:r>
          </w:p>
        </w:tc>
        <w:tc>
          <w:tcPr>
            <w:tcW w:w="5108" w:type="dxa"/>
            <w:tcBorders>
              <w:top w:val="single" w:sz="4" w:space="0" w:color="000000"/>
              <w:left w:val="single" w:sz="13" w:space="0" w:color="D2D2D2"/>
              <w:bottom w:val="single" w:sz="4" w:space="0" w:color="000000"/>
              <w:right w:val="single" w:sz="4" w:space="0" w:color="000000"/>
            </w:tcBorders>
          </w:tcPr>
          <w:p>
            <w:pPr/>
          </w:p>
        </w:tc>
      </w:tr>
    </w:tbl>
    <w:p>
      <w:pPr>
        <w:spacing w:line="262" w:lineRule="exact" w:before="0"/>
        <w:ind w:left="558" w:right="392" w:firstLine="0"/>
        <w:jc w:val="left"/>
        <w:rPr>
          <w:rFonts w:ascii="宋体" w:hAnsi="宋体" w:cs="宋体" w:eastAsia="宋体" w:hint="default"/>
          <w:sz w:val="21"/>
          <w:szCs w:val="21"/>
        </w:rPr>
      </w:pPr>
      <w:r>
        <w:rPr>
          <w:rFonts w:ascii="宋体" w:hAnsi="宋体" w:cs="宋体" w:eastAsia="宋体" w:hint="default"/>
          <w:sz w:val="21"/>
          <w:szCs w:val="21"/>
        </w:rPr>
        <w:t>股份支付情况的说明</w:t>
      </w:r>
    </w:p>
    <w:p>
      <w:pPr>
        <w:pStyle w:val="BodyText"/>
        <w:spacing w:line="240" w:lineRule="auto" w:before="129"/>
        <w:ind w:left="560" w:right="392"/>
        <w:jc w:val="left"/>
      </w:pPr>
      <w:r>
        <w:rPr/>
        <w:t>说明：</w:t>
      </w:r>
    </w:p>
    <w:p>
      <w:pPr>
        <w:spacing w:line="240" w:lineRule="auto" w:before="1"/>
        <w:rPr>
          <w:rFonts w:ascii="宋体" w:hAnsi="宋体" w:cs="宋体" w:eastAsia="宋体" w:hint="default"/>
          <w:sz w:val="18"/>
          <w:szCs w:val="18"/>
        </w:rPr>
      </w:pPr>
    </w:p>
    <w:p>
      <w:pPr>
        <w:pStyle w:val="BodyText"/>
        <w:spacing w:line="220" w:lineRule="auto"/>
        <w:ind w:right="392"/>
        <w:jc w:val="left"/>
      </w:pPr>
      <w:r>
        <w:rPr>
          <w:rFonts w:ascii="Calibri" w:hAnsi="Calibri" w:cs="Calibri" w:eastAsia="Calibri" w:hint="default"/>
          <w:spacing w:val="-3"/>
        </w:rPr>
        <w:t>2011</w:t>
      </w:r>
      <w:r>
        <w:rPr>
          <w:spacing w:val="-3"/>
        </w:rPr>
        <w:t>年</w:t>
      </w:r>
      <w:r>
        <w:rPr>
          <w:rFonts w:ascii="Calibri" w:hAnsi="Calibri" w:cs="Calibri" w:eastAsia="Calibri" w:hint="default"/>
          <w:spacing w:val="-3"/>
        </w:rPr>
        <w:t>2</w:t>
      </w:r>
      <w:r>
        <w:rPr>
          <w:spacing w:val="-3"/>
        </w:rPr>
        <w:t>月</w:t>
      </w:r>
      <w:r>
        <w:rPr>
          <w:rFonts w:ascii="Calibri" w:hAnsi="Calibri" w:cs="Calibri" w:eastAsia="Calibri" w:hint="default"/>
          <w:spacing w:val="-3"/>
        </w:rPr>
        <w:t>24</w:t>
      </w:r>
      <w:r>
        <w:rPr>
          <w:spacing w:val="-3"/>
        </w:rPr>
        <w:t>日，公司第一届董事会第十七次会议审议通过了《关于公司股票期权激</w:t>
      </w:r>
      <w:r>
        <w:rPr>
          <w:spacing w:val="-88"/>
        </w:rPr>
        <w:t> </w:t>
      </w:r>
      <w:r>
        <w:rPr>
          <w:spacing w:val="-88"/>
        </w:rPr>
      </w:r>
      <w:r>
        <w:rPr/>
        <w:t>励计划（草案）的议案》，向公司高级管理人员以及董事会认为需要激励的其他人</w:t>
      </w:r>
      <w:r>
        <w:rPr>
          <w:spacing w:val="-77"/>
        </w:rPr>
        <w:t> </w:t>
      </w:r>
      <w:r>
        <w:rPr>
          <w:spacing w:val="-77"/>
        </w:rPr>
      </w:r>
      <w:r>
        <w:rPr>
          <w:spacing w:val="-1"/>
        </w:rPr>
        <w:t>员合计</w:t>
      </w:r>
      <w:r>
        <w:rPr>
          <w:rFonts w:ascii="Calibri" w:hAnsi="Calibri" w:cs="Calibri" w:eastAsia="Calibri" w:hint="default"/>
          <w:spacing w:val="-1"/>
        </w:rPr>
        <w:t>125</w:t>
      </w:r>
      <w:r>
        <w:rPr>
          <w:spacing w:val="-1"/>
        </w:rPr>
        <w:t>人授予</w:t>
      </w:r>
      <w:r>
        <w:rPr>
          <w:rFonts w:ascii="Calibri" w:hAnsi="Calibri" w:cs="Calibri" w:eastAsia="Calibri" w:hint="default"/>
          <w:spacing w:val="-1"/>
        </w:rPr>
        <w:t>200</w:t>
      </w:r>
      <w:r>
        <w:rPr>
          <w:spacing w:val="-1"/>
        </w:rPr>
        <w:t>万份股票期权（授予日</w:t>
      </w:r>
      <w:r>
        <w:rPr>
          <w:rFonts w:ascii="Calibri" w:hAnsi="Calibri" w:cs="Calibri" w:eastAsia="Calibri" w:hint="default"/>
          <w:spacing w:val="-1"/>
        </w:rPr>
        <w:t>2011</w:t>
      </w:r>
      <w:r>
        <w:rPr>
          <w:spacing w:val="-1"/>
        </w:rPr>
        <w:t>年</w:t>
      </w:r>
      <w:r>
        <w:rPr>
          <w:rFonts w:ascii="Calibri" w:hAnsi="Calibri" w:cs="Calibri" w:eastAsia="Calibri" w:hint="default"/>
          <w:spacing w:val="-1"/>
        </w:rPr>
        <w:t>6</w:t>
      </w:r>
      <w:r>
        <w:rPr>
          <w:spacing w:val="-1"/>
        </w:rPr>
        <w:t>月</w:t>
      </w:r>
      <w:r>
        <w:rPr>
          <w:rFonts w:ascii="Calibri" w:hAnsi="Calibri" w:cs="Calibri" w:eastAsia="Calibri" w:hint="default"/>
          <w:spacing w:val="-1"/>
        </w:rPr>
        <w:t>10</w:t>
      </w:r>
      <w:r>
        <w:rPr>
          <w:spacing w:val="-1"/>
        </w:rPr>
        <w:t>日），行权价每份</w:t>
      </w:r>
      <w:r>
        <w:rPr>
          <w:rFonts w:ascii="Calibri" w:hAnsi="Calibri" w:cs="Calibri" w:eastAsia="Calibri" w:hint="default"/>
          <w:spacing w:val="-1"/>
        </w:rPr>
        <w:t>28.45</w:t>
      </w:r>
      <w:r>
        <w:rPr>
          <w:spacing w:val="-1"/>
        </w:rPr>
        <w:t>元。</w:t>
      </w:r>
      <w:r>
        <w:rPr/>
        <w:t> 授予期权的主要行权条件：</w:t>
      </w:r>
      <w:r>
        <w:rPr>
          <w:rFonts w:ascii="Calibri" w:hAnsi="Calibri" w:cs="Calibri" w:eastAsia="Calibri" w:hint="default"/>
        </w:rPr>
        <w:t>2012-2014</w:t>
      </w:r>
      <w:r>
        <w:rPr/>
        <w:t>年度经审计的净利润相比</w:t>
      </w:r>
      <w:r>
        <w:rPr>
          <w:rFonts w:ascii="Calibri" w:hAnsi="Calibri" w:cs="Calibri" w:eastAsia="Calibri" w:hint="default"/>
        </w:rPr>
        <w:t>2010</w:t>
      </w:r>
      <w:r>
        <w:rPr/>
        <w:t>年度经审计的净 </w:t>
      </w:r>
      <w:r>
        <w:rPr>
          <w:spacing w:val="-4"/>
        </w:rPr>
        <w:t>利润的增长率均分别不低于</w:t>
      </w:r>
      <w:r>
        <w:rPr>
          <w:rFonts w:ascii="Calibri" w:hAnsi="Calibri" w:cs="Calibri" w:eastAsia="Calibri" w:hint="default"/>
          <w:spacing w:val="-4"/>
        </w:rPr>
        <w:t>44%</w:t>
      </w:r>
      <w:r>
        <w:rPr>
          <w:spacing w:val="-4"/>
        </w:rPr>
        <w:t>、</w:t>
      </w:r>
      <w:r>
        <w:rPr>
          <w:rFonts w:ascii="Calibri" w:hAnsi="Calibri" w:cs="Calibri" w:eastAsia="Calibri" w:hint="default"/>
          <w:spacing w:val="-4"/>
        </w:rPr>
        <w:t>72%</w:t>
      </w:r>
      <w:r>
        <w:rPr>
          <w:spacing w:val="-4"/>
        </w:rPr>
        <w:t>、</w:t>
      </w:r>
      <w:r>
        <w:rPr>
          <w:rFonts w:ascii="Calibri" w:hAnsi="Calibri" w:cs="Calibri" w:eastAsia="Calibri" w:hint="default"/>
          <w:spacing w:val="-4"/>
        </w:rPr>
        <w:t>108%</w:t>
      </w:r>
      <w:r>
        <w:rPr>
          <w:spacing w:val="-4"/>
        </w:rPr>
        <w:t>。本计划的股票来源为本公司向激励对</w:t>
      </w:r>
      <w:r>
        <w:rPr>
          <w:spacing w:val="-80"/>
        </w:rPr>
        <w:t> </w:t>
      </w:r>
      <w:r>
        <w:rPr>
          <w:spacing w:val="-80"/>
        </w:rPr>
      </w:r>
      <w:r>
        <w:rPr/>
        <w:t>象定向发行股票。本计划有效期为自股票期权授权日起</w:t>
      </w:r>
      <w:r>
        <w:rPr>
          <w:rFonts w:ascii="Calibri" w:hAnsi="Calibri" w:cs="Calibri" w:eastAsia="Calibri" w:hint="default"/>
        </w:rPr>
        <w:t>5</w:t>
      </w:r>
      <w:r>
        <w:rPr/>
        <w:t>年。本计划授予的股票期权 自本期激励计划授予日起满</w:t>
      </w:r>
      <w:r>
        <w:rPr>
          <w:rFonts w:ascii="Calibri" w:hAnsi="Calibri" w:cs="Calibri" w:eastAsia="Calibri" w:hint="default"/>
        </w:rPr>
        <w:t>24</w:t>
      </w:r>
      <w:r>
        <w:rPr/>
        <w:t>个月后，激励对象应在未来</w:t>
      </w:r>
      <w:r>
        <w:rPr>
          <w:rFonts w:ascii="Calibri" w:hAnsi="Calibri" w:cs="Calibri" w:eastAsia="Calibri" w:hint="default"/>
        </w:rPr>
        <w:t>36</w:t>
      </w:r>
      <w:r>
        <w:rPr/>
        <w:t>个月内分三期行权：</w:t>
      </w:r>
    </w:p>
    <w:p>
      <w:pPr>
        <w:spacing w:line="240" w:lineRule="auto" w:before="6"/>
        <w:rPr>
          <w:rFonts w:ascii="宋体" w:hAnsi="宋体" w:cs="宋体" w:eastAsia="宋体" w:hint="default"/>
          <w:sz w:val="17"/>
          <w:szCs w:val="17"/>
        </w:rPr>
      </w:pPr>
    </w:p>
    <w:tbl>
      <w:tblPr>
        <w:tblW w:w="0" w:type="auto"/>
        <w:jc w:val="left"/>
        <w:tblInd w:w="558" w:type="dxa"/>
        <w:tblLayout w:type="fixed"/>
        <w:tblCellMar>
          <w:top w:w="0" w:type="dxa"/>
          <w:left w:w="0" w:type="dxa"/>
          <w:bottom w:w="0" w:type="dxa"/>
          <w:right w:w="0" w:type="dxa"/>
        </w:tblCellMar>
        <w:tblLook w:val="01E0"/>
      </w:tblPr>
      <w:tblGrid>
        <w:gridCol w:w="1472"/>
        <w:gridCol w:w="5598"/>
        <w:gridCol w:w="2019"/>
      </w:tblGrid>
      <w:tr>
        <w:trPr>
          <w:trHeight w:val="662" w:hRule="exact"/>
        </w:trPr>
        <w:tc>
          <w:tcPr>
            <w:tcW w:w="1472" w:type="dxa"/>
            <w:tcBorders>
              <w:top w:val="single" w:sz="6" w:space="0" w:color="000000"/>
              <w:left w:val="nil" w:sz="6" w:space="0" w:color="auto"/>
              <w:bottom w:val="single" w:sz="8" w:space="0" w:color="000000"/>
              <w:right w:val="nil" w:sz="6" w:space="0" w:color="auto"/>
            </w:tcBorders>
          </w:tcPr>
          <w:p>
            <w:pPr>
              <w:pStyle w:val="TableParagraph"/>
              <w:spacing w:line="272" w:lineRule="exact"/>
              <w:ind w:left="9" w:right="0"/>
              <w:jc w:val="left"/>
              <w:rPr>
                <w:rFonts w:ascii="宋体" w:hAnsi="宋体" w:cs="宋体" w:eastAsia="宋体" w:hint="default"/>
                <w:sz w:val="21"/>
                <w:szCs w:val="21"/>
              </w:rPr>
            </w:pPr>
            <w:r>
              <w:rPr>
                <w:rFonts w:ascii="宋体" w:hAnsi="宋体" w:cs="宋体" w:eastAsia="宋体" w:hint="default"/>
                <w:b/>
                <w:bCs/>
                <w:sz w:val="21"/>
                <w:szCs w:val="21"/>
              </w:rPr>
              <w:t>行权期</w:t>
            </w:r>
            <w:r>
              <w:rPr>
                <w:rFonts w:ascii="宋体" w:hAnsi="宋体" w:cs="宋体" w:eastAsia="宋体" w:hint="default"/>
                <w:sz w:val="21"/>
                <w:szCs w:val="21"/>
              </w:rPr>
            </w:r>
          </w:p>
        </w:tc>
        <w:tc>
          <w:tcPr>
            <w:tcW w:w="5598" w:type="dxa"/>
            <w:tcBorders>
              <w:top w:val="single" w:sz="6" w:space="0" w:color="000000"/>
              <w:left w:val="nil" w:sz="6" w:space="0" w:color="auto"/>
              <w:bottom w:val="single" w:sz="8" w:space="0" w:color="000000"/>
              <w:right w:val="nil" w:sz="6" w:space="0" w:color="auto"/>
            </w:tcBorders>
          </w:tcPr>
          <w:p>
            <w:pPr>
              <w:pStyle w:val="TableParagraph"/>
              <w:spacing w:line="272" w:lineRule="exact"/>
              <w:ind w:left="200" w:right="0"/>
              <w:jc w:val="left"/>
              <w:rPr>
                <w:rFonts w:ascii="宋体" w:hAnsi="宋体" w:cs="宋体" w:eastAsia="宋体" w:hint="default"/>
                <w:sz w:val="21"/>
                <w:szCs w:val="21"/>
              </w:rPr>
            </w:pPr>
            <w:r>
              <w:rPr>
                <w:rFonts w:ascii="宋体" w:hAnsi="宋体" w:cs="宋体" w:eastAsia="宋体" w:hint="default"/>
                <w:b/>
                <w:bCs/>
                <w:sz w:val="21"/>
                <w:szCs w:val="21"/>
              </w:rPr>
              <w:t>行权时间</w:t>
            </w:r>
            <w:r>
              <w:rPr>
                <w:rFonts w:ascii="宋体" w:hAnsi="宋体" w:cs="宋体" w:eastAsia="宋体" w:hint="default"/>
                <w:sz w:val="21"/>
                <w:szCs w:val="21"/>
              </w:rPr>
            </w:r>
          </w:p>
        </w:tc>
        <w:tc>
          <w:tcPr>
            <w:tcW w:w="2019" w:type="dxa"/>
            <w:tcBorders>
              <w:top w:val="single" w:sz="6" w:space="0" w:color="000000"/>
              <w:left w:val="nil" w:sz="6" w:space="0" w:color="auto"/>
              <w:bottom w:val="single" w:sz="8" w:space="0" w:color="000000"/>
              <w:right w:val="nil" w:sz="6" w:space="0" w:color="auto"/>
            </w:tcBorders>
          </w:tcPr>
          <w:p>
            <w:pPr>
              <w:pStyle w:val="TableParagraph"/>
              <w:spacing w:line="273" w:lineRule="auto"/>
              <w:ind w:left="10" w:right="0"/>
              <w:jc w:val="left"/>
              <w:rPr>
                <w:rFonts w:ascii="宋体" w:hAnsi="宋体" w:cs="宋体" w:eastAsia="宋体" w:hint="default"/>
                <w:sz w:val="21"/>
                <w:szCs w:val="21"/>
              </w:rPr>
            </w:pPr>
            <w:r>
              <w:rPr>
                <w:rFonts w:ascii="宋体" w:hAnsi="宋体" w:cs="宋体" w:eastAsia="宋体" w:hint="default"/>
                <w:b/>
                <w:bCs/>
                <w:spacing w:val="11"/>
                <w:sz w:val="21"/>
                <w:szCs w:val="21"/>
              </w:rPr>
              <w:t>可行权数量占获授期</w:t>
            </w:r>
            <w:r>
              <w:rPr>
                <w:rFonts w:ascii="宋体" w:hAnsi="宋体" w:cs="宋体" w:eastAsia="宋体" w:hint="default"/>
                <w:b/>
                <w:bCs/>
                <w:spacing w:val="-94"/>
                <w:sz w:val="21"/>
                <w:szCs w:val="21"/>
              </w:rPr>
              <w:t> </w:t>
            </w:r>
            <w:r>
              <w:rPr>
                <w:rFonts w:ascii="宋体" w:hAnsi="宋体" w:cs="宋体" w:eastAsia="宋体" w:hint="default"/>
                <w:b/>
                <w:bCs/>
                <w:sz w:val="21"/>
                <w:szCs w:val="21"/>
              </w:rPr>
              <w:t>权数量比例</w:t>
            </w:r>
            <w:r>
              <w:rPr>
                <w:rFonts w:ascii="宋体" w:hAnsi="宋体" w:cs="宋体" w:eastAsia="宋体" w:hint="default"/>
                <w:sz w:val="21"/>
                <w:szCs w:val="21"/>
              </w:rPr>
            </w:r>
          </w:p>
        </w:tc>
      </w:tr>
      <w:tr>
        <w:trPr>
          <w:trHeight w:val="658" w:hRule="exact"/>
        </w:trPr>
        <w:tc>
          <w:tcPr>
            <w:tcW w:w="1472"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9" w:right="0"/>
              <w:jc w:val="left"/>
              <w:rPr>
                <w:rFonts w:ascii="宋体" w:hAnsi="宋体" w:cs="宋体" w:eastAsia="宋体" w:hint="default"/>
                <w:sz w:val="21"/>
                <w:szCs w:val="21"/>
              </w:rPr>
            </w:pPr>
            <w:r>
              <w:rPr>
                <w:rFonts w:ascii="宋体" w:hAnsi="宋体" w:cs="宋体" w:eastAsia="宋体" w:hint="default"/>
                <w:sz w:val="21"/>
                <w:szCs w:val="21"/>
              </w:rPr>
              <w:t>第一个行权期</w:t>
            </w:r>
          </w:p>
        </w:tc>
        <w:tc>
          <w:tcPr>
            <w:tcW w:w="5598" w:type="dxa"/>
            <w:tcBorders>
              <w:top w:val="single" w:sz="8" w:space="0" w:color="000000"/>
              <w:left w:val="nil" w:sz="6" w:space="0" w:color="auto"/>
              <w:bottom w:val="single" w:sz="8" w:space="0" w:color="000000"/>
              <w:right w:val="nil" w:sz="6" w:space="0" w:color="auto"/>
            </w:tcBorders>
          </w:tcPr>
          <w:p>
            <w:pPr>
              <w:pStyle w:val="TableParagraph"/>
              <w:spacing w:line="294" w:lineRule="exact"/>
              <w:ind w:left="200" w:right="0"/>
              <w:jc w:val="left"/>
              <w:rPr>
                <w:rFonts w:ascii="宋体" w:hAnsi="宋体" w:cs="宋体" w:eastAsia="宋体" w:hint="default"/>
                <w:sz w:val="21"/>
                <w:szCs w:val="21"/>
              </w:rPr>
            </w:pPr>
            <w:r>
              <w:rPr>
                <w:rFonts w:ascii="宋体" w:hAnsi="宋体" w:cs="宋体" w:eastAsia="宋体" w:hint="default"/>
                <w:spacing w:val="2"/>
                <w:sz w:val="21"/>
                <w:szCs w:val="21"/>
              </w:rPr>
              <w:t>自本次授权日起</w:t>
            </w:r>
            <w:r>
              <w:rPr>
                <w:rFonts w:ascii="Calibri" w:hAnsi="Calibri" w:cs="Calibri" w:eastAsia="Calibri" w:hint="default"/>
                <w:spacing w:val="2"/>
                <w:sz w:val="21"/>
                <w:szCs w:val="21"/>
              </w:rPr>
              <w:t>24</w:t>
            </w:r>
            <w:r>
              <w:rPr>
                <w:rFonts w:ascii="宋体" w:hAnsi="宋体" w:cs="宋体" w:eastAsia="宋体" w:hint="default"/>
                <w:spacing w:val="2"/>
                <w:sz w:val="21"/>
                <w:szCs w:val="21"/>
              </w:rPr>
              <w:t>个月后的首个交易日起至本次授权日起</w:t>
            </w:r>
          </w:p>
          <w:p>
            <w:pPr>
              <w:pStyle w:val="TableParagraph"/>
              <w:spacing w:line="240" w:lineRule="auto" w:before="10"/>
              <w:ind w:left="200" w:right="0"/>
              <w:jc w:val="left"/>
              <w:rPr>
                <w:rFonts w:ascii="宋体" w:hAnsi="宋体" w:cs="宋体" w:eastAsia="宋体" w:hint="default"/>
                <w:sz w:val="21"/>
                <w:szCs w:val="21"/>
              </w:rPr>
            </w:pPr>
            <w:r>
              <w:rPr>
                <w:rFonts w:ascii="Calibri" w:hAnsi="Calibri" w:cs="Calibri" w:eastAsia="Calibri" w:hint="default"/>
                <w:sz w:val="21"/>
                <w:szCs w:val="21"/>
              </w:rPr>
              <w:t>36</w:t>
            </w:r>
            <w:r>
              <w:rPr>
                <w:rFonts w:ascii="宋体" w:hAnsi="宋体" w:cs="宋体" w:eastAsia="宋体" w:hint="default"/>
                <w:sz w:val="21"/>
                <w:szCs w:val="21"/>
              </w:rPr>
              <w:t>个月内的最后一个交易日当日止</w:t>
            </w:r>
          </w:p>
        </w:tc>
        <w:tc>
          <w:tcPr>
            <w:tcW w:w="2019"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9"/>
              <w:jc w:val="right"/>
              <w:rPr>
                <w:rFonts w:ascii="Calibri" w:hAnsi="Calibri" w:cs="Calibri" w:eastAsia="Calibri" w:hint="default"/>
                <w:sz w:val="21"/>
                <w:szCs w:val="21"/>
              </w:rPr>
            </w:pPr>
            <w:r>
              <w:rPr>
                <w:rFonts w:ascii="Calibri"/>
                <w:spacing w:val="-1"/>
                <w:sz w:val="21"/>
              </w:rPr>
              <w:t>30%</w:t>
            </w:r>
          </w:p>
        </w:tc>
      </w:tr>
      <w:tr>
        <w:trPr>
          <w:trHeight w:val="660" w:hRule="exact"/>
        </w:trPr>
        <w:tc>
          <w:tcPr>
            <w:tcW w:w="1472" w:type="dxa"/>
            <w:tcBorders>
              <w:top w:val="single" w:sz="8" w:space="0" w:color="000000"/>
              <w:left w:val="nil" w:sz="6" w:space="0" w:color="auto"/>
              <w:bottom w:val="single" w:sz="8" w:space="0" w:color="000000"/>
              <w:right w:val="nil" w:sz="6" w:space="0" w:color="auto"/>
            </w:tcBorders>
          </w:tcPr>
          <w:p>
            <w:pPr>
              <w:pStyle w:val="TableParagraph"/>
              <w:spacing w:line="270" w:lineRule="exact"/>
              <w:ind w:left="9" w:right="0"/>
              <w:jc w:val="left"/>
              <w:rPr>
                <w:rFonts w:ascii="宋体" w:hAnsi="宋体" w:cs="宋体" w:eastAsia="宋体" w:hint="default"/>
                <w:sz w:val="21"/>
                <w:szCs w:val="21"/>
              </w:rPr>
            </w:pPr>
            <w:r>
              <w:rPr>
                <w:rFonts w:ascii="宋体" w:hAnsi="宋体" w:cs="宋体" w:eastAsia="宋体" w:hint="default"/>
                <w:sz w:val="21"/>
                <w:szCs w:val="21"/>
              </w:rPr>
              <w:t>第二个行权期</w:t>
            </w:r>
          </w:p>
        </w:tc>
        <w:tc>
          <w:tcPr>
            <w:tcW w:w="5598" w:type="dxa"/>
            <w:tcBorders>
              <w:top w:val="single" w:sz="8" w:space="0" w:color="000000"/>
              <w:left w:val="nil" w:sz="6" w:space="0" w:color="auto"/>
              <w:bottom w:val="single" w:sz="8" w:space="0" w:color="000000"/>
              <w:right w:val="nil" w:sz="6" w:space="0" w:color="auto"/>
            </w:tcBorders>
          </w:tcPr>
          <w:p>
            <w:pPr>
              <w:pStyle w:val="TableParagraph"/>
              <w:spacing w:line="296" w:lineRule="exact"/>
              <w:ind w:left="200" w:right="0"/>
              <w:jc w:val="left"/>
              <w:rPr>
                <w:rFonts w:ascii="宋体" w:hAnsi="宋体" w:cs="宋体" w:eastAsia="宋体" w:hint="default"/>
                <w:sz w:val="21"/>
                <w:szCs w:val="21"/>
              </w:rPr>
            </w:pPr>
            <w:r>
              <w:rPr>
                <w:rFonts w:ascii="宋体" w:hAnsi="宋体" w:cs="宋体" w:eastAsia="宋体" w:hint="default"/>
                <w:spacing w:val="2"/>
                <w:sz w:val="21"/>
                <w:szCs w:val="21"/>
              </w:rPr>
              <w:t>自本次授权日起</w:t>
            </w:r>
            <w:r>
              <w:rPr>
                <w:rFonts w:ascii="Calibri" w:hAnsi="Calibri" w:cs="Calibri" w:eastAsia="Calibri" w:hint="default"/>
                <w:spacing w:val="2"/>
                <w:sz w:val="21"/>
                <w:szCs w:val="21"/>
              </w:rPr>
              <w:t>36</w:t>
            </w:r>
            <w:r>
              <w:rPr>
                <w:rFonts w:ascii="宋体" w:hAnsi="宋体" w:cs="宋体" w:eastAsia="宋体" w:hint="default"/>
                <w:spacing w:val="2"/>
                <w:sz w:val="21"/>
                <w:szCs w:val="21"/>
              </w:rPr>
              <w:t>个月后的首个交易日起至本次授权日起</w:t>
            </w:r>
          </w:p>
          <w:p>
            <w:pPr>
              <w:pStyle w:val="TableParagraph"/>
              <w:spacing w:line="240" w:lineRule="auto" w:before="10"/>
              <w:ind w:left="200" w:right="0"/>
              <w:jc w:val="left"/>
              <w:rPr>
                <w:rFonts w:ascii="宋体" w:hAnsi="宋体" w:cs="宋体" w:eastAsia="宋体" w:hint="default"/>
                <w:sz w:val="21"/>
                <w:szCs w:val="21"/>
              </w:rPr>
            </w:pPr>
            <w:r>
              <w:rPr>
                <w:rFonts w:ascii="Calibri" w:hAnsi="Calibri" w:cs="Calibri" w:eastAsia="Calibri" w:hint="default"/>
                <w:sz w:val="21"/>
                <w:szCs w:val="21"/>
              </w:rPr>
              <w:t>48</w:t>
            </w:r>
            <w:r>
              <w:rPr>
                <w:rFonts w:ascii="宋体" w:hAnsi="宋体" w:cs="宋体" w:eastAsia="宋体" w:hint="default"/>
                <w:sz w:val="21"/>
                <w:szCs w:val="21"/>
              </w:rPr>
              <w:t>个月内的最后一个交易日当日止</w:t>
            </w:r>
          </w:p>
        </w:tc>
        <w:tc>
          <w:tcPr>
            <w:tcW w:w="2019" w:type="dxa"/>
            <w:tcBorders>
              <w:top w:val="single" w:sz="8" w:space="0" w:color="000000"/>
              <w:left w:val="nil" w:sz="6" w:space="0" w:color="auto"/>
              <w:bottom w:val="single" w:sz="8" w:space="0" w:color="000000"/>
              <w:right w:val="nil" w:sz="6" w:space="0" w:color="auto"/>
            </w:tcBorders>
          </w:tcPr>
          <w:p>
            <w:pPr>
              <w:pStyle w:val="TableParagraph"/>
              <w:spacing w:line="240" w:lineRule="auto" w:before="35"/>
              <w:ind w:right="9"/>
              <w:jc w:val="right"/>
              <w:rPr>
                <w:rFonts w:ascii="Calibri" w:hAnsi="Calibri" w:cs="Calibri" w:eastAsia="Calibri" w:hint="default"/>
                <w:sz w:val="21"/>
                <w:szCs w:val="21"/>
              </w:rPr>
            </w:pPr>
            <w:r>
              <w:rPr>
                <w:rFonts w:ascii="Calibri"/>
                <w:spacing w:val="-1"/>
                <w:sz w:val="21"/>
              </w:rPr>
              <w:t>30%</w:t>
            </w:r>
          </w:p>
        </w:tc>
      </w:tr>
      <w:tr>
        <w:trPr>
          <w:trHeight w:val="660" w:hRule="exact"/>
        </w:trPr>
        <w:tc>
          <w:tcPr>
            <w:tcW w:w="1472" w:type="dxa"/>
            <w:tcBorders>
              <w:top w:val="single" w:sz="8" w:space="0" w:color="000000"/>
              <w:left w:val="nil" w:sz="6" w:space="0" w:color="auto"/>
              <w:bottom w:val="single" w:sz="8" w:space="0" w:color="000000"/>
              <w:right w:val="nil" w:sz="6" w:space="0" w:color="auto"/>
            </w:tcBorders>
          </w:tcPr>
          <w:p>
            <w:pPr>
              <w:pStyle w:val="TableParagraph"/>
              <w:spacing w:line="267" w:lineRule="exact"/>
              <w:ind w:left="9" w:right="0"/>
              <w:jc w:val="left"/>
              <w:rPr>
                <w:rFonts w:ascii="宋体" w:hAnsi="宋体" w:cs="宋体" w:eastAsia="宋体" w:hint="default"/>
                <w:sz w:val="21"/>
                <w:szCs w:val="21"/>
              </w:rPr>
            </w:pPr>
            <w:r>
              <w:rPr>
                <w:rFonts w:ascii="宋体" w:hAnsi="宋体" w:cs="宋体" w:eastAsia="宋体" w:hint="default"/>
                <w:sz w:val="21"/>
                <w:szCs w:val="21"/>
              </w:rPr>
              <w:t>第三个行权期</w:t>
            </w:r>
          </w:p>
        </w:tc>
        <w:tc>
          <w:tcPr>
            <w:tcW w:w="5598" w:type="dxa"/>
            <w:tcBorders>
              <w:top w:val="single" w:sz="8" w:space="0" w:color="000000"/>
              <w:left w:val="nil" w:sz="6" w:space="0" w:color="auto"/>
              <w:bottom w:val="single" w:sz="8" w:space="0" w:color="000000"/>
              <w:right w:val="nil" w:sz="6" w:space="0" w:color="auto"/>
            </w:tcBorders>
          </w:tcPr>
          <w:p>
            <w:pPr>
              <w:pStyle w:val="TableParagraph"/>
              <w:spacing w:line="294" w:lineRule="exact"/>
              <w:ind w:left="200" w:right="0"/>
              <w:jc w:val="left"/>
              <w:rPr>
                <w:rFonts w:ascii="宋体" w:hAnsi="宋体" w:cs="宋体" w:eastAsia="宋体" w:hint="default"/>
                <w:sz w:val="21"/>
                <w:szCs w:val="21"/>
              </w:rPr>
            </w:pPr>
            <w:r>
              <w:rPr>
                <w:rFonts w:ascii="宋体" w:hAnsi="宋体" w:cs="宋体" w:eastAsia="宋体" w:hint="default"/>
                <w:spacing w:val="2"/>
                <w:sz w:val="21"/>
                <w:szCs w:val="21"/>
              </w:rPr>
              <w:t>自本次授权日起</w:t>
            </w:r>
            <w:r>
              <w:rPr>
                <w:rFonts w:ascii="Calibri" w:hAnsi="Calibri" w:cs="Calibri" w:eastAsia="Calibri" w:hint="default"/>
                <w:spacing w:val="2"/>
                <w:sz w:val="21"/>
                <w:szCs w:val="21"/>
              </w:rPr>
              <w:t>48</w:t>
            </w:r>
            <w:r>
              <w:rPr>
                <w:rFonts w:ascii="宋体" w:hAnsi="宋体" w:cs="宋体" w:eastAsia="宋体" w:hint="default"/>
                <w:spacing w:val="2"/>
                <w:sz w:val="21"/>
                <w:szCs w:val="21"/>
              </w:rPr>
              <w:t>个月后的首个交易日起至本次授权日起</w:t>
            </w:r>
          </w:p>
          <w:p>
            <w:pPr>
              <w:pStyle w:val="TableParagraph"/>
              <w:spacing w:line="240" w:lineRule="auto" w:before="10"/>
              <w:ind w:left="200" w:right="0"/>
              <w:jc w:val="left"/>
              <w:rPr>
                <w:rFonts w:ascii="宋体" w:hAnsi="宋体" w:cs="宋体" w:eastAsia="宋体" w:hint="default"/>
                <w:sz w:val="21"/>
                <w:szCs w:val="21"/>
              </w:rPr>
            </w:pPr>
            <w:r>
              <w:rPr>
                <w:rFonts w:ascii="Calibri" w:hAnsi="Calibri" w:cs="Calibri" w:eastAsia="Calibri" w:hint="default"/>
                <w:sz w:val="21"/>
                <w:szCs w:val="21"/>
              </w:rPr>
              <w:t>60</w:t>
            </w:r>
            <w:r>
              <w:rPr>
                <w:rFonts w:ascii="宋体" w:hAnsi="宋体" w:cs="宋体" w:eastAsia="宋体" w:hint="default"/>
                <w:sz w:val="21"/>
                <w:szCs w:val="21"/>
              </w:rPr>
              <w:t>个月内的最后一个交易日当日止</w:t>
            </w:r>
          </w:p>
        </w:tc>
        <w:tc>
          <w:tcPr>
            <w:tcW w:w="2019" w:type="dxa"/>
            <w:tcBorders>
              <w:top w:val="single" w:sz="8" w:space="0" w:color="000000"/>
              <w:left w:val="nil" w:sz="6" w:space="0" w:color="auto"/>
              <w:bottom w:val="single" w:sz="8" w:space="0" w:color="000000"/>
              <w:right w:val="nil" w:sz="6" w:space="0" w:color="auto"/>
            </w:tcBorders>
          </w:tcPr>
          <w:p>
            <w:pPr>
              <w:pStyle w:val="TableParagraph"/>
              <w:spacing w:line="240" w:lineRule="auto" w:before="33"/>
              <w:ind w:right="9"/>
              <w:jc w:val="right"/>
              <w:rPr>
                <w:rFonts w:ascii="Calibri" w:hAnsi="Calibri" w:cs="Calibri" w:eastAsia="Calibri" w:hint="default"/>
                <w:sz w:val="21"/>
                <w:szCs w:val="21"/>
              </w:rPr>
            </w:pPr>
            <w:r>
              <w:rPr>
                <w:rFonts w:ascii="Calibri"/>
                <w:spacing w:val="-1"/>
                <w:sz w:val="21"/>
              </w:rPr>
              <w:t>40%</w:t>
            </w:r>
          </w:p>
        </w:tc>
      </w:tr>
    </w:tbl>
    <w:p>
      <w:pPr>
        <w:pStyle w:val="BodyText"/>
        <w:spacing w:line="312" w:lineRule="exact" w:before="111"/>
        <w:ind w:right="507"/>
        <w:jc w:val="both"/>
      </w:pPr>
      <w:r>
        <w:rPr>
          <w:rFonts w:ascii="Calibri" w:hAnsi="Calibri" w:cs="Calibri" w:eastAsia="Calibri" w:hint="default"/>
          <w:spacing w:val="-3"/>
        </w:rPr>
        <w:t>2011</w:t>
      </w:r>
      <w:r>
        <w:rPr>
          <w:spacing w:val="-3"/>
        </w:rPr>
        <w:t>年</w:t>
      </w:r>
      <w:r>
        <w:rPr>
          <w:rFonts w:ascii="Calibri" w:hAnsi="Calibri" w:cs="Calibri" w:eastAsia="Calibri" w:hint="default"/>
          <w:spacing w:val="-3"/>
        </w:rPr>
        <w:t>5</w:t>
      </w:r>
      <w:r>
        <w:rPr>
          <w:spacing w:val="-3"/>
        </w:rPr>
        <w:t>月</w:t>
      </w:r>
      <w:r>
        <w:rPr>
          <w:rFonts w:ascii="Calibri" w:hAnsi="Calibri" w:cs="Calibri" w:eastAsia="Calibri" w:hint="default"/>
          <w:spacing w:val="-3"/>
        </w:rPr>
        <w:t>19</w:t>
      </w:r>
      <w:r>
        <w:rPr>
          <w:spacing w:val="-3"/>
        </w:rPr>
        <w:t>日，公司第一届董事会第二十次会议、第一届监事会第十二次会议审议</w:t>
      </w:r>
      <w:r>
        <w:rPr>
          <w:spacing w:val="-88"/>
        </w:rPr>
        <w:t> </w:t>
      </w:r>
      <w:r>
        <w:rPr>
          <w:spacing w:val="-88"/>
        </w:rPr>
      </w:r>
      <w:r>
        <w:rPr/>
        <w:t>通过了《北京超图软件股份有限公司股票期权激励计划（草案修订稿）》（以下简</w:t>
      </w:r>
      <w:r>
        <w:rPr>
          <w:spacing w:val="-77"/>
        </w:rPr>
        <w:t> </w:t>
      </w:r>
      <w:r>
        <w:rPr>
          <w:spacing w:val="-77"/>
        </w:rPr>
      </w:r>
      <w:r>
        <w:rPr/>
        <w:t>称《股票期权激励计划》），将股票期权激励对象人员数量由</w:t>
      </w:r>
      <w:r>
        <w:rPr>
          <w:rFonts w:ascii="Calibri" w:hAnsi="Calibri" w:cs="Calibri" w:eastAsia="Calibri" w:hint="default"/>
        </w:rPr>
        <w:t>125</w:t>
      </w:r>
      <w:r>
        <w:rPr/>
        <w:t>名调整到</w:t>
      </w:r>
      <w:r>
        <w:rPr>
          <w:rFonts w:ascii="Calibri" w:hAnsi="Calibri" w:cs="Calibri" w:eastAsia="Calibri" w:hint="default"/>
        </w:rPr>
        <w:t>116</w:t>
      </w:r>
      <w:r>
        <w:rPr/>
        <w:t>名，</w:t>
      </w:r>
      <w:r>
        <w:rPr>
          <w:spacing w:val="-76"/>
        </w:rPr>
        <w:t> </w:t>
      </w:r>
      <w:r>
        <w:rPr>
          <w:spacing w:val="-2"/>
        </w:rPr>
        <w:t>行权条件修改为：</w:t>
      </w:r>
      <w:r>
        <w:rPr>
          <w:rFonts w:ascii="Calibri" w:hAnsi="Calibri" w:cs="Calibri" w:eastAsia="Calibri" w:hint="default"/>
          <w:spacing w:val="-2"/>
        </w:rPr>
        <w:t>2012-2014</w:t>
      </w:r>
      <w:r>
        <w:rPr>
          <w:spacing w:val="-2"/>
        </w:rPr>
        <w:t>年度经审计的净利润相比</w:t>
      </w:r>
      <w:r>
        <w:rPr>
          <w:rFonts w:ascii="Calibri" w:hAnsi="Calibri" w:cs="Calibri" w:eastAsia="Calibri" w:hint="default"/>
          <w:spacing w:val="-2"/>
        </w:rPr>
        <w:t>2010</w:t>
      </w:r>
      <w:r>
        <w:rPr>
          <w:spacing w:val="-2"/>
        </w:rPr>
        <w:t>年度经审计的净利润的增</w:t>
      </w:r>
      <w:r>
        <w:rPr>
          <w:spacing w:val="-85"/>
        </w:rPr>
        <w:t> </w:t>
      </w:r>
      <w:r>
        <w:rPr>
          <w:spacing w:val="-85"/>
        </w:rPr>
      </w:r>
      <w:r>
        <w:rPr/>
        <w:t>长率均分别不低于</w:t>
      </w:r>
      <w:r>
        <w:rPr>
          <w:rFonts w:ascii="Calibri" w:hAnsi="Calibri" w:cs="Calibri" w:eastAsia="Calibri" w:hint="default"/>
        </w:rPr>
        <w:t>44%</w:t>
      </w:r>
      <w:r>
        <w:rPr/>
        <w:t>、</w:t>
      </w:r>
      <w:r>
        <w:rPr>
          <w:rFonts w:ascii="Calibri" w:hAnsi="Calibri" w:cs="Calibri" w:eastAsia="Calibri" w:hint="default"/>
        </w:rPr>
        <w:t>72%</w:t>
      </w:r>
      <w:r>
        <w:rPr/>
        <w:t>、</w:t>
      </w:r>
      <w:r>
        <w:rPr>
          <w:rFonts w:ascii="Calibri" w:hAnsi="Calibri" w:cs="Calibri" w:eastAsia="Calibri" w:hint="default"/>
        </w:rPr>
        <w:t>108%</w:t>
      </w:r>
      <w:r>
        <w:rPr/>
        <w:t>，</w:t>
      </w:r>
      <w:r>
        <w:rPr>
          <w:rFonts w:ascii="Calibri" w:hAnsi="Calibri" w:cs="Calibri" w:eastAsia="Calibri" w:hint="default"/>
        </w:rPr>
        <w:t>2012-2014</w:t>
      </w:r>
      <w:r>
        <w:rPr/>
        <w:t>年度加权平均净资产收益率分别不</w:t>
      </w:r>
      <w:r>
        <w:rPr>
          <w:spacing w:val="-94"/>
        </w:rPr>
        <w:t> </w:t>
      </w:r>
      <w:r>
        <w:rPr>
          <w:spacing w:val="-94"/>
        </w:rPr>
      </w:r>
      <w:r>
        <w:rPr/>
        <w:t>低于</w:t>
      </w:r>
      <w:r>
        <w:rPr>
          <w:rFonts w:ascii="Calibri" w:hAnsi="Calibri" w:cs="Calibri" w:eastAsia="Calibri" w:hint="default"/>
        </w:rPr>
        <w:t>8%</w:t>
      </w:r>
      <w:r>
        <w:rPr/>
        <w:t>、</w:t>
      </w:r>
      <w:r>
        <w:rPr>
          <w:rFonts w:ascii="Calibri" w:hAnsi="Calibri" w:cs="Calibri" w:eastAsia="Calibri" w:hint="default"/>
        </w:rPr>
        <w:t>8.5%</w:t>
      </w:r>
      <w:r>
        <w:rPr/>
        <w:t>、</w:t>
      </w:r>
      <w:r>
        <w:rPr>
          <w:rFonts w:ascii="Calibri" w:hAnsi="Calibri" w:cs="Calibri" w:eastAsia="Calibri" w:hint="default"/>
        </w:rPr>
        <w:t>9%</w:t>
      </w:r>
      <w:r>
        <w:rPr/>
        <w:t>。</w:t>
      </w:r>
    </w:p>
    <w:p>
      <w:pPr>
        <w:pStyle w:val="BodyText"/>
        <w:spacing w:line="220" w:lineRule="auto" w:before="207"/>
        <w:ind w:right="512"/>
        <w:jc w:val="both"/>
      </w:pPr>
      <w:r>
        <w:rPr>
          <w:rFonts w:ascii="Calibri" w:hAnsi="Calibri" w:cs="Calibri" w:eastAsia="Calibri" w:hint="default"/>
          <w:spacing w:val="-8"/>
        </w:rPr>
        <w:t>2011</w:t>
      </w:r>
      <w:r>
        <w:rPr>
          <w:spacing w:val="-8"/>
        </w:rPr>
        <w:t>年</w:t>
      </w:r>
      <w:r>
        <w:rPr>
          <w:rFonts w:ascii="Calibri" w:hAnsi="Calibri" w:cs="Calibri" w:eastAsia="Calibri" w:hint="default"/>
          <w:spacing w:val="-8"/>
        </w:rPr>
        <w:t>6</w:t>
      </w:r>
      <w:r>
        <w:rPr>
          <w:spacing w:val="-8"/>
        </w:rPr>
        <w:t>月</w:t>
      </w:r>
      <w:r>
        <w:rPr>
          <w:rFonts w:ascii="Calibri" w:hAnsi="Calibri" w:cs="Calibri" w:eastAsia="Calibri" w:hint="default"/>
          <w:spacing w:val="-8"/>
        </w:rPr>
        <w:t>10</w:t>
      </w:r>
      <w:r>
        <w:rPr>
          <w:spacing w:val="-8"/>
        </w:rPr>
        <w:t>日，公司第二届董事会第一次、第二届监事会第一次会议审议通过了《关</w:t>
      </w:r>
      <w:r>
        <w:rPr/>
        <w:t> </w:t>
      </w:r>
      <w:r>
        <w:rPr>
          <w:spacing w:val="7"/>
        </w:rPr>
        <w:t>于对</w:t>
      </w:r>
      <w:r>
        <w:rPr>
          <w:rFonts w:ascii="Calibri" w:hAnsi="Calibri" w:cs="Calibri" w:eastAsia="Calibri" w:hint="default"/>
          <w:spacing w:val="7"/>
        </w:rPr>
        <w:t>&lt;</w:t>
      </w:r>
      <w:r>
        <w:rPr>
          <w:spacing w:val="7"/>
        </w:rPr>
        <w:t>股票期权激励计划</w:t>
      </w:r>
      <w:r>
        <w:rPr>
          <w:rFonts w:ascii="Calibri" w:hAnsi="Calibri" w:cs="Calibri" w:eastAsia="Calibri" w:hint="default"/>
          <w:spacing w:val="7"/>
        </w:rPr>
        <w:t>&gt;</w:t>
      </w:r>
      <w:r>
        <w:rPr>
          <w:spacing w:val="7"/>
        </w:rPr>
        <w:t>激励对象及涉及股票期权数量和行权价格进行调整的议</w:t>
      </w:r>
      <w:r>
        <w:rPr>
          <w:spacing w:val="-108"/>
        </w:rPr>
        <w:t> </w:t>
      </w:r>
      <w:r>
        <w:rPr>
          <w:spacing w:val="-108"/>
        </w:rPr>
      </w:r>
      <w:r>
        <w:rPr>
          <w:spacing w:val="-6"/>
        </w:rPr>
        <w:t>案》，将激励对象由</w:t>
      </w:r>
      <w:r>
        <w:rPr>
          <w:rFonts w:ascii="Calibri" w:hAnsi="Calibri" w:cs="Calibri" w:eastAsia="Calibri" w:hint="default"/>
          <w:spacing w:val="-6"/>
        </w:rPr>
        <w:t>116</w:t>
      </w:r>
      <w:r>
        <w:rPr>
          <w:spacing w:val="-6"/>
        </w:rPr>
        <w:t>名调整为</w:t>
      </w:r>
      <w:r>
        <w:rPr>
          <w:rFonts w:ascii="Calibri" w:hAnsi="Calibri" w:cs="Calibri" w:eastAsia="Calibri" w:hint="default"/>
          <w:spacing w:val="-6"/>
        </w:rPr>
        <w:t>114</w:t>
      </w:r>
      <w:r>
        <w:rPr>
          <w:spacing w:val="-6"/>
        </w:rPr>
        <w:t>名，同时根据公司</w:t>
      </w:r>
      <w:r>
        <w:rPr>
          <w:rFonts w:ascii="Calibri" w:hAnsi="Calibri" w:cs="Calibri" w:eastAsia="Calibri" w:hint="default"/>
          <w:spacing w:val="-6"/>
        </w:rPr>
        <w:t>2010</w:t>
      </w:r>
      <w:r>
        <w:rPr>
          <w:spacing w:val="-6"/>
        </w:rPr>
        <w:t>年度股东大会通过的《关</w:t>
      </w:r>
      <w:r>
        <w:rPr>
          <w:spacing w:val="-81"/>
        </w:rPr>
        <w:t> </w:t>
      </w:r>
      <w:r>
        <w:rPr>
          <w:spacing w:val="-81"/>
        </w:rPr>
      </w:r>
      <w:r>
        <w:rPr/>
        <w:t>于</w:t>
      </w:r>
      <w:r>
        <w:rPr>
          <w:rFonts w:ascii="Calibri" w:hAnsi="Calibri" w:cs="Calibri" w:eastAsia="Calibri" w:hint="default"/>
        </w:rPr>
        <w:t>2010</w:t>
      </w:r>
      <w:r>
        <w:rPr/>
        <w:t>年度利润分配及资本公积金转增股本的预案》以及《股票期权激励计划》的</w:t>
      </w:r>
      <w:r>
        <w:rPr>
          <w:spacing w:val="-81"/>
        </w:rPr>
        <w:t> </w:t>
      </w:r>
      <w:r>
        <w:rPr>
          <w:spacing w:val="-81"/>
        </w:rPr>
      </w:r>
      <w:r>
        <w:rPr>
          <w:spacing w:val="7"/>
        </w:rPr>
        <w:t>相关规定，对股票期权数量及行权价格进行了调整。调整后，股票期权总数增至</w:t>
      </w:r>
      <w:r>
        <w:rPr>
          <w:spacing w:val="-102"/>
        </w:rPr>
        <w:t> </w:t>
      </w:r>
      <w:r>
        <w:rPr>
          <w:spacing w:val="-102"/>
        </w:rPr>
      </w:r>
      <w:r>
        <w:rPr>
          <w:rFonts w:ascii="Calibri" w:hAnsi="Calibri" w:cs="Calibri" w:eastAsia="Calibri" w:hint="default"/>
        </w:rPr>
        <w:t>314.88</w:t>
      </w:r>
      <w:r>
        <w:rPr/>
        <w:t>万份，行权价每份</w:t>
      </w:r>
      <w:r>
        <w:rPr>
          <w:rFonts w:ascii="Calibri" w:hAnsi="Calibri" w:cs="Calibri" w:eastAsia="Calibri" w:hint="default"/>
        </w:rPr>
        <w:t>17.66</w:t>
      </w:r>
      <w:r>
        <w:rPr/>
        <w:t>元。授予日为</w:t>
      </w:r>
      <w:r>
        <w:rPr>
          <w:rFonts w:ascii="Calibri" w:hAnsi="Calibri" w:cs="Calibri" w:eastAsia="Calibri" w:hint="default"/>
        </w:rPr>
        <w:t>2011</w:t>
      </w:r>
      <w:r>
        <w:rPr/>
        <w:t>年</w:t>
      </w:r>
      <w:r>
        <w:rPr>
          <w:rFonts w:ascii="Calibri" w:hAnsi="Calibri" w:cs="Calibri" w:eastAsia="Calibri" w:hint="default"/>
        </w:rPr>
        <w:t>6</w:t>
      </w:r>
      <w:r>
        <w:rPr/>
        <w:t>月</w:t>
      </w:r>
      <w:r>
        <w:rPr>
          <w:rFonts w:ascii="Calibri" w:hAnsi="Calibri" w:cs="Calibri" w:eastAsia="Calibri" w:hint="default"/>
        </w:rPr>
        <w:t>10</w:t>
      </w:r>
      <w:r>
        <w:rPr/>
        <w:t>日。</w:t>
      </w:r>
    </w:p>
    <w:p>
      <w:pPr>
        <w:spacing w:after="0" w:line="220" w:lineRule="auto"/>
        <w:jc w:val="both"/>
        <w:sectPr>
          <w:pgSz w:w="11910" w:h="16840"/>
          <w:pgMar w:header="0" w:footer="1007" w:top="1160" w:bottom="1200" w:left="1240" w:right="900"/>
        </w:sectPr>
      </w:pPr>
    </w:p>
    <w:p>
      <w:pPr>
        <w:spacing w:line="240" w:lineRule="auto" w:before="13"/>
        <w:rPr>
          <w:rFonts w:ascii="宋体" w:hAnsi="宋体" w:cs="宋体" w:eastAsia="宋体" w:hint="default"/>
          <w:sz w:val="14"/>
          <w:szCs w:val="14"/>
        </w:rPr>
      </w:pPr>
    </w:p>
    <w:p>
      <w:pPr>
        <w:pStyle w:val="BodyText"/>
        <w:spacing w:line="312" w:lineRule="exact" w:before="56"/>
        <w:ind w:right="233"/>
        <w:jc w:val="both"/>
      </w:pPr>
      <w:r>
        <w:rPr>
          <w:rFonts w:ascii="Calibri" w:hAnsi="Calibri" w:cs="Calibri" w:eastAsia="Calibri" w:hint="default"/>
        </w:rPr>
        <w:t>2012</w:t>
      </w:r>
      <w:r>
        <w:rPr/>
        <w:t>年</w:t>
      </w:r>
      <w:r>
        <w:rPr>
          <w:rFonts w:ascii="Calibri" w:hAnsi="Calibri" w:cs="Calibri" w:eastAsia="Calibri" w:hint="default"/>
        </w:rPr>
        <w:t>3</w:t>
      </w:r>
      <w:r>
        <w:rPr/>
        <w:t>月</w:t>
      </w:r>
      <w:r>
        <w:rPr>
          <w:rFonts w:ascii="Calibri" w:hAnsi="Calibri" w:cs="Calibri" w:eastAsia="Calibri" w:hint="default"/>
        </w:rPr>
        <w:t>9</w:t>
      </w:r>
      <w:r>
        <w:rPr/>
        <w:t>日，公司第二届董事会第六次会议审议通过了调整后的《北京超图软件</w:t>
      </w:r>
      <w:r>
        <w:rPr>
          <w:spacing w:val="-89"/>
        </w:rPr>
        <w:t> </w:t>
      </w:r>
      <w:r>
        <w:rPr>
          <w:spacing w:val="-89"/>
        </w:rPr>
      </w:r>
      <w:r>
        <w:rPr/>
        <w:t>股份有限公司股票期权激励计划（草案修订稿）》（以下简称：《股票期权激励计</w:t>
      </w:r>
      <w:r>
        <w:rPr>
          <w:spacing w:val="-77"/>
        </w:rPr>
        <w:t> </w:t>
      </w:r>
      <w:r>
        <w:rPr>
          <w:spacing w:val="-77"/>
        </w:rPr>
      </w:r>
      <w:r>
        <w:rPr/>
        <w:t>划》）。激励对象李少杰等</w:t>
      </w:r>
      <w:r>
        <w:rPr>
          <w:rFonts w:ascii="Calibri" w:hAnsi="Calibri" w:cs="Calibri" w:eastAsia="Calibri" w:hint="default"/>
        </w:rPr>
        <w:t>10</w:t>
      </w:r>
      <w:r>
        <w:rPr/>
        <w:t>人因个人原因在期权授予之后行权之前离职，所涉及</w:t>
      </w:r>
      <w:r>
        <w:rPr>
          <w:spacing w:val="-76"/>
        </w:rPr>
        <w:t> </w:t>
      </w:r>
      <w:r>
        <w:rPr>
          <w:spacing w:val="-76"/>
        </w:rPr>
      </w:r>
      <w:r>
        <w:rPr>
          <w:spacing w:val="2"/>
        </w:rPr>
        <w:t>股票期权数量共计</w:t>
      </w:r>
      <w:r>
        <w:rPr>
          <w:rFonts w:ascii="Calibri" w:hAnsi="Calibri" w:cs="Calibri" w:eastAsia="Calibri" w:hint="default"/>
          <w:spacing w:val="2"/>
        </w:rPr>
        <w:t>15.2</w:t>
      </w:r>
      <w:r>
        <w:rPr>
          <w:spacing w:val="2"/>
        </w:rPr>
        <w:t>万股，根据《股票期权激励计划》，其已不具备激励对象资</w:t>
      </w:r>
      <w:r>
        <w:rPr>
          <w:spacing w:val="-108"/>
        </w:rPr>
        <w:t> </w:t>
      </w:r>
      <w:r>
        <w:rPr>
          <w:spacing w:val="-108"/>
        </w:rPr>
      </w:r>
      <w:r>
        <w:rPr/>
        <w:t>格，注销其已登记的股票期权。调整后的《股票期权激励计划》所涉首次期权的激</w:t>
      </w:r>
      <w:r>
        <w:rPr>
          <w:spacing w:val="-77"/>
        </w:rPr>
        <w:t> </w:t>
      </w:r>
      <w:r>
        <w:rPr>
          <w:spacing w:val="-77"/>
        </w:rPr>
      </w:r>
      <w:r>
        <w:rPr/>
        <w:t>励对象为</w:t>
      </w:r>
      <w:r>
        <w:rPr>
          <w:rFonts w:ascii="Calibri" w:hAnsi="Calibri" w:cs="Calibri" w:eastAsia="Calibri" w:hint="default"/>
        </w:rPr>
        <w:t>107</w:t>
      </w:r>
      <w:r>
        <w:rPr/>
        <w:t>人，股票期权数量为</w:t>
      </w:r>
      <w:r>
        <w:rPr>
          <w:rFonts w:ascii="Calibri" w:hAnsi="Calibri" w:cs="Calibri" w:eastAsia="Calibri" w:hint="default"/>
        </w:rPr>
        <w:t>299.68</w:t>
      </w:r>
      <w:r>
        <w:rPr/>
        <w:t>万股。</w:t>
      </w:r>
    </w:p>
    <w:p>
      <w:pPr>
        <w:pStyle w:val="BodyText"/>
        <w:spacing w:line="218" w:lineRule="auto" w:before="210"/>
        <w:ind w:right="212"/>
        <w:jc w:val="both"/>
      </w:pPr>
      <w:r>
        <w:rPr>
          <w:spacing w:val="-3"/>
        </w:rPr>
        <w:t>自公司完成期权激励计划首期授予登记工作至</w:t>
      </w:r>
      <w:r>
        <w:rPr>
          <w:rFonts w:ascii="Calibri" w:hAnsi="Calibri" w:cs="Calibri" w:eastAsia="Calibri" w:hint="default"/>
          <w:spacing w:val="-3"/>
        </w:rPr>
        <w:t>2012</w:t>
      </w:r>
      <w:r>
        <w:rPr>
          <w:spacing w:val="-3"/>
        </w:rPr>
        <w:t>年</w:t>
      </w:r>
      <w:r>
        <w:rPr>
          <w:rFonts w:ascii="Calibri" w:hAnsi="Calibri" w:cs="Calibri" w:eastAsia="Calibri" w:hint="default"/>
          <w:spacing w:val="-3"/>
        </w:rPr>
        <w:t>11</w:t>
      </w:r>
      <w:r>
        <w:rPr>
          <w:spacing w:val="-3"/>
        </w:rPr>
        <w:t>月</w:t>
      </w:r>
      <w:r>
        <w:rPr>
          <w:rFonts w:ascii="Calibri" w:hAnsi="Calibri" w:cs="Calibri" w:eastAsia="Calibri" w:hint="default"/>
          <w:spacing w:val="-3"/>
        </w:rPr>
        <w:t>2</w:t>
      </w:r>
      <w:r>
        <w:rPr>
          <w:spacing w:val="-3"/>
        </w:rPr>
        <w:t>日，由于公司股票期权激</w:t>
      </w:r>
      <w:r>
        <w:rPr>
          <w:spacing w:val="-88"/>
        </w:rPr>
        <w:t> </w:t>
      </w:r>
      <w:r>
        <w:rPr>
          <w:spacing w:val="-88"/>
        </w:rPr>
      </w:r>
      <w:r>
        <w:rPr/>
        <w:t>励计划激励对象王敦洲等</w:t>
      </w:r>
      <w:r>
        <w:rPr>
          <w:rFonts w:ascii="Calibri" w:hAnsi="Calibri" w:cs="Calibri" w:eastAsia="Calibri" w:hint="default"/>
        </w:rPr>
        <w:t>22</w:t>
      </w:r>
      <w:r>
        <w:rPr/>
        <w:t>人因个人原因离职，根据《计划（草案修订稿）》其已</w:t>
      </w:r>
      <w:r>
        <w:rPr>
          <w:spacing w:val="-77"/>
        </w:rPr>
        <w:t> </w:t>
      </w:r>
      <w:r>
        <w:rPr>
          <w:spacing w:val="-77"/>
        </w:rPr>
      </w:r>
      <w:r>
        <w:rPr/>
        <w:t>不具备激励对象资格，该等</w:t>
      </w:r>
      <w:r>
        <w:rPr>
          <w:rFonts w:ascii="Calibri" w:hAnsi="Calibri" w:cs="Calibri" w:eastAsia="Calibri" w:hint="default"/>
        </w:rPr>
        <w:t>22</w:t>
      </w:r>
      <w:r>
        <w:rPr/>
        <w:t>人因不具备激励对象资格而涉及股票期权</w:t>
      </w:r>
      <w:r>
        <w:rPr>
          <w:rFonts w:ascii="Calibri" w:hAnsi="Calibri" w:cs="Calibri" w:eastAsia="Calibri" w:hint="default"/>
        </w:rPr>
        <w:t>55.36</w:t>
      </w:r>
      <w:r>
        <w:rPr/>
        <w:t>万份。 调整后的《股票期权激励计划》所涉首次期权的的激励对象为</w:t>
      </w:r>
      <w:r>
        <w:rPr>
          <w:rFonts w:ascii="Calibri" w:hAnsi="Calibri" w:cs="Calibri" w:eastAsia="Calibri" w:hint="default"/>
        </w:rPr>
        <w:t>92</w:t>
      </w:r>
      <w:r>
        <w:rPr/>
        <w:t>人，股票期权数量</w:t>
      </w:r>
      <w:r>
        <w:rPr>
          <w:spacing w:val="-73"/>
        </w:rPr>
        <w:t> </w:t>
      </w:r>
      <w:r>
        <w:rPr>
          <w:spacing w:val="-73"/>
        </w:rPr>
      </w:r>
      <w:r>
        <w:rPr/>
        <w:t>为</w:t>
      </w:r>
      <w:r>
        <w:rPr>
          <w:rFonts w:ascii="Calibri" w:hAnsi="Calibri" w:cs="Calibri" w:eastAsia="Calibri" w:hint="default"/>
        </w:rPr>
        <w:t>259.52</w:t>
      </w:r>
      <w:r>
        <w:rPr/>
        <w:t>万股。</w:t>
      </w:r>
    </w:p>
    <w:p>
      <w:pPr>
        <w:pStyle w:val="BodyText"/>
        <w:spacing w:line="312" w:lineRule="exact" w:before="219"/>
        <w:ind w:right="234"/>
        <w:jc w:val="both"/>
      </w:pPr>
      <w:r>
        <w:rPr>
          <w:rFonts w:ascii="Calibri" w:hAnsi="Calibri" w:cs="Calibri" w:eastAsia="Calibri" w:hint="default"/>
        </w:rPr>
        <w:t>2012</w:t>
      </w:r>
      <w:r>
        <w:rPr/>
        <w:t>年</w:t>
      </w:r>
      <w:r>
        <w:rPr>
          <w:rFonts w:ascii="Calibri" w:hAnsi="Calibri" w:cs="Calibri" w:eastAsia="Calibri" w:hint="default"/>
        </w:rPr>
        <w:t>11</w:t>
      </w:r>
      <w:r>
        <w:rPr/>
        <w:t>月</w:t>
      </w:r>
      <w:r>
        <w:rPr>
          <w:rFonts w:ascii="Calibri" w:hAnsi="Calibri" w:cs="Calibri" w:eastAsia="Calibri" w:hint="default"/>
        </w:rPr>
        <w:t>2</w:t>
      </w:r>
      <w:r>
        <w:rPr/>
        <w:t>日，公司第二届董事会第十二次会议审议通过了《关于终止实施</w:t>
      </w:r>
      <w:r>
        <w:rPr>
          <w:rFonts w:ascii="Calibri" w:hAnsi="Calibri" w:cs="Calibri" w:eastAsia="Calibri" w:hint="default"/>
        </w:rPr>
        <w:t>&lt;</w:t>
      </w:r>
      <w:r>
        <w:rPr/>
        <w:t>北京</w:t>
      </w:r>
      <w:r>
        <w:rPr>
          <w:spacing w:val="-89"/>
        </w:rPr>
        <w:t> </w:t>
      </w:r>
      <w:r>
        <w:rPr>
          <w:spacing w:val="-2"/>
        </w:rPr>
        <w:t>超图软件股份有限公司股票期权激励计划</w:t>
      </w:r>
      <w:r>
        <w:rPr>
          <w:rFonts w:ascii="Calibri" w:hAnsi="Calibri" w:cs="Calibri" w:eastAsia="Calibri" w:hint="default"/>
          <w:spacing w:val="-2"/>
        </w:rPr>
        <w:t>&gt;</w:t>
      </w:r>
      <w:r>
        <w:rPr>
          <w:spacing w:val="-2"/>
        </w:rPr>
        <w:t>的议案》，决定终止目前正在实施的期权</w:t>
      </w:r>
      <w:r>
        <w:rPr>
          <w:spacing w:val="-114"/>
        </w:rPr>
        <w:t> </w:t>
      </w:r>
      <w:r>
        <w:rPr>
          <w:spacing w:val="-114"/>
        </w:rPr>
      </w:r>
      <w:r>
        <w:rPr/>
        <w:t>激励计划。因公司终止实施而涉及激励对象</w:t>
      </w:r>
      <w:r>
        <w:rPr>
          <w:rFonts w:ascii="Calibri" w:hAnsi="Calibri" w:cs="Calibri" w:eastAsia="Calibri" w:hint="default"/>
        </w:rPr>
        <w:t>92</w:t>
      </w:r>
      <w:r>
        <w:rPr/>
        <w:t>人、股票期权份数</w:t>
      </w:r>
      <w:r>
        <w:rPr>
          <w:rFonts w:ascii="Calibri" w:hAnsi="Calibri" w:cs="Calibri" w:eastAsia="Calibri" w:hint="default"/>
        </w:rPr>
        <w:t>259.52</w:t>
      </w:r>
      <w:r>
        <w:rPr/>
        <w:t>万份。</w:t>
      </w:r>
    </w:p>
    <w:p>
      <w:pPr>
        <w:spacing w:line="240" w:lineRule="auto" w:before="9"/>
        <w:rPr>
          <w:rFonts w:ascii="宋体" w:hAnsi="宋体" w:cs="宋体" w:eastAsia="宋体" w:hint="default"/>
          <w:sz w:val="22"/>
          <w:szCs w:val="22"/>
        </w:rPr>
      </w:pPr>
    </w:p>
    <w:p>
      <w:pPr>
        <w:spacing w:before="0"/>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、以权益结算的股份支付情况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23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4373"/>
        <w:gridCol w:w="4376"/>
      </w:tblGrid>
      <w:tr>
        <w:trPr>
          <w:trHeight w:val="32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Black-Scholes</w:t>
            </w:r>
            <w:r>
              <w:rPr>
                <w:rFonts w:ascii="Calibri" w:hAnsi="Calibri" w:cs="Calibri" w:eastAsia="Calibri" w:hint="default"/>
                <w:spacing w:val="-6"/>
                <w:sz w:val="21"/>
                <w:szCs w:val="21"/>
              </w:rPr>
              <w:t> </w:t>
            </w:r>
            <w:r>
              <w:rPr>
                <w:rFonts w:ascii="宋体" w:hAnsi="宋体" w:cs="宋体" w:eastAsia="宋体" w:hint="default"/>
                <w:sz w:val="21"/>
                <w:szCs w:val="21"/>
              </w:rPr>
              <w:t>模型</w:t>
            </w:r>
          </w:p>
        </w:tc>
      </w:tr>
      <w:tr>
        <w:trPr>
          <w:trHeight w:val="946"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
              <w:jc w:val="both"/>
              <w:rPr>
                <w:rFonts w:ascii="宋体" w:hAnsi="宋体" w:cs="宋体" w:eastAsia="宋体" w:hint="default"/>
                <w:sz w:val="21"/>
                <w:szCs w:val="21"/>
              </w:rPr>
            </w:pPr>
            <w:r>
              <w:rPr>
                <w:rFonts w:ascii="宋体" w:hAnsi="宋体" w:cs="宋体" w:eastAsia="宋体" w:hint="default"/>
                <w:spacing w:val="-6"/>
                <w:w w:val="100"/>
                <w:sz w:val="21"/>
                <w:szCs w:val="21"/>
              </w:rPr>
              <w:t>等待期内每个资产负债表日，根据最新取得的可</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6"/>
                <w:w w:val="100"/>
                <w:sz w:val="21"/>
                <w:szCs w:val="21"/>
              </w:rPr>
              <w:t>行权职工人数变动等后续信息做出最佳估计，修</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正预计可行权的权益工具数量</w:t>
            </w:r>
          </w:p>
        </w:tc>
      </w:tr>
      <w:tr>
        <w:trPr>
          <w:trHeight w:val="32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2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12,659,768.40</w:t>
            </w:r>
          </w:p>
        </w:tc>
      </w:tr>
      <w:tr>
        <w:trPr>
          <w:trHeight w:val="32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以权益结算的股份支付确认的费用总额</w:t>
            </w:r>
          </w:p>
        </w:tc>
        <w:tc>
          <w:tcPr>
            <w:tcW w:w="4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12,659,768.40</w:t>
            </w:r>
          </w:p>
        </w:tc>
      </w:tr>
    </w:tbl>
    <w:p>
      <w:pPr>
        <w:spacing w:line="262" w:lineRule="exact" w:before="0"/>
        <w:ind w:left="558" w:right="0" w:firstLine="0"/>
        <w:jc w:val="both"/>
        <w:rPr>
          <w:rFonts w:ascii="宋体" w:hAnsi="宋体" w:cs="宋体" w:eastAsia="宋体" w:hint="default"/>
          <w:sz w:val="21"/>
          <w:szCs w:val="21"/>
        </w:rPr>
      </w:pPr>
      <w:r>
        <w:rPr>
          <w:rFonts w:ascii="宋体" w:hAnsi="宋体" w:cs="宋体" w:eastAsia="宋体" w:hint="default"/>
          <w:sz w:val="21"/>
          <w:szCs w:val="21"/>
        </w:rPr>
        <w:t>以权益结算的股份支付的说明</w:t>
      </w:r>
    </w:p>
    <w:p>
      <w:pPr>
        <w:pStyle w:val="BodyText"/>
        <w:spacing w:line="218" w:lineRule="auto" w:before="154"/>
        <w:ind w:right="108" w:firstLine="2"/>
        <w:jc w:val="left"/>
      </w:pPr>
      <w:r>
        <w:rPr>
          <w:spacing w:val="-2"/>
        </w:rPr>
        <w:t>根据</w:t>
      </w:r>
      <w:r>
        <w:rPr>
          <w:rFonts w:ascii="Calibri" w:hAnsi="Calibri" w:cs="Calibri" w:eastAsia="Calibri" w:hint="default"/>
          <w:spacing w:val="-2"/>
        </w:rPr>
        <w:t>Black-Scholes</w:t>
      </w:r>
      <w:r>
        <w:rPr>
          <w:spacing w:val="-2"/>
        </w:rPr>
        <w:t>模型计算出的单位期权价值为</w:t>
      </w:r>
      <w:r>
        <w:rPr>
          <w:rFonts w:ascii="Calibri" w:hAnsi="Calibri" w:cs="Calibri" w:eastAsia="Calibri" w:hint="default"/>
          <w:spacing w:val="-2"/>
        </w:rPr>
        <w:t>4.878</w:t>
      </w:r>
      <w:r>
        <w:rPr>
          <w:spacing w:val="-2"/>
        </w:rPr>
        <w:t>元，期权总数</w:t>
      </w:r>
      <w:r>
        <w:rPr>
          <w:rFonts w:ascii="Calibri" w:hAnsi="Calibri" w:cs="Calibri" w:eastAsia="Calibri" w:hint="default"/>
          <w:spacing w:val="-2"/>
        </w:rPr>
        <w:t>299.68</w:t>
      </w:r>
      <w:r>
        <w:rPr>
          <w:spacing w:val="-2"/>
        </w:rPr>
        <w:t>万份，期权</w:t>
      </w:r>
      <w:r>
        <w:rPr>
          <w:spacing w:val="-114"/>
        </w:rPr>
        <w:t> </w:t>
      </w:r>
      <w:r>
        <w:rPr>
          <w:spacing w:val="-114"/>
        </w:rPr>
      </w:r>
      <w:r>
        <w:rPr>
          <w:spacing w:val="-5"/>
        </w:rPr>
        <w:t>总成本</w:t>
      </w:r>
      <w:r>
        <w:rPr>
          <w:rFonts w:ascii="Calibri" w:hAnsi="Calibri" w:cs="Calibri" w:eastAsia="Calibri" w:hint="default"/>
          <w:spacing w:val="-5"/>
        </w:rPr>
        <w:t>1,461.88</w:t>
      </w:r>
      <w:r>
        <w:rPr>
          <w:spacing w:val="-5"/>
        </w:rPr>
        <w:t>万元。由于分为三期行权，每期可行权权益工具的等待期分别为两年、</w:t>
      </w:r>
      <w:r>
        <w:rPr>
          <w:spacing w:val="-112"/>
        </w:rPr>
        <w:t> </w:t>
      </w:r>
      <w:r>
        <w:rPr>
          <w:spacing w:val="-112"/>
        </w:rPr>
      </w:r>
      <w:r>
        <w:rPr/>
        <w:t>三年、四年，每期可行权数量占获授期权数量比例分别为</w:t>
      </w:r>
      <w:r>
        <w:rPr>
          <w:rFonts w:ascii="Calibri" w:hAnsi="Calibri" w:cs="Calibri" w:eastAsia="Calibri" w:hint="default"/>
        </w:rPr>
        <w:t>30%</w:t>
      </w:r>
      <w:r>
        <w:rPr/>
        <w:t>、</w:t>
      </w:r>
      <w:r>
        <w:rPr>
          <w:rFonts w:ascii="Calibri" w:hAnsi="Calibri" w:cs="Calibri" w:eastAsia="Calibri" w:hint="default"/>
        </w:rPr>
        <w:t>30%</w:t>
      </w:r>
      <w:r>
        <w:rPr/>
        <w:t>、</w:t>
      </w:r>
      <w:r>
        <w:rPr>
          <w:rFonts w:ascii="Calibri" w:hAnsi="Calibri" w:cs="Calibri" w:eastAsia="Calibri" w:hint="default"/>
        </w:rPr>
        <w:t>40%</w:t>
      </w:r>
      <w:r>
        <w:rPr/>
        <w:t>。自授予 </w:t>
      </w:r>
      <w:r>
        <w:rPr>
          <w:spacing w:val="-3"/>
        </w:rPr>
        <w:t>日</w:t>
      </w:r>
      <w:r>
        <w:rPr>
          <w:rFonts w:ascii="Calibri" w:hAnsi="Calibri" w:cs="Calibri" w:eastAsia="Calibri" w:hint="default"/>
          <w:spacing w:val="-3"/>
        </w:rPr>
        <w:t>2011</w:t>
      </w:r>
      <w:r>
        <w:rPr>
          <w:spacing w:val="-3"/>
        </w:rPr>
        <w:t>年</w:t>
      </w:r>
      <w:r>
        <w:rPr>
          <w:rFonts w:ascii="Calibri" w:hAnsi="Calibri" w:cs="Calibri" w:eastAsia="Calibri" w:hint="default"/>
          <w:spacing w:val="-3"/>
        </w:rPr>
        <w:t>6</w:t>
      </w:r>
      <w:r>
        <w:rPr>
          <w:spacing w:val="-3"/>
        </w:rPr>
        <w:t>月</w:t>
      </w:r>
      <w:r>
        <w:rPr>
          <w:rFonts w:ascii="Calibri" w:hAnsi="Calibri" w:cs="Calibri" w:eastAsia="Calibri" w:hint="default"/>
          <w:spacing w:val="-3"/>
        </w:rPr>
        <w:t>10</w:t>
      </w:r>
      <w:r>
        <w:rPr>
          <w:spacing w:val="-3"/>
        </w:rPr>
        <w:t>日起确认股份支付产生的成本费用金额，</w:t>
      </w:r>
      <w:r>
        <w:rPr>
          <w:rFonts w:ascii="Calibri" w:hAnsi="Calibri" w:cs="Calibri" w:eastAsia="Calibri" w:hint="default"/>
          <w:spacing w:val="-3"/>
        </w:rPr>
        <w:t>2011</w:t>
      </w:r>
      <w:r>
        <w:rPr>
          <w:spacing w:val="-3"/>
        </w:rPr>
        <w:t>年度确认的三期可行权</w:t>
      </w:r>
      <w:r>
        <w:rPr>
          <w:spacing w:val="-90"/>
        </w:rPr>
        <w:t> </w:t>
      </w:r>
      <w:r>
        <w:rPr>
          <w:spacing w:val="-90"/>
        </w:rPr>
      </w:r>
      <w:r>
        <w:rPr/>
        <w:t>权益工具的费用金额分别为</w:t>
      </w:r>
      <w:r>
        <w:rPr>
          <w:rFonts w:ascii="Calibri" w:hAnsi="Calibri" w:cs="Calibri" w:eastAsia="Calibri" w:hint="default"/>
        </w:rPr>
        <w:t>127.91</w:t>
      </w:r>
      <w:r>
        <w:rPr/>
        <w:t>万元、</w:t>
      </w:r>
      <w:r>
        <w:rPr>
          <w:rFonts w:ascii="Calibri" w:hAnsi="Calibri" w:cs="Calibri" w:eastAsia="Calibri" w:hint="default"/>
        </w:rPr>
        <w:t>85.28</w:t>
      </w:r>
      <w:r>
        <w:rPr/>
        <w:t>万元、</w:t>
      </w:r>
      <w:r>
        <w:rPr>
          <w:rFonts w:ascii="Calibri" w:hAnsi="Calibri" w:cs="Calibri" w:eastAsia="Calibri" w:hint="default"/>
        </w:rPr>
        <w:t>85.28</w:t>
      </w:r>
      <w:r>
        <w:rPr/>
        <w:t>万元，合计</w:t>
      </w:r>
      <w:r>
        <w:rPr>
          <w:rFonts w:ascii="Calibri" w:hAnsi="Calibri" w:cs="Calibri" w:eastAsia="Calibri" w:hint="default"/>
        </w:rPr>
        <w:t>298.47</w:t>
      </w:r>
      <w:r>
        <w:rPr/>
        <w:t>万元。</w:t>
      </w:r>
    </w:p>
    <w:p>
      <w:pPr>
        <w:pStyle w:val="BodyText"/>
        <w:spacing w:line="312" w:lineRule="exact" w:before="219"/>
        <w:ind w:right="212"/>
        <w:jc w:val="both"/>
      </w:pPr>
      <w:r>
        <w:rPr>
          <w:spacing w:val="-3"/>
        </w:rPr>
        <w:t>自公司完成期权激励计划首期授予登记工作至</w:t>
      </w:r>
      <w:r>
        <w:rPr>
          <w:rFonts w:ascii="Calibri" w:hAnsi="Calibri" w:cs="Calibri" w:eastAsia="Calibri" w:hint="default"/>
          <w:spacing w:val="-3"/>
        </w:rPr>
        <w:t>2012</w:t>
      </w:r>
      <w:r>
        <w:rPr>
          <w:spacing w:val="-3"/>
        </w:rPr>
        <w:t>年</w:t>
      </w:r>
      <w:r>
        <w:rPr>
          <w:rFonts w:ascii="Calibri" w:hAnsi="Calibri" w:cs="Calibri" w:eastAsia="Calibri" w:hint="default"/>
          <w:spacing w:val="-3"/>
        </w:rPr>
        <w:t>11</w:t>
      </w:r>
      <w:r>
        <w:rPr>
          <w:spacing w:val="-3"/>
        </w:rPr>
        <w:t>月</w:t>
      </w:r>
      <w:r>
        <w:rPr>
          <w:rFonts w:ascii="Calibri" w:hAnsi="Calibri" w:cs="Calibri" w:eastAsia="Calibri" w:hint="default"/>
          <w:spacing w:val="-3"/>
        </w:rPr>
        <w:t>2</w:t>
      </w:r>
      <w:r>
        <w:rPr>
          <w:spacing w:val="-3"/>
        </w:rPr>
        <w:t>日，由于公司股票期权激</w:t>
      </w:r>
      <w:r>
        <w:rPr>
          <w:spacing w:val="-88"/>
        </w:rPr>
        <w:t> </w:t>
      </w:r>
      <w:r>
        <w:rPr>
          <w:spacing w:val="-88"/>
        </w:rPr>
      </w:r>
      <w:r>
        <w:rPr/>
        <w:t>励计划激励对象王敦洲等</w:t>
      </w:r>
      <w:r>
        <w:rPr>
          <w:rFonts w:ascii="Calibri" w:hAnsi="Calibri" w:cs="Calibri" w:eastAsia="Calibri" w:hint="default"/>
        </w:rPr>
        <w:t>22</w:t>
      </w:r>
      <w:r>
        <w:rPr/>
        <w:t>人因个人原因离职，根据《计划（草案修订稿）》其已</w:t>
      </w:r>
      <w:r>
        <w:rPr>
          <w:spacing w:val="-77"/>
        </w:rPr>
        <w:t> </w:t>
      </w:r>
      <w:r>
        <w:rPr>
          <w:spacing w:val="-77"/>
        </w:rPr>
      </w:r>
      <w:r>
        <w:rPr/>
        <w:t>不具备激励对象资格，该等</w:t>
      </w:r>
      <w:r>
        <w:rPr>
          <w:rFonts w:ascii="Calibri" w:hAnsi="Calibri" w:cs="Calibri" w:eastAsia="Calibri" w:hint="default"/>
        </w:rPr>
        <w:t>22</w:t>
      </w:r>
      <w:r>
        <w:rPr/>
        <w:t>人因不具备激励对象资格而涉及股票期权</w:t>
      </w:r>
      <w:r>
        <w:rPr>
          <w:rFonts w:ascii="Calibri" w:hAnsi="Calibri" w:cs="Calibri" w:eastAsia="Calibri" w:hint="default"/>
        </w:rPr>
        <w:t>55.36</w:t>
      </w:r>
      <w:r>
        <w:rPr/>
        <w:t>万份。 调整后的《股票期权激励计划》所涉首次期权的的激励对象为</w:t>
      </w:r>
      <w:r>
        <w:rPr>
          <w:rFonts w:ascii="Calibri" w:hAnsi="Calibri" w:cs="Calibri" w:eastAsia="Calibri" w:hint="default"/>
        </w:rPr>
        <w:t>92</w:t>
      </w:r>
      <w:r>
        <w:rPr/>
        <w:t>人，股票期权数量</w:t>
      </w:r>
      <w:r>
        <w:rPr>
          <w:spacing w:val="-73"/>
        </w:rPr>
        <w:t> </w:t>
      </w:r>
      <w:r>
        <w:rPr>
          <w:spacing w:val="-73"/>
        </w:rPr>
      </w:r>
      <w:r>
        <w:rPr/>
        <w:t>为</w:t>
      </w:r>
      <w:r>
        <w:rPr>
          <w:rFonts w:ascii="Calibri" w:hAnsi="Calibri" w:cs="Calibri" w:eastAsia="Calibri" w:hint="default"/>
        </w:rPr>
        <w:t>259.52</w:t>
      </w:r>
      <w:r>
        <w:rPr/>
        <w:t>万股。</w:t>
      </w:r>
    </w:p>
    <w:p>
      <w:pPr>
        <w:pStyle w:val="BodyText"/>
        <w:spacing w:line="223" w:lineRule="auto" w:before="205"/>
        <w:ind w:right="115" w:firstLine="2"/>
        <w:jc w:val="both"/>
      </w:pPr>
      <w:r>
        <w:rPr/>
        <w:t>调整股票期权数量后，单位期权价值为</w:t>
      </w:r>
      <w:r>
        <w:rPr>
          <w:rFonts w:ascii="Calibri" w:hAnsi="Calibri" w:cs="Calibri" w:eastAsia="Calibri" w:hint="default"/>
        </w:rPr>
        <w:t>4.878</w:t>
      </w:r>
      <w:r>
        <w:rPr/>
        <w:t>元，期权总数</w:t>
      </w:r>
      <w:r>
        <w:rPr>
          <w:rFonts w:ascii="Calibri" w:hAnsi="Calibri" w:cs="Calibri" w:eastAsia="Calibri" w:hint="default"/>
        </w:rPr>
        <w:t>259.52</w:t>
      </w:r>
      <w:r>
        <w:rPr/>
        <w:t>万份，期权总成本</w:t>
      </w:r>
      <w:r>
        <w:rPr>
          <w:spacing w:val="-96"/>
        </w:rPr>
        <w:t> </w:t>
      </w:r>
      <w:r>
        <w:rPr>
          <w:spacing w:val="-96"/>
        </w:rPr>
      </w:r>
      <w:r>
        <w:rPr>
          <w:rFonts w:ascii="Calibri" w:hAnsi="Calibri" w:cs="Calibri" w:eastAsia="Calibri" w:hint="default"/>
        </w:rPr>
        <w:t>1,265.98</w:t>
      </w:r>
      <w:r>
        <w:rPr/>
        <w:t>万元。</w:t>
      </w:r>
      <w:r>
        <w:rPr>
          <w:rFonts w:ascii="Calibri" w:hAnsi="Calibri" w:cs="Calibri" w:eastAsia="Calibri" w:hint="default"/>
        </w:rPr>
        <w:t>2012</w:t>
      </w:r>
      <w:r>
        <w:rPr/>
        <w:t>年</w:t>
      </w:r>
      <w:r>
        <w:rPr>
          <w:rFonts w:ascii="Calibri" w:hAnsi="Calibri" w:cs="Calibri" w:eastAsia="Calibri" w:hint="default"/>
        </w:rPr>
        <w:t>11</w:t>
      </w:r>
      <w:r>
        <w:rPr/>
        <w:t>月</w:t>
      </w:r>
      <w:r>
        <w:rPr>
          <w:rFonts w:ascii="Calibri" w:hAnsi="Calibri" w:cs="Calibri" w:eastAsia="Calibri" w:hint="default"/>
        </w:rPr>
        <w:t>2</w:t>
      </w:r>
      <w:r>
        <w:rPr/>
        <w:t>日，公司第二届董事会第十二次会议审议通过了《关于</w:t>
      </w:r>
      <w:r>
        <w:rPr>
          <w:spacing w:val="-103"/>
        </w:rPr>
        <w:t> </w:t>
      </w:r>
      <w:r>
        <w:rPr>
          <w:spacing w:val="-103"/>
        </w:rPr>
      </w:r>
      <w:r>
        <w:rPr/>
        <w:t>终止实施</w:t>
      </w:r>
      <w:r>
        <w:rPr>
          <w:rFonts w:ascii="Calibri" w:hAnsi="Calibri" w:cs="Calibri" w:eastAsia="Calibri" w:hint="default"/>
        </w:rPr>
        <w:t>&lt;</w:t>
      </w:r>
      <w:r>
        <w:rPr/>
        <w:t>北京超图软件股份有限公司股票期权激励计划</w:t>
      </w:r>
      <w:r>
        <w:rPr>
          <w:rFonts w:ascii="Calibri" w:hAnsi="Calibri" w:cs="Calibri" w:eastAsia="Calibri" w:hint="default"/>
        </w:rPr>
        <w:t>&gt;</w:t>
      </w:r>
      <w:r>
        <w:rPr/>
        <w:t>的议案》，决定终止目前</w:t>
      </w:r>
      <w:r>
        <w:rPr>
          <w:spacing w:val="-72"/>
        </w:rPr>
        <w:t> </w:t>
      </w:r>
      <w:r>
        <w:rPr>
          <w:spacing w:val="-72"/>
        </w:rPr>
      </w:r>
      <w:r>
        <w:rPr/>
        <w:t>正在实施的期权激励计划。根据《企业会计准则》的有关规定，对于已计提的股份</w:t>
      </w:r>
      <w:r>
        <w:rPr>
          <w:spacing w:val="-77"/>
        </w:rPr>
        <w:t> </w:t>
      </w:r>
      <w:r>
        <w:rPr>
          <w:spacing w:val="-77"/>
        </w:rPr>
      </w:r>
      <w:r>
        <w:rPr>
          <w:spacing w:val="-2"/>
        </w:rPr>
        <w:t>支付费用不予转回，对于原本应在剩余等待期内确认的股份支付费用进行立即确认。</w:t>
      </w:r>
    </w:p>
    <w:p>
      <w:pPr>
        <w:spacing w:after="0" w:line="223" w:lineRule="auto"/>
        <w:jc w:val="both"/>
        <w:sectPr>
          <w:pgSz w:w="11910" w:h="16840"/>
          <w:pgMar w:header="0" w:footer="1007" w:top="1160" w:bottom="1200" w:left="1240" w:right="1180"/>
        </w:sectPr>
      </w:pPr>
    </w:p>
    <w:p>
      <w:pPr>
        <w:spacing w:line="240" w:lineRule="auto" w:before="13"/>
        <w:rPr>
          <w:rFonts w:ascii="宋体" w:hAnsi="宋体" w:cs="宋体" w:eastAsia="宋体" w:hint="default"/>
          <w:sz w:val="14"/>
          <w:szCs w:val="14"/>
        </w:rPr>
      </w:pPr>
    </w:p>
    <w:p>
      <w:pPr>
        <w:pStyle w:val="BodyText"/>
        <w:spacing w:line="240" w:lineRule="auto" w:before="26"/>
        <w:ind w:right="0"/>
        <w:jc w:val="left"/>
      </w:pPr>
      <w:r>
        <w:rPr/>
        <w:t>综上，</w:t>
      </w:r>
      <w:r>
        <w:rPr>
          <w:rFonts w:ascii="Calibri" w:hAnsi="Calibri" w:cs="Calibri" w:eastAsia="Calibri" w:hint="default"/>
        </w:rPr>
        <w:t>2012</w:t>
      </w:r>
      <w:r>
        <w:rPr/>
        <w:t>年度确认的股份支付费用为</w:t>
      </w:r>
      <w:r>
        <w:rPr>
          <w:rFonts w:ascii="Calibri" w:hAnsi="Calibri" w:cs="Calibri" w:eastAsia="Calibri" w:hint="default"/>
        </w:rPr>
        <w:t>967.51</w:t>
      </w:r>
      <w:r>
        <w:rPr/>
        <w:t>万元。</w:t>
      </w:r>
    </w:p>
    <w:p>
      <w:pPr>
        <w:pStyle w:val="BodyText"/>
        <w:spacing w:line="240" w:lineRule="auto" w:before="183"/>
        <w:ind w:right="0"/>
        <w:jc w:val="left"/>
      </w:pPr>
      <w:r>
        <w:rPr>
          <w:rFonts w:ascii="Calibri" w:hAnsi="Calibri" w:cs="Calibri" w:eastAsia="Calibri" w:hint="default"/>
        </w:rPr>
        <w:t>3</w:t>
      </w:r>
      <w:r>
        <w:rPr/>
        <w:t>、股份支付的终止情况</w:t>
      </w:r>
    </w:p>
    <w:p>
      <w:pPr>
        <w:pStyle w:val="BodyText"/>
        <w:spacing w:line="312" w:lineRule="exact" w:before="214"/>
        <w:ind w:right="130"/>
        <w:jc w:val="both"/>
      </w:pPr>
      <w:r>
        <w:rPr>
          <w:rFonts w:ascii="Calibri" w:hAnsi="Calibri" w:cs="Calibri" w:eastAsia="Calibri" w:hint="default"/>
        </w:rPr>
        <w:t>2012</w:t>
      </w:r>
      <w:r>
        <w:rPr/>
        <w:t>年</w:t>
      </w:r>
      <w:r>
        <w:rPr>
          <w:rFonts w:ascii="Calibri" w:hAnsi="Calibri" w:cs="Calibri" w:eastAsia="Calibri" w:hint="default"/>
        </w:rPr>
        <w:t>11</w:t>
      </w:r>
      <w:r>
        <w:rPr/>
        <w:t>月</w:t>
      </w:r>
      <w:r>
        <w:rPr>
          <w:rFonts w:ascii="Calibri" w:hAnsi="Calibri" w:cs="Calibri" w:eastAsia="Calibri" w:hint="default"/>
        </w:rPr>
        <w:t>2</w:t>
      </w:r>
      <w:r>
        <w:rPr/>
        <w:t>日，公司第二届董事会第十二次会议审议通过了《关于终止实施</w:t>
      </w:r>
      <w:r>
        <w:rPr>
          <w:rFonts w:ascii="Calibri" w:hAnsi="Calibri" w:cs="Calibri" w:eastAsia="Calibri" w:hint="default"/>
        </w:rPr>
        <w:t>&lt;</w:t>
      </w:r>
      <w:r>
        <w:rPr/>
        <w:t>北京</w:t>
      </w:r>
      <w:r>
        <w:rPr>
          <w:spacing w:val="-89"/>
        </w:rPr>
        <w:t> </w:t>
      </w:r>
      <w:r>
        <w:rPr>
          <w:spacing w:val="-2"/>
        </w:rPr>
        <w:t>超图软件股份有限公司股票期权激励计划</w:t>
      </w:r>
      <w:r>
        <w:rPr>
          <w:rFonts w:ascii="Calibri" w:hAnsi="Calibri" w:cs="Calibri" w:eastAsia="Calibri" w:hint="default"/>
          <w:spacing w:val="-2"/>
        </w:rPr>
        <w:t>&gt;</w:t>
      </w:r>
      <w:r>
        <w:rPr>
          <w:spacing w:val="-2"/>
        </w:rPr>
        <w:t>的议案》，鉴于国内证券市场环境发生较</w:t>
      </w:r>
      <w:r>
        <w:rPr>
          <w:spacing w:val="-114"/>
        </w:rPr>
        <w:t> </w:t>
      </w:r>
      <w:r>
        <w:rPr>
          <w:spacing w:val="-114"/>
        </w:rPr>
      </w:r>
      <w:r>
        <w:rPr/>
        <w:t>大变化，若继续实施本次期权激励计划，将很难真正达到预期的激励效果，决定终</w:t>
      </w:r>
      <w:r>
        <w:rPr>
          <w:spacing w:val="-77"/>
        </w:rPr>
        <w:t> </w:t>
      </w:r>
      <w:r>
        <w:rPr>
          <w:spacing w:val="-77"/>
        </w:rPr>
      </w:r>
      <w:r>
        <w:rPr/>
        <w:t>止目前正在实施的期权激励计划。因公司终止实施而涉及激励对象</w:t>
      </w:r>
      <w:r>
        <w:rPr>
          <w:rFonts w:ascii="Calibri" w:hAnsi="Calibri" w:cs="Calibri" w:eastAsia="Calibri" w:hint="default"/>
        </w:rPr>
        <w:t>92</w:t>
      </w:r>
      <w:r>
        <w:rPr/>
        <w:t>人、股票期权</w:t>
      </w:r>
      <w:r>
        <w:rPr>
          <w:spacing w:val="-73"/>
        </w:rPr>
        <w:t> </w:t>
      </w:r>
      <w:r>
        <w:rPr>
          <w:spacing w:val="-73"/>
        </w:rPr>
      </w:r>
      <w:r>
        <w:rPr/>
        <w:t>份数</w:t>
      </w:r>
      <w:r>
        <w:rPr>
          <w:rFonts w:ascii="Calibri" w:hAnsi="Calibri" w:cs="Calibri" w:eastAsia="Calibri" w:hint="default"/>
        </w:rPr>
        <w:t>259.52</w:t>
      </w:r>
      <w:r>
        <w:rPr/>
        <w:t>万份。</w:t>
      </w:r>
    </w:p>
    <w:p>
      <w:pPr>
        <w:pStyle w:val="BodyText"/>
        <w:spacing w:line="228" w:lineRule="auto" w:before="199"/>
        <w:ind w:right="136"/>
        <w:jc w:val="both"/>
      </w:pPr>
      <w:r>
        <w:rPr>
          <w:rFonts w:ascii="Calibri" w:hAnsi="Calibri" w:cs="Calibri" w:eastAsia="Calibri" w:hint="default"/>
        </w:rPr>
        <w:t>2011</w:t>
      </w:r>
      <w:r>
        <w:rPr/>
        <w:t>年度，公司已计提了</w:t>
      </w:r>
      <w:r>
        <w:rPr>
          <w:rFonts w:ascii="Calibri" w:hAnsi="Calibri" w:cs="Calibri" w:eastAsia="Calibri" w:hint="default"/>
        </w:rPr>
        <w:t>298.47</w:t>
      </w:r>
      <w:r>
        <w:rPr/>
        <w:t>万元的股份支付费用。根据《企业会计准则》的有</w:t>
      </w:r>
      <w:r>
        <w:rPr>
          <w:spacing w:val="-43"/>
        </w:rPr>
        <w:t> </w:t>
      </w:r>
      <w:r>
        <w:rPr>
          <w:spacing w:val="-43"/>
        </w:rPr>
      </w:r>
      <w:r>
        <w:rPr/>
        <w:t>关规定，对于已计提的股份支付费用不予转回，对于原本应在剩余等待期内确认的</w:t>
      </w:r>
      <w:r>
        <w:rPr>
          <w:spacing w:val="-75"/>
        </w:rPr>
        <w:t> </w:t>
      </w:r>
      <w:r>
        <w:rPr>
          <w:spacing w:val="-75"/>
        </w:rPr>
      </w:r>
      <w:r>
        <w:rPr/>
        <w:t>股份支付费用</w:t>
      </w:r>
      <w:r>
        <w:rPr>
          <w:rFonts w:ascii="Calibri" w:hAnsi="Calibri" w:cs="Calibri" w:eastAsia="Calibri" w:hint="default"/>
        </w:rPr>
        <w:t>967.51</w:t>
      </w:r>
      <w:r>
        <w:rPr/>
        <w:t>万元进行立即确认。</w:t>
      </w:r>
    </w:p>
    <w:p>
      <w:pPr>
        <w:spacing w:line="240" w:lineRule="auto" w:before="10"/>
        <w:rPr>
          <w:rFonts w:ascii="宋体" w:hAnsi="宋体" w:cs="宋体" w:eastAsia="宋体" w:hint="default"/>
          <w:sz w:val="22"/>
          <w:szCs w:val="22"/>
        </w:rPr>
      </w:pPr>
    </w:p>
    <w:p>
      <w:pPr>
        <w:spacing w:line="518" w:lineRule="auto" w:before="0"/>
        <w:ind w:left="558" w:right="5976" w:firstLine="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、以现金结算的股份支付情况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21"/>
          <w:szCs w:val="21"/>
        </w:rPr>
        <w:t>无此情况</w:t>
      </w:r>
      <w:r>
        <w:rPr>
          <w:rFonts w:ascii="宋体" w:hAnsi="宋体" w:cs="宋体" w:eastAsia="宋体" w:hint="default"/>
          <w:w w:val="100"/>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、以股份支付服务情况</w:t>
      </w:r>
      <w:r>
        <w:rPr>
          <w:rFonts w:ascii="宋体" w:hAnsi="宋体" w:cs="宋体" w:eastAsia="宋体" w:hint="default"/>
          <w:b/>
          <w:bCs/>
          <w:w w:val="100"/>
          <w:sz w:val="21"/>
          <w:szCs w:val="21"/>
        </w:rPr>
        <w:t> </w:t>
      </w:r>
      <w:r>
        <w:rPr>
          <w:rFonts w:ascii="宋体" w:hAnsi="宋体" w:cs="宋体" w:eastAsia="宋体" w:hint="default"/>
          <w:sz w:val="21"/>
          <w:szCs w:val="21"/>
        </w:rPr>
        <w:t>无此情况</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21"/>
          <w:szCs w:val="21"/>
        </w:rPr>
        <w:t>无此情况</w:t>
      </w:r>
    </w:p>
    <w:p>
      <w:pPr>
        <w:pStyle w:val="Heading4"/>
        <w:spacing w:line="240" w:lineRule="auto" w:before="68"/>
        <w:ind w:left="558" w:right="0"/>
        <w:jc w:val="left"/>
        <w:rPr>
          <w:b w:val="0"/>
          <w:bCs w:val="0"/>
        </w:rPr>
      </w:pPr>
      <w:r>
        <w:rPr/>
        <w:t>十一、或有事项</w:t>
      </w:r>
      <w:r>
        <w:rPr>
          <w:b w:val="0"/>
          <w:bCs w:val="0"/>
        </w:rPr>
      </w:r>
    </w:p>
    <w:p>
      <w:pPr>
        <w:spacing w:line="240" w:lineRule="auto" w:before="9"/>
        <w:rPr>
          <w:rFonts w:ascii="宋体" w:hAnsi="宋体" w:cs="宋体" w:eastAsia="宋体" w:hint="default"/>
          <w:b/>
          <w:bCs/>
          <w:sz w:val="24"/>
          <w:szCs w:val="24"/>
        </w:rPr>
      </w:pPr>
    </w:p>
    <w:p>
      <w:pPr>
        <w:spacing w:line="465" w:lineRule="auto" w:before="0"/>
        <w:ind w:left="558" w:right="39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、未决诉讼或仲裁形成的或有负债及其财务影响</w:t>
      </w:r>
      <w:r>
        <w:rPr>
          <w:rFonts w:ascii="宋体" w:hAnsi="宋体" w:cs="宋体" w:eastAsia="宋体" w:hint="default"/>
          <w:b/>
          <w:bCs/>
          <w:w w:val="100"/>
          <w:sz w:val="21"/>
          <w:szCs w:val="21"/>
        </w:rPr>
        <w:t> </w:t>
      </w:r>
      <w:r>
        <w:rPr>
          <w:rFonts w:ascii="宋体" w:hAnsi="宋体" w:cs="宋体" w:eastAsia="宋体" w:hint="default"/>
          <w:sz w:val="24"/>
          <w:szCs w:val="24"/>
        </w:rPr>
        <w:t>截至</w:t>
      </w:r>
      <w:r>
        <w:rPr>
          <w:rFonts w:ascii="Calibri" w:hAnsi="Calibri" w:cs="Calibri" w:eastAsia="Calibri" w:hint="default"/>
          <w:sz w:val="24"/>
          <w:szCs w:val="24"/>
        </w:rPr>
        <w:t>2012</w:t>
      </w:r>
      <w:r>
        <w:rPr>
          <w:rFonts w:ascii="宋体" w:hAnsi="宋体" w:cs="宋体" w:eastAsia="宋体" w:hint="default"/>
          <w:sz w:val="24"/>
          <w:szCs w:val="24"/>
        </w:rPr>
        <w:t>年</w:t>
      </w:r>
      <w:r>
        <w:rPr>
          <w:rFonts w:ascii="Calibri" w:hAnsi="Calibri" w:cs="Calibri" w:eastAsia="Calibri" w:hint="default"/>
          <w:sz w:val="24"/>
          <w:szCs w:val="24"/>
        </w:rPr>
        <w:t>12</w:t>
      </w:r>
      <w:r>
        <w:rPr>
          <w:rFonts w:ascii="宋体" w:hAnsi="宋体" w:cs="宋体" w:eastAsia="宋体" w:hint="default"/>
          <w:sz w:val="24"/>
          <w:szCs w:val="24"/>
        </w:rPr>
        <w:t>月</w:t>
      </w:r>
      <w:r>
        <w:rPr>
          <w:rFonts w:ascii="Calibri" w:hAnsi="Calibri" w:cs="Calibri" w:eastAsia="Calibri" w:hint="default"/>
          <w:sz w:val="24"/>
          <w:szCs w:val="24"/>
        </w:rPr>
        <w:t>31</w:t>
      </w:r>
      <w:r>
        <w:rPr>
          <w:rFonts w:ascii="宋体" w:hAnsi="宋体" w:cs="宋体" w:eastAsia="宋体" w:hint="default"/>
          <w:sz w:val="24"/>
          <w:szCs w:val="24"/>
        </w:rPr>
        <w:t>日，本公司不存在应披露的未决诉讼、对外担保等或有事项。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、为其他单位提供债务担保形成的或有负债及其财务影响</w:t>
      </w:r>
      <w:r>
        <w:rPr>
          <w:rFonts w:ascii="宋体" w:hAnsi="宋体" w:cs="宋体" w:eastAsia="宋体" w:hint="default"/>
          <w:sz w:val="21"/>
          <w:szCs w:val="21"/>
        </w:rPr>
      </w:r>
    </w:p>
    <w:p>
      <w:pPr>
        <w:pStyle w:val="BodyText"/>
        <w:spacing w:line="240" w:lineRule="auto" w:before="75"/>
        <w:ind w:right="0"/>
        <w:jc w:val="left"/>
      </w:pPr>
      <w:r>
        <w:rPr/>
        <w:t>截至</w:t>
      </w:r>
      <w:r>
        <w:rPr>
          <w:rFonts w:ascii="Calibri" w:hAnsi="Calibri" w:cs="Calibri" w:eastAsia="Calibri" w:hint="default"/>
        </w:rPr>
        <w:t>2012</w:t>
      </w:r>
      <w:r>
        <w:rPr/>
        <w:t>年</w:t>
      </w:r>
      <w:r>
        <w:rPr>
          <w:rFonts w:ascii="Calibri" w:hAnsi="Calibri" w:cs="Calibri" w:eastAsia="Calibri" w:hint="default"/>
        </w:rPr>
        <w:t>12</w:t>
      </w:r>
      <w:r>
        <w:rPr/>
        <w:t>月</w:t>
      </w:r>
      <w:r>
        <w:rPr>
          <w:rFonts w:ascii="Calibri" w:hAnsi="Calibri" w:cs="Calibri" w:eastAsia="Calibri" w:hint="default"/>
        </w:rPr>
        <w:t>31</w:t>
      </w:r>
      <w:r>
        <w:rPr/>
        <w:t>日，本公司不存在应披露的未决诉讼、对外担保等或有事项。</w:t>
      </w:r>
    </w:p>
    <w:p>
      <w:pPr>
        <w:spacing w:line="501" w:lineRule="auto" w:before="211"/>
        <w:ind w:left="558" w:right="5581" w:firstLine="0"/>
        <w:jc w:val="left"/>
        <w:rPr>
          <w:rFonts w:ascii="宋体" w:hAnsi="宋体" w:cs="宋体" w:eastAsia="宋体" w:hint="default"/>
          <w:sz w:val="21"/>
          <w:szCs w:val="21"/>
        </w:rPr>
      </w:pPr>
      <w:r>
        <w:rPr>
          <w:rFonts w:ascii="宋体" w:hAnsi="宋体" w:cs="宋体" w:eastAsia="宋体" w:hint="default"/>
          <w:spacing w:val="-2"/>
          <w:sz w:val="21"/>
          <w:szCs w:val="21"/>
        </w:rPr>
        <w:t>其他或有负债及其财务影响：无</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b/>
          <w:bCs/>
          <w:sz w:val="24"/>
          <w:szCs w:val="24"/>
        </w:rPr>
        <w:t>十二、承诺事项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sz w:val="21"/>
          <w:szCs w:val="21"/>
        </w:rPr>
      </w:r>
    </w:p>
    <w:p>
      <w:pPr>
        <w:pStyle w:val="BodyText"/>
        <w:spacing w:line="240" w:lineRule="auto" w:before="40"/>
        <w:ind w:right="0"/>
        <w:jc w:val="left"/>
      </w:pPr>
      <w:r>
        <w:rPr/>
        <w:t>截至</w:t>
      </w:r>
      <w:r>
        <w:rPr>
          <w:rFonts w:ascii="Calibri" w:hAnsi="Calibri" w:cs="Calibri" w:eastAsia="Calibri" w:hint="default"/>
        </w:rPr>
        <w:t>2012</w:t>
      </w:r>
      <w:r>
        <w:rPr/>
        <w:t>年</w:t>
      </w:r>
      <w:r>
        <w:rPr>
          <w:rFonts w:ascii="Calibri" w:hAnsi="Calibri" w:cs="Calibri" w:eastAsia="Calibri" w:hint="default"/>
        </w:rPr>
        <w:t>12</w:t>
      </w:r>
      <w:r>
        <w:rPr/>
        <w:t>月</w:t>
      </w:r>
      <w:r>
        <w:rPr>
          <w:rFonts w:ascii="Calibri" w:hAnsi="Calibri" w:cs="Calibri" w:eastAsia="Calibri" w:hint="default"/>
        </w:rPr>
        <w:t>31</w:t>
      </w:r>
      <w:r>
        <w:rPr/>
        <w:t>日，本公司不存在应披露的承诺事项</w:t>
      </w:r>
    </w:p>
    <w:p>
      <w:pPr>
        <w:spacing w:after="0" w:line="240" w:lineRule="auto"/>
        <w:jc w:val="left"/>
        <w:sectPr>
          <w:pgSz w:w="11910" w:h="16840"/>
          <w:pgMar w:header="0" w:footer="1007" w:top="1160" w:bottom="1200" w:left="1240" w:right="1280"/>
        </w:sectPr>
      </w:pPr>
    </w:p>
    <w:p>
      <w:pPr>
        <w:spacing w:line="240" w:lineRule="auto" w:before="4"/>
        <w:rPr>
          <w:rFonts w:ascii="宋体" w:hAnsi="宋体" w:cs="宋体" w:eastAsia="宋体" w:hint="default"/>
          <w:sz w:val="16"/>
          <w:szCs w:val="16"/>
        </w:rPr>
      </w:pPr>
    </w:p>
    <w:p>
      <w:pPr>
        <w:spacing w:before="36"/>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sz w:val="21"/>
          <w:szCs w:val="21"/>
        </w:rPr>
      </w:r>
    </w:p>
    <w:p>
      <w:pPr>
        <w:spacing w:line="240" w:lineRule="auto" w:before="8"/>
        <w:rPr>
          <w:rFonts w:ascii="宋体" w:hAnsi="宋体" w:cs="宋体" w:eastAsia="宋体" w:hint="default"/>
          <w:b/>
          <w:bCs/>
          <w:sz w:val="22"/>
          <w:szCs w:val="22"/>
        </w:rPr>
      </w:pPr>
    </w:p>
    <w:p>
      <w:pPr>
        <w:spacing w:line="427" w:lineRule="auto" w:before="0"/>
        <w:ind w:left="558" w:right="3055" w:firstLine="0"/>
        <w:jc w:val="left"/>
        <w:rPr>
          <w:rFonts w:ascii="宋体" w:hAnsi="宋体" w:cs="宋体" w:eastAsia="宋体" w:hint="default"/>
          <w:sz w:val="24"/>
          <w:szCs w:val="24"/>
        </w:rPr>
      </w:pPr>
      <w:r>
        <w:rPr>
          <w:rFonts w:ascii="宋体" w:hAnsi="宋体" w:cs="宋体" w:eastAsia="宋体" w:hint="default"/>
          <w:sz w:val="24"/>
          <w:szCs w:val="24"/>
        </w:rPr>
        <w:t>截至</w:t>
      </w:r>
      <w:r>
        <w:rPr>
          <w:rFonts w:ascii="Calibri" w:hAnsi="Calibri" w:cs="Calibri" w:eastAsia="Calibri" w:hint="default"/>
          <w:sz w:val="24"/>
          <w:szCs w:val="24"/>
        </w:rPr>
        <w:t>2012</w:t>
      </w:r>
      <w:r>
        <w:rPr>
          <w:rFonts w:ascii="宋体" w:hAnsi="宋体" w:cs="宋体" w:eastAsia="宋体" w:hint="default"/>
          <w:sz w:val="24"/>
          <w:szCs w:val="24"/>
        </w:rPr>
        <w:t>年</w:t>
      </w:r>
      <w:r>
        <w:rPr>
          <w:rFonts w:ascii="Calibri" w:hAnsi="Calibri" w:cs="Calibri" w:eastAsia="Calibri" w:hint="default"/>
          <w:sz w:val="24"/>
          <w:szCs w:val="24"/>
        </w:rPr>
        <w:t>12</w:t>
      </w:r>
      <w:r>
        <w:rPr>
          <w:rFonts w:ascii="宋体" w:hAnsi="宋体" w:cs="宋体" w:eastAsia="宋体" w:hint="default"/>
          <w:sz w:val="24"/>
          <w:szCs w:val="24"/>
        </w:rPr>
        <w:t>月</w:t>
      </w:r>
      <w:r>
        <w:rPr>
          <w:rFonts w:ascii="Calibri" w:hAnsi="Calibri" w:cs="Calibri" w:eastAsia="Calibri" w:hint="default"/>
          <w:sz w:val="24"/>
          <w:szCs w:val="24"/>
        </w:rPr>
        <w:t>31</w:t>
      </w:r>
      <w:r>
        <w:rPr>
          <w:rFonts w:ascii="宋体" w:hAnsi="宋体" w:cs="宋体" w:eastAsia="宋体" w:hint="default"/>
          <w:sz w:val="24"/>
          <w:szCs w:val="24"/>
        </w:rPr>
        <w:t>日，本公司不存在应披露的承诺事项 </w:t>
      </w:r>
      <w:r>
        <w:rPr>
          <w:rFonts w:ascii="宋体" w:hAnsi="宋体" w:cs="宋体" w:eastAsia="宋体" w:hint="default"/>
          <w:b/>
          <w:bCs/>
          <w:sz w:val="24"/>
          <w:szCs w:val="24"/>
        </w:rPr>
        <w:t>十三、资产负债表日后事项</w:t>
      </w:r>
      <w:r>
        <w:rPr>
          <w:rFonts w:ascii="宋体" w:hAnsi="宋体" w:cs="宋体" w:eastAsia="宋体" w:hint="default"/>
          <w:sz w:val="24"/>
          <w:szCs w:val="24"/>
        </w:rPr>
      </w:r>
    </w:p>
    <w:p>
      <w:pPr>
        <w:spacing w:before="136"/>
        <w:ind w:left="558"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b/>
          <w:bCs/>
          <w:sz w:val="21"/>
          <w:szCs w:val="21"/>
        </w:rPr>
        <w:t>重要的资产负债表日后事项说明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pStyle w:val="BodyText"/>
        <w:spacing w:line="218" w:lineRule="auto"/>
        <w:ind w:right="147"/>
        <w:jc w:val="both"/>
      </w:pPr>
      <w:r>
        <w:rPr/>
        <w:t>（</w:t>
      </w:r>
      <w:r>
        <w:rPr>
          <w:rFonts w:ascii="Calibri" w:hAnsi="Calibri" w:cs="Calibri" w:eastAsia="Calibri" w:hint="default"/>
        </w:rPr>
        <w:t>1</w:t>
      </w:r>
      <w:r>
        <w:rPr/>
        <w:t>）</w:t>
      </w:r>
      <w:r>
        <w:rPr>
          <w:rFonts w:ascii="Calibri" w:hAnsi="Calibri" w:cs="Calibri" w:eastAsia="Calibri" w:hint="default"/>
        </w:rPr>
        <w:t>2013</w:t>
      </w:r>
      <w:r>
        <w:rPr/>
        <w:t>年</w:t>
      </w:r>
      <w:r>
        <w:rPr>
          <w:rFonts w:ascii="Calibri" w:hAnsi="Calibri" w:cs="Calibri" w:eastAsia="Calibri" w:hint="default"/>
        </w:rPr>
        <w:t>2</w:t>
      </w:r>
      <w:r>
        <w:rPr/>
        <w:t>月</w:t>
      </w:r>
      <w:r>
        <w:rPr>
          <w:rFonts w:ascii="Calibri" w:hAnsi="Calibri" w:cs="Calibri" w:eastAsia="Calibri" w:hint="default"/>
        </w:rPr>
        <w:t>21</w:t>
      </w:r>
      <w:r>
        <w:rPr/>
        <w:t>日，公司第二届董事会第十三次会议审议通过《关于参股北京市</w:t>
      </w:r>
      <w:r>
        <w:rPr>
          <w:spacing w:val="-95"/>
        </w:rPr>
        <w:t> </w:t>
      </w:r>
      <w:r>
        <w:rPr>
          <w:spacing w:val="-95"/>
        </w:rPr>
      </w:r>
      <w:r>
        <w:rPr/>
        <w:t>北斗导航与位置服务股份有限公司的议案》，拟以自筹资金</w:t>
      </w:r>
      <w:r>
        <w:rPr>
          <w:rFonts w:ascii="Calibri" w:hAnsi="Calibri" w:cs="Calibri" w:eastAsia="Calibri" w:hint="default"/>
        </w:rPr>
        <w:t>300</w:t>
      </w:r>
      <w:r>
        <w:rPr/>
        <w:t>万元入股</w:t>
      </w:r>
      <w:r>
        <w:rPr>
          <w:rFonts w:ascii="Calibri" w:hAnsi="Calibri" w:cs="Calibri" w:eastAsia="Calibri" w:hint="default"/>
        </w:rPr>
        <w:t>“</w:t>
      </w:r>
      <w:r>
        <w:rPr/>
        <w:t>北京市北</w:t>
      </w:r>
      <w:r>
        <w:rPr>
          <w:spacing w:val="-57"/>
        </w:rPr>
        <w:t> </w:t>
      </w:r>
      <w:r>
        <w:rPr>
          <w:spacing w:val="-2"/>
        </w:rPr>
        <w:t>斗导航与位置服务股份有限公司</w:t>
      </w:r>
      <w:r>
        <w:rPr>
          <w:rFonts w:ascii="Calibri" w:hAnsi="Calibri" w:cs="Calibri" w:eastAsia="Calibri" w:hint="default"/>
          <w:spacing w:val="-2"/>
        </w:rPr>
        <w:t>”</w:t>
      </w:r>
      <w:r>
        <w:rPr>
          <w:spacing w:val="-2"/>
        </w:rPr>
        <w:t>（中关村空间信息产业联盟拟召集联盟内骨干企业</w:t>
      </w:r>
      <w:r>
        <w:rPr>
          <w:spacing w:val="-97"/>
        </w:rPr>
        <w:t> </w:t>
      </w:r>
      <w:r>
        <w:rPr/>
        <w:t>与政府共同出资方式设立），持股比例为</w:t>
      </w:r>
      <w:r>
        <w:rPr>
          <w:rFonts w:ascii="Calibri" w:hAnsi="Calibri" w:cs="Calibri" w:eastAsia="Calibri" w:hint="default"/>
        </w:rPr>
        <w:t>1%</w:t>
      </w:r>
      <w:r>
        <w:rPr/>
        <w:t>。</w:t>
      </w:r>
    </w:p>
    <w:p>
      <w:pPr>
        <w:pStyle w:val="BodyText"/>
        <w:spacing w:line="312" w:lineRule="exact" w:before="219"/>
        <w:ind w:right="158"/>
        <w:jc w:val="both"/>
      </w:pPr>
      <w:r>
        <w:rPr/>
        <w:t>（</w:t>
      </w:r>
      <w:r>
        <w:rPr>
          <w:rFonts w:ascii="Calibri" w:hAnsi="Calibri" w:cs="Calibri" w:eastAsia="Calibri" w:hint="default"/>
        </w:rPr>
        <w:t>2</w:t>
      </w:r>
      <w:r>
        <w:rPr/>
        <w:t>）</w:t>
      </w:r>
      <w:r>
        <w:rPr>
          <w:rFonts w:ascii="Calibri" w:hAnsi="Calibri" w:cs="Calibri" w:eastAsia="Calibri" w:hint="default"/>
        </w:rPr>
        <w:t>2013</w:t>
      </w:r>
      <w:r>
        <w:rPr/>
        <w:t>年</w:t>
      </w:r>
      <w:r>
        <w:rPr>
          <w:rFonts w:ascii="Calibri" w:hAnsi="Calibri" w:cs="Calibri" w:eastAsia="Calibri" w:hint="default"/>
        </w:rPr>
        <w:t>2</w:t>
      </w:r>
      <w:r>
        <w:rPr/>
        <w:t>月</w:t>
      </w:r>
      <w:r>
        <w:rPr>
          <w:rFonts w:ascii="Calibri" w:hAnsi="Calibri" w:cs="Calibri" w:eastAsia="Calibri" w:hint="default"/>
        </w:rPr>
        <w:t>21</w:t>
      </w:r>
      <w:r>
        <w:rPr/>
        <w:t>日，公司第二届董事会第十三次会议审议通过《设立上海子公司</w:t>
      </w:r>
      <w:r>
        <w:rPr>
          <w:spacing w:val="-95"/>
        </w:rPr>
        <w:t> </w:t>
      </w:r>
      <w:r>
        <w:rPr>
          <w:spacing w:val="-95"/>
        </w:rPr>
      </w:r>
      <w:r>
        <w:rPr/>
        <w:t>的议案》，结合上海地区对国产自主品牌软件企业的支持力度及公司在上海地区的</w:t>
      </w:r>
      <w:r>
        <w:rPr>
          <w:spacing w:val="-77"/>
        </w:rPr>
        <w:t> </w:t>
      </w:r>
      <w:r>
        <w:rPr>
          <w:spacing w:val="-77"/>
        </w:rPr>
      </w:r>
      <w:r>
        <w:rPr/>
        <w:t>业务发展情况，拟在上海市设立全资子公司作为公司华东地区的销售网络核心、技</w:t>
      </w:r>
      <w:r>
        <w:rPr>
          <w:spacing w:val="-77"/>
        </w:rPr>
        <w:t> </w:t>
      </w:r>
      <w:r>
        <w:rPr>
          <w:spacing w:val="-77"/>
        </w:rPr>
      </w:r>
      <w:r>
        <w:rPr/>
        <w:t>术服务核心，并承担部分应用产品的研发工作，拟投入注册资本人民币</w:t>
      </w:r>
      <w:r>
        <w:rPr>
          <w:rFonts w:ascii="Calibri" w:hAnsi="Calibri" w:cs="Calibri" w:eastAsia="Calibri" w:hint="default"/>
        </w:rPr>
        <w:t>500</w:t>
      </w:r>
      <w:r>
        <w:rPr/>
        <w:t>万。</w:t>
      </w:r>
    </w:p>
    <w:p>
      <w:pPr>
        <w:spacing w:line="240" w:lineRule="auto" w:before="9"/>
        <w:rPr>
          <w:rFonts w:ascii="宋体" w:hAnsi="宋体" w:cs="宋体" w:eastAsia="宋体" w:hint="default"/>
          <w:sz w:val="22"/>
          <w:szCs w:val="22"/>
        </w:rPr>
      </w:pPr>
    </w:p>
    <w:p>
      <w:pPr>
        <w:spacing w:before="0"/>
        <w:ind w:left="558" w:right="0" w:firstLine="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、资产负债表日后利润分配情况说明</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4362"/>
        <w:gridCol w:w="4387"/>
      </w:tblGrid>
      <w:tr>
        <w:trPr>
          <w:trHeight w:val="322"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43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324" w:hRule="exact"/>
        </w:trPr>
        <w:tc>
          <w:tcPr>
            <w:tcW w:w="4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43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、其他资产负债表日后事项说明</w:t>
      </w:r>
      <w:r>
        <w:rPr>
          <w:rFonts w:ascii="宋体" w:hAnsi="宋体" w:cs="宋体" w:eastAsia="宋体" w:hint="default"/>
          <w:sz w:val="21"/>
          <w:szCs w:val="21"/>
        </w:rPr>
      </w:r>
    </w:p>
    <w:p>
      <w:pPr>
        <w:spacing w:line="240" w:lineRule="auto" w:before="6"/>
        <w:rPr>
          <w:rFonts w:ascii="宋体" w:hAnsi="宋体" w:cs="宋体" w:eastAsia="宋体" w:hint="default"/>
          <w:b/>
          <w:bCs/>
          <w:sz w:val="22"/>
          <w:szCs w:val="22"/>
        </w:rPr>
      </w:pPr>
    </w:p>
    <w:p>
      <w:pPr>
        <w:pStyle w:val="BodyText"/>
        <w:spacing w:line="240" w:lineRule="auto"/>
        <w:ind w:right="0"/>
        <w:jc w:val="left"/>
      </w:pPr>
      <w:r>
        <w:rPr/>
        <w:t>截至</w:t>
      </w:r>
      <w:r>
        <w:rPr>
          <w:rFonts w:ascii="Calibri" w:hAnsi="Calibri" w:cs="Calibri" w:eastAsia="Calibri" w:hint="default"/>
        </w:rPr>
        <w:t>2012</w:t>
      </w:r>
      <w:r>
        <w:rPr/>
        <w:t>年</w:t>
      </w:r>
      <w:r>
        <w:rPr>
          <w:rFonts w:ascii="Calibri" w:hAnsi="Calibri" w:cs="Calibri" w:eastAsia="Calibri" w:hint="default"/>
        </w:rPr>
        <w:t>12</w:t>
      </w:r>
      <w:r>
        <w:rPr/>
        <w:t>月</w:t>
      </w:r>
      <w:r>
        <w:rPr>
          <w:rFonts w:ascii="Calibri" w:hAnsi="Calibri" w:cs="Calibri" w:eastAsia="Calibri" w:hint="default"/>
        </w:rPr>
        <w:t>31</w:t>
      </w:r>
      <w:r>
        <w:rPr/>
        <w:t>日，本公司不存在应披露的其他重要事项。</w:t>
      </w:r>
    </w:p>
    <w:p>
      <w:pPr>
        <w:spacing w:line="240" w:lineRule="auto" w:before="0"/>
        <w:rPr>
          <w:rFonts w:ascii="宋体" w:hAnsi="宋体" w:cs="宋体" w:eastAsia="宋体" w:hint="default"/>
          <w:sz w:val="26"/>
          <w:szCs w:val="26"/>
        </w:rPr>
      </w:pPr>
    </w:p>
    <w:p>
      <w:pPr>
        <w:spacing w:line="240" w:lineRule="auto" w:before="12"/>
        <w:rPr>
          <w:rFonts w:ascii="宋体" w:hAnsi="宋体" w:cs="宋体" w:eastAsia="宋体" w:hint="default"/>
          <w:sz w:val="34"/>
          <w:szCs w:val="34"/>
        </w:rPr>
      </w:pPr>
    </w:p>
    <w:p>
      <w:pPr>
        <w:spacing w:line="496" w:lineRule="auto" w:before="0"/>
        <w:ind w:left="558" w:right="6659" w:firstLine="0"/>
        <w:jc w:val="left"/>
        <w:rPr>
          <w:rFonts w:ascii="宋体" w:hAnsi="宋体" w:cs="宋体" w:eastAsia="宋体" w:hint="default"/>
          <w:sz w:val="21"/>
          <w:szCs w:val="21"/>
        </w:rPr>
      </w:pP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非货币性资产交换</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无</w:t>
      </w:r>
    </w:p>
    <w:p>
      <w:pPr>
        <w:spacing w:line="506" w:lineRule="auto" w:before="112"/>
        <w:ind w:left="918" w:right="7624" w:hanging="3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61"/>
          <w:sz w:val="21"/>
          <w:szCs w:val="21"/>
        </w:rPr>
        <w:t> </w:t>
      </w:r>
      <w:r>
        <w:rPr>
          <w:rFonts w:ascii="宋体" w:hAnsi="宋体" w:cs="宋体" w:eastAsia="宋体" w:hint="default"/>
          <w:b/>
          <w:bCs/>
          <w:sz w:val="21"/>
          <w:szCs w:val="21"/>
        </w:rPr>
        <w:t>债务重组</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506" w:lineRule="auto" w:before="104"/>
        <w:ind w:left="558" w:right="76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61"/>
          <w:sz w:val="21"/>
          <w:szCs w:val="21"/>
        </w:rPr>
        <w:t> </w:t>
      </w:r>
      <w:r>
        <w:rPr>
          <w:rFonts w:ascii="宋体" w:hAnsi="宋体" w:cs="宋体" w:eastAsia="宋体" w:hint="default"/>
          <w:b/>
          <w:bCs/>
          <w:sz w:val="21"/>
          <w:szCs w:val="21"/>
        </w:rPr>
        <w:t>企业合并</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after="0" w:line="506" w:lineRule="auto"/>
        <w:jc w:val="left"/>
        <w:rPr>
          <w:rFonts w:ascii="宋体" w:hAnsi="宋体" w:cs="宋体" w:eastAsia="宋体" w:hint="default"/>
          <w:sz w:val="21"/>
          <w:szCs w:val="21"/>
        </w:rPr>
        <w:sectPr>
          <w:pgSz w:w="11910" w:h="16840"/>
          <w:pgMar w:header="0" w:footer="1007" w:top="1160" w:bottom="1200" w:left="1240" w:right="1260"/>
        </w:sectPr>
      </w:pPr>
    </w:p>
    <w:p>
      <w:pPr>
        <w:spacing w:line="240" w:lineRule="auto" w:before="4"/>
        <w:rPr>
          <w:rFonts w:ascii="宋体" w:hAnsi="宋体" w:cs="宋体" w:eastAsia="宋体" w:hint="default"/>
          <w:sz w:val="16"/>
          <w:szCs w:val="16"/>
        </w:rPr>
      </w:pPr>
    </w:p>
    <w:p>
      <w:pPr>
        <w:spacing w:line="506" w:lineRule="auto" w:before="36"/>
        <w:ind w:left="558" w:right="804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租赁</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506" w:lineRule="auto" w:before="104"/>
        <w:ind w:left="918" w:right="4463" w:hanging="36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62"/>
          <w:sz w:val="21"/>
          <w:szCs w:val="21"/>
        </w:rPr>
        <w:t> </w:t>
      </w:r>
      <w:r>
        <w:rPr>
          <w:rFonts w:ascii="宋体" w:hAnsi="宋体" w:cs="宋体" w:eastAsia="宋体" w:hint="default"/>
          <w:b/>
          <w:bCs/>
          <w:sz w:val="21"/>
          <w:szCs w:val="21"/>
        </w:rPr>
        <w:t>期末发行在外的、可转换为股份的金融工具</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506" w:lineRule="auto" w:before="104"/>
        <w:ind w:left="558" w:right="5787"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w:t>
      </w:r>
      <w:r>
        <w:rPr>
          <w:rFonts w:ascii="宋体" w:hAnsi="宋体" w:cs="宋体" w:eastAsia="宋体" w:hint="default"/>
          <w:b/>
          <w:bCs/>
          <w:spacing w:val="-1"/>
          <w:sz w:val="21"/>
          <w:szCs w:val="21"/>
        </w:rPr>
        <w:t>以公允价值计量的资产和负债</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sz w:val="21"/>
          <w:szCs w:val="21"/>
        </w:rPr>
        <w:t>无</w:t>
      </w:r>
    </w:p>
    <w:p>
      <w:pPr>
        <w:spacing w:line="240" w:lineRule="auto" w:before="0"/>
        <w:rPr>
          <w:rFonts w:ascii="宋体" w:hAnsi="宋体" w:cs="宋体" w:eastAsia="宋体" w:hint="default"/>
          <w:sz w:val="20"/>
          <w:szCs w:val="20"/>
        </w:rPr>
      </w:pPr>
    </w:p>
    <w:p>
      <w:pPr>
        <w:spacing w:line="516" w:lineRule="auto" w:before="155"/>
        <w:ind w:left="558" w:right="5786" w:firstLine="0"/>
        <w:jc w:val="left"/>
        <w:rPr>
          <w:rFonts w:ascii="宋体" w:hAnsi="宋体" w:cs="宋体" w:eastAsia="宋体" w:hint="default"/>
          <w:sz w:val="21"/>
          <w:szCs w:val="21"/>
        </w:rPr>
      </w:pPr>
      <w:r>
        <w:rPr>
          <w:rFonts w:ascii="Times New Roman" w:hAnsi="Times New Roman" w:cs="Times New Roman" w:eastAsia="Times New Roman" w:hint="default"/>
          <w:spacing w:val="-1"/>
          <w:sz w:val="21"/>
          <w:szCs w:val="21"/>
        </w:rPr>
        <w:t>7</w:t>
      </w:r>
      <w:r>
        <w:rPr>
          <w:rFonts w:ascii="宋体" w:hAnsi="宋体" w:cs="宋体" w:eastAsia="宋体" w:hint="default"/>
          <w:spacing w:val="-1"/>
          <w:sz w:val="21"/>
          <w:szCs w:val="21"/>
        </w:rPr>
        <w:t>、</w:t>
      </w:r>
      <w:r>
        <w:rPr>
          <w:rFonts w:ascii="宋体" w:hAnsi="宋体" w:cs="宋体" w:eastAsia="宋体" w:hint="default"/>
          <w:b/>
          <w:bCs/>
          <w:spacing w:val="-1"/>
          <w:sz w:val="21"/>
          <w:szCs w:val="21"/>
        </w:rPr>
        <w:t>外币金融资产和外币金融负债</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sz w:val="21"/>
          <w:szCs w:val="21"/>
        </w:rPr>
        <w:t>无</w:t>
      </w:r>
      <w:r>
        <w:rPr>
          <w:rFonts w:ascii="宋体" w:hAnsi="宋体" w:cs="宋体" w:eastAsia="宋体" w:hint="default"/>
          <w:w w:val="100"/>
          <w:sz w:val="21"/>
          <w:szCs w:val="21"/>
        </w:rPr>
        <w:t> </w:t>
      </w:r>
      <w:r>
        <w:rPr>
          <w:rFonts w:ascii="Times New Roman" w:hAnsi="Times New Roman" w:cs="Times New Roman" w:eastAsia="Times New Roman" w:hint="default"/>
          <w:b/>
          <w:bCs/>
          <w:spacing w:val="-1"/>
          <w:sz w:val="21"/>
          <w:szCs w:val="21"/>
        </w:rPr>
        <w:t>8</w:t>
      </w:r>
      <w:r>
        <w:rPr>
          <w:rFonts w:ascii="宋体" w:hAnsi="宋体" w:cs="宋体" w:eastAsia="宋体" w:hint="default"/>
          <w:b/>
          <w:bCs/>
          <w:spacing w:val="-1"/>
          <w:sz w:val="21"/>
          <w:szCs w:val="21"/>
        </w:rPr>
        <w:t>、年金计划主要内容及重大变化</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sz w:val="21"/>
          <w:szCs w:val="21"/>
        </w:rPr>
        <w:t>无</w:t>
      </w:r>
    </w:p>
    <w:p>
      <w:pPr>
        <w:spacing w:line="506" w:lineRule="auto" w:before="95"/>
        <w:ind w:left="558" w:right="80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21"/>
          <w:szCs w:val="21"/>
        </w:rPr>
        <w:t>无</w:t>
      </w:r>
    </w:p>
    <w:p>
      <w:pPr>
        <w:pStyle w:val="Heading4"/>
        <w:spacing w:line="240" w:lineRule="auto" w:before="78"/>
        <w:ind w:left="558" w:right="0"/>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1012"/>
        <w:gridCol w:w="1381"/>
        <w:gridCol w:w="528"/>
        <w:gridCol w:w="1277"/>
        <w:gridCol w:w="687"/>
        <w:gridCol w:w="1370"/>
        <w:gridCol w:w="526"/>
        <w:gridCol w:w="1273"/>
        <w:gridCol w:w="684"/>
      </w:tblGrid>
      <w:tr>
        <w:trPr>
          <w:trHeight w:val="317" w:hRule="exact"/>
        </w:trPr>
        <w:tc>
          <w:tcPr>
            <w:tcW w:w="1012" w:type="dxa"/>
            <w:vMerge w:val="restart"/>
            <w:tcBorders>
              <w:top w:val="single" w:sz="4" w:space="0" w:color="000000"/>
              <w:left w:val="single" w:sz="4" w:space="0" w:color="000000"/>
              <w:right w:val="single" w:sz="4" w:space="0" w:color="000000"/>
            </w:tcBorders>
            <w:shd w:val="clear" w:color="auto" w:fill="D2D2D2"/>
          </w:tcPr>
          <w:p>
            <w:pPr/>
          </w:p>
        </w:tc>
        <w:tc>
          <w:tcPr>
            <w:tcW w:w="38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166" w:hRule="exact"/>
        </w:trPr>
        <w:tc>
          <w:tcPr>
            <w:tcW w:w="1012" w:type="dxa"/>
            <w:vMerge/>
            <w:tcBorders>
              <w:left w:val="single" w:sz="4" w:space="0" w:color="000000"/>
              <w:bottom w:val="nil" w:sz="6" w:space="0" w:color="auto"/>
              <w:right w:val="single" w:sz="4" w:space="0" w:color="000000"/>
            </w:tcBorders>
            <w:shd w:val="clear" w:color="auto" w:fill="D2D2D2"/>
          </w:tcPr>
          <w:p>
            <w:pPr/>
          </w:p>
        </w:tc>
        <w:tc>
          <w:tcPr>
            <w:tcW w:w="190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52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96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554"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89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52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95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55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161" w:hRule="exact"/>
        </w:trPr>
        <w:tc>
          <w:tcPr>
            <w:tcW w:w="1012"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83" w:right="0"/>
              <w:jc w:val="left"/>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1909" w:type="dxa"/>
            <w:gridSpan w:val="2"/>
            <w:vMerge/>
            <w:tcBorders>
              <w:left w:val="single" w:sz="4" w:space="0" w:color="000000"/>
              <w:bottom w:val="single" w:sz="4" w:space="0" w:color="000000"/>
              <w:right w:val="single" w:sz="4" w:space="0" w:color="000000"/>
            </w:tcBorders>
            <w:shd w:val="clear" w:color="auto" w:fill="D2D2D2"/>
          </w:tcPr>
          <w:p>
            <w:pPr/>
          </w:p>
        </w:tc>
        <w:tc>
          <w:tcPr>
            <w:tcW w:w="1964" w:type="dxa"/>
            <w:gridSpan w:val="2"/>
            <w:vMerge/>
            <w:tcBorders>
              <w:left w:val="single" w:sz="4" w:space="0" w:color="000000"/>
              <w:bottom w:val="single" w:sz="4" w:space="0" w:color="000000"/>
              <w:right w:val="single" w:sz="4" w:space="0" w:color="000000"/>
            </w:tcBorders>
            <w:shd w:val="clear" w:color="auto" w:fill="D2D2D2"/>
          </w:tcPr>
          <w:p>
            <w:pPr/>
          </w:p>
        </w:tc>
        <w:tc>
          <w:tcPr>
            <w:tcW w:w="1896" w:type="dxa"/>
            <w:gridSpan w:val="2"/>
            <w:vMerge/>
            <w:tcBorders>
              <w:left w:val="single" w:sz="4" w:space="0" w:color="000000"/>
              <w:bottom w:val="single" w:sz="4" w:space="0" w:color="000000"/>
              <w:right w:val="single" w:sz="4" w:space="0" w:color="000000"/>
            </w:tcBorders>
            <w:shd w:val="clear" w:color="auto" w:fill="D2D2D2"/>
          </w:tcPr>
          <w:p>
            <w:pPr/>
          </w:p>
        </w:tc>
        <w:tc>
          <w:tcPr>
            <w:tcW w:w="1957" w:type="dxa"/>
            <w:gridSpan w:val="2"/>
            <w:vMerge/>
            <w:tcBorders>
              <w:left w:val="single" w:sz="4" w:space="0" w:color="000000"/>
              <w:bottom w:val="single" w:sz="4" w:space="0" w:color="000000"/>
              <w:right w:val="single" w:sz="4" w:space="0" w:color="000000"/>
            </w:tcBorders>
            <w:shd w:val="clear" w:color="auto" w:fill="D2D2D2"/>
          </w:tcPr>
          <w:p>
            <w:pPr/>
          </w:p>
        </w:tc>
      </w:tr>
      <w:tr>
        <w:trPr>
          <w:trHeight w:val="158" w:hRule="exact"/>
        </w:trPr>
        <w:tc>
          <w:tcPr>
            <w:tcW w:w="1012" w:type="dxa"/>
            <w:vMerge/>
            <w:tcBorders>
              <w:left w:val="single" w:sz="4" w:space="0" w:color="000000"/>
              <w:bottom w:val="single" w:sz="4" w:space="0" w:color="FFFFFF"/>
              <w:right w:val="single" w:sz="4" w:space="0" w:color="000000"/>
            </w:tcBorders>
            <w:shd w:val="clear" w:color="auto" w:fill="D2D2D2"/>
          </w:tcPr>
          <w:p>
            <w:pPr/>
          </w:p>
        </w:tc>
        <w:tc>
          <w:tcPr>
            <w:tcW w:w="138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528"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47"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17" w:right="0"/>
              <w:jc w:val="left"/>
              <w:rPr>
                <w:rFonts w:ascii="Calibri" w:hAnsi="Calibri" w:cs="Calibri" w:eastAsia="Calibri" w:hint="default"/>
                <w:sz w:val="21"/>
                <w:szCs w:val="21"/>
              </w:rPr>
            </w:pPr>
            <w:r>
              <w:rPr>
                <w:rFonts w:ascii="Calibri"/>
                <w:b/>
                <w:sz w:val="21"/>
              </w:rPr>
              <w:t>(%)</w:t>
            </w:r>
            <w:r>
              <w:rPr>
                <w:rFonts w:ascii="Calibri"/>
                <w:sz w:val="21"/>
              </w:rPr>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127"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96" w:right="0"/>
              <w:jc w:val="left"/>
              <w:rPr>
                <w:rFonts w:ascii="Calibri" w:hAnsi="Calibri" w:cs="Calibri" w:eastAsia="Calibri" w:hint="default"/>
                <w:sz w:val="21"/>
                <w:szCs w:val="21"/>
              </w:rPr>
            </w:pPr>
            <w:r>
              <w:rPr>
                <w:rFonts w:ascii="Calibri"/>
                <w:b/>
                <w:sz w:val="21"/>
              </w:rPr>
              <w:t>(%)</w:t>
            </w:r>
            <w:r>
              <w:rPr>
                <w:rFonts w:ascii="Calibri"/>
                <w:sz w:val="21"/>
              </w:rPr>
            </w:r>
          </w:p>
        </w:tc>
        <w:tc>
          <w:tcPr>
            <w:tcW w:w="1370"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48"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17" w:right="0"/>
              <w:jc w:val="left"/>
              <w:rPr>
                <w:rFonts w:ascii="Calibri" w:hAnsi="Calibri" w:cs="Calibri" w:eastAsia="Calibri" w:hint="default"/>
                <w:sz w:val="21"/>
                <w:szCs w:val="21"/>
              </w:rPr>
            </w:pPr>
            <w:r>
              <w:rPr>
                <w:rFonts w:ascii="Calibri"/>
                <w:b/>
                <w:sz w:val="21"/>
              </w:rPr>
              <w:t>(%)</w:t>
            </w:r>
            <w:r>
              <w:rPr>
                <w:rFonts w:ascii="Calibri"/>
                <w:sz w:val="21"/>
              </w:rPr>
            </w:r>
          </w:p>
        </w:tc>
        <w:tc>
          <w:tcPr>
            <w:tcW w:w="1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124"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94" w:right="0"/>
              <w:jc w:val="left"/>
              <w:rPr>
                <w:rFonts w:ascii="Calibri" w:hAnsi="Calibri" w:cs="Calibri" w:eastAsia="Calibri" w:hint="default"/>
                <w:sz w:val="21"/>
                <w:szCs w:val="21"/>
              </w:rPr>
            </w:pPr>
            <w:r>
              <w:rPr>
                <w:rFonts w:ascii="Calibri"/>
                <w:b/>
                <w:sz w:val="21"/>
              </w:rPr>
              <w:t>(%)</w:t>
            </w:r>
            <w:r>
              <w:rPr>
                <w:rFonts w:ascii="Calibri"/>
                <w:sz w:val="21"/>
              </w:rPr>
            </w:r>
          </w:p>
        </w:tc>
      </w:tr>
      <w:tr>
        <w:trPr>
          <w:trHeight w:val="313" w:hRule="exact"/>
        </w:trPr>
        <w:tc>
          <w:tcPr>
            <w:tcW w:w="1012" w:type="dxa"/>
            <w:vMerge w:val="restart"/>
            <w:tcBorders>
              <w:top w:val="single" w:sz="4" w:space="0" w:color="FFFFFF"/>
              <w:left w:val="single" w:sz="4" w:space="0" w:color="000000"/>
              <w:right w:val="single" w:sz="4" w:space="0" w:color="000000"/>
            </w:tcBorders>
            <w:shd w:val="clear" w:color="auto" w:fill="D2D2D2"/>
          </w:tcPr>
          <w:p>
            <w:pPr/>
          </w:p>
        </w:tc>
        <w:tc>
          <w:tcPr>
            <w:tcW w:w="1381" w:type="dxa"/>
            <w:tcBorders>
              <w:top w:val="single" w:sz="4" w:space="0" w:color="FFFFFF"/>
              <w:left w:val="single" w:sz="4" w:space="0" w:color="000000"/>
              <w:bottom w:val="nil" w:sz="6" w:space="0" w:color="auto"/>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528" w:type="dxa"/>
            <w:vMerge/>
            <w:tcBorders>
              <w:left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4" w:lineRule="exact"/>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687" w:type="dxa"/>
            <w:vMerge/>
            <w:tcBorders>
              <w:left w:val="single" w:sz="4" w:space="0" w:color="000000"/>
              <w:right w:val="single" w:sz="4" w:space="0" w:color="000000"/>
            </w:tcBorders>
            <w:shd w:val="clear" w:color="auto" w:fill="D2D2D2"/>
          </w:tcPr>
          <w:p>
            <w:pPr/>
          </w:p>
        </w:tc>
        <w:tc>
          <w:tcPr>
            <w:tcW w:w="13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526" w:type="dxa"/>
            <w:vMerge/>
            <w:tcBorders>
              <w:left w:val="single" w:sz="4" w:space="0" w:color="000000"/>
              <w:right w:val="single" w:sz="4" w:space="0" w:color="000000"/>
            </w:tcBorders>
            <w:shd w:val="clear" w:color="auto" w:fill="D2D2D2"/>
          </w:tcPr>
          <w:p>
            <w:pPr/>
          </w:p>
        </w:tc>
        <w:tc>
          <w:tcPr>
            <w:tcW w:w="1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684" w:type="dxa"/>
            <w:vMerge/>
            <w:tcBorders>
              <w:left w:val="single" w:sz="4" w:space="0" w:color="000000"/>
              <w:right w:val="single" w:sz="4" w:space="0" w:color="000000"/>
            </w:tcBorders>
            <w:shd w:val="clear" w:color="auto" w:fill="D2D2D2"/>
          </w:tcPr>
          <w:p>
            <w:pPr/>
          </w:p>
        </w:tc>
      </w:tr>
      <w:tr>
        <w:trPr>
          <w:trHeight w:val="161" w:hRule="exact"/>
        </w:trPr>
        <w:tc>
          <w:tcPr>
            <w:tcW w:w="1012" w:type="dxa"/>
            <w:vMerge/>
            <w:tcBorders>
              <w:left w:val="single" w:sz="4" w:space="0" w:color="000000"/>
              <w:bottom w:val="single" w:sz="4" w:space="0" w:color="000000"/>
              <w:right w:val="single" w:sz="4" w:space="0" w:color="000000"/>
            </w:tcBorders>
            <w:shd w:val="clear" w:color="auto" w:fill="D2D2D2"/>
          </w:tcPr>
          <w:p>
            <w:pPr/>
          </w:p>
        </w:tc>
        <w:tc>
          <w:tcPr>
            <w:tcW w:w="1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528"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1370" w:type="dxa"/>
            <w:tcBorders>
              <w:top w:val="nil" w:sz="6" w:space="0" w:color="auto"/>
              <w:left w:val="single" w:sz="4" w:space="0" w:color="000000"/>
              <w:bottom w:val="single" w:sz="4" w:space="0" w:color="000000"/>
              <w:right w:val="single" w:sz="4" w:space="0" w:color="000000"/>
            </w:tcBorders>
            <w:shd w:val="clear" w:color="auto" w:fill="D2D2D2"/>
          </w:tcPr>
          <w:p>
            <w:pPr/>
          </w:p>
        </w:tc>
        <w:tc>
          <w:tcPr>
            <w:tcW w:w="526" w:type="dxa"/>
            <w:vMerge/>
            <w:tcBorders>
              <w:left w:val="single" w:sz="4" w:space="0" w:color="000000"/>
              <w:bottom w:val="single" w:sz="4" w:space="0" w:color="000000"/>
              <w:right w:val="single" w:sz="4" w:space="0" w:color="000000"/>
            </w:tcBorders>
            <w:shd w:val="clear" w:color="auto" w:fill="D2D2D2"/>
          </w:tcPr>
          <w:p>
            <w:pPr/>
          </w:p>
        </w:tc>
        <w:tc>
          <w:tcPr>
            <w:tcW w:w="1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r>
      <w:tr>
        <w:trPr>
          <w:trHeight w:val="1572"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146"/>
              <w:jc w:val="both"/>
              <w:rPr>
                <w:rFonts w:ascii="宋体" w:hAnsi="宋体" w:cs="宋体" w:eastAsia="宋体" w:hint="default"/>
                <w:sz w:val="21"/>
                <w:szCs w:val="21"/>
              </w:rPr>
            </w:pPr>
            <w:r>
              <w:rPr>
                <w:rFonts w:ascii="宋体" w:hAnsi="宋体" w:cs="宋体" w:eastAsia="宋体" w:hint="default"/>
                <w:sz w:val="21"/>
                <w:szCs w:val="21"/>
              </w:rPr>
              <w:t>单项金额</w:t>
            </w:r>
            <w:r>
              <w:rPr>
                <w:rFonts w:ascii="宋体" w:hAnsi="宋体" w:cs="宋体" w:eastAsia="宋体" w:hint="default"/>
                <w:w w:val="100"/>
                <w:sz w:val="21"/>
                <w:szCs w:val="21"/>
              </w:rPr>
              <w:t> </w:t>
            </w:r>
            <w:r>
              <w:rPr>
                <w:rFonts w:ascii="宋体" w:hAnsi="宋体" w:cs="宋体" w:eastAsia="宋体" w:hint="default"/>
                <w:sz w:val="21"/>
                <w:szCs w:val="21"/>
              </w:rPr>
              <w:t>重大并单</w:t>
            </w:r>
            <w:r>
              <w:rPr>
                <w:rFonts w:ascii="宋体" w:hAnsi="宋体" w:cs="宋体" w:eastAsia="宋体" w:hint="default"/>
                <w:w w:val="100"/>
                <w:sz w:val="21"/>
                <w:szCs w:val="21"/>
              </w:rPr>
              <w:t> </w:t>
            </w:r>
            <w:r>
              <w:rPr>
                <w:rFonts w:ascii="宋体" w:hAnsi="宋体" w:cs="宋体" w:eastAsia="宋体" w:hint="default"/>
                <w:sz w:val="21"/>
                <w:szCs w:val="21"/>
              </w:rPr>
              <w:t>项计提坏</w:t>
            </w:r>
            <w:r>
              <w:rPr>
                <w:rFonts w:ascii="宋体" w:hAnsi="宋体" w:cs="宋体" w:eastAsia="宋体" w:hint="default"/>
                <w:w w:val="100"/>
                <w:sz w:val="21"/>
                <w:szCs w:val="21"/>
              </w:rPr>
              <w:t> </w:t>
            </w:r>
            <w:r>
              <w:rPr>
                <w:rFonts w:ascii="宋体" w:hAnsi="宋体" w:cs="宋体" w:eastAsia="宋体" w:hint="default"/>
                <w:sz w:val="21"/>
                <w:szCs w:val="21"/>
              </w:rPr>
              <w:t>账准备的</w:t>
            </w:r>
            <w:r>
              <w:rPr>
                <w:rFonts w:ascii="宋体" w:hAnsi="宋体" w:cs="宋体" w:eastAsia="宋体" w:hint="default"/>
                <w:w w:val="100"/>
                <w:sz w:val="21"/>
                <w:szCs w:val="21"/>
              </w:rPr>
              <w:t> </w:t>
            </w:r>
            <w:r>
              <w:rPr>
                <w:rFonts w:ascii="宋体" w:hAnsi="宋体" w:cs="宋体" w:eastAsia="宋体" w:hint="default"/>
                <w:sz w:val="21"/>
                <w:szCs w:val="21"/>
              </w:rPr>
              <w:t>应收账款</w:t>
            </w:r>
          </w:p>
        </w:tc>
        <w:tc>
          <w:tcPr>
            <w:tcW w:w="1381" w:type="dxa"/>
            <w:tcBorders>
              <w:top w:val="single" w:sz="4" w:space="0" w:color="000000"/>
              <w:left w:val="single" w:sz="13" w:space="0" w:color="D2D2D2"/>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73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322"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141,810,807.50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Calibri" w:hAnsi="Calibri" w:cs="Calibri" w:eastAsia="Calibri" w:hint="default"/>
                <w:sz w:val="21"/>
                <w:szCs w:val="21"/>
              </w:rPr>
            </w:pPr>
            <w:r>
              <w:rPr>
                <w:rFonts w:ascii="Calibri"/>
                <w:sz w:val="21"/>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24,069,819.40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5" w:right="0"/>
              <w:jc w:val="center"/>
              <w:rPr>
                <w:rFonts w:ascii="Calibri" w:hAnsi="Calibri" w:cs="Calibri" w:eastAsia="Calibri" w:hint="default"/>
                <w:sz w:val="21"/>
                <w:szCs w:val="21"/>
              </w:rPr>
            </w:pPr>
            <w:r>
              <w:rPr>
                <w:rFonts w:ascii="Calibri"/>
                <w:sz w:val="21"/>
              </w:rPr>
              <w:t>16.97%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pacing w:val="-3"/>
                <w:sz w:val="21"/>
              </w:rPr>
              <w:t>148,137,372.00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100%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27,298,816.87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18.43%</w:t>
            </w:r>
          </w:p>
        </w:tc>
      </w:tr>
      <w:tr>
        <w:trPr>
          <w:trHeight w:val="322"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141,810,807.50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1" w:right="0"/>
              <w:jc w:val="center"/>
              <w:rPr>
                <w:rFonts w:ascii="Calibri" w:hAnsi="Calibri" w:cs="Calibri" w:eastAsia="Calibri" w:hint="default"/>
                <w:sz w:val="21"/>
                <w:szCs w:val="21"/>
              </w:rPr>
            </w:pPr>
            <w:r>
              <w:rPr>
                <w:rFonts w:ascii="Calibri"/>
                <w:sz w:val="21"/>
              </w:rPr>
              <w:t>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24,069,819.40</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18.43%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pacing w:val="-3"/>
                <w:sz w:val="21"/>
              </w:rPr>
              <w:t>148,137,372.00</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spacing w:val="-1"/>
                <w:sz w:val="21"/>
              </w:rPr>
              <w:t>100%</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z w:val="21"/>
              </w:rPr>
              <w:t>27,298,816.87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Calibri" w:hAnsi="Calibri" w:cs="Calibri" w:eastAsia="Calibri" w:hint="default"/>
                <w:sz w:val="21"/>
                <w:szCs w:val="21"/>
              </w:rPr>
            </w:pPr>
            <w:r>
              <w:rPr>
                <w:rFonts w:ascii="Calibri"/>
                <w:sz w:val="21"/>
              </w:rPr>
              <w:t>18.43%</w:t>
            </w:r>
          </w:p>
        </w:tc>
      </w:tr>
      <w:tr>
        <w:trPr>
          <w:trHeight w:val="322"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单项金额</w:t>
            </w:r>
          </w:p>
        </w:tc>
        <w:tc>
          <w:tcPr>
            <w:tcW w:w="1381"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1007" w:top="1160" w:bottom="1200" w:left="1240" w:right="1260"/>
        </w:sectPr>
      </w:pPr>
    </w:p>
    <w:p>
      <w:pPr>
        <w:spacing w:line="240" w:lineRule="auto" w:before="13"/>
        <w:rPr>
          <w:rFonts w:ascii="宋体" w:hAnsi="宋体" w:cs="宋体" w:eastAsia="宋体" w:hint="default"/>
          <w:sz w:val="19"/>
          <w:szCs w:val="19"/>
        </w:rPr>
      </w:pPr>
    </w:p>
    <w:tbl>
      <w:tblPr>
        <w:tblW w:w="0" w:type="auto"/>
        <w:jc w:val="left"/>
        <w:tblInd w:w="524" w:type="dxa"/>
        <w:tblLayout w:type="fixed"/>
        <w:tblCellMar>
          <w:top w:w="0" w:type="dxa"/>
          <w:left w:w="0" w:type="dxa"/>
          <w:bottom w:w="0" w:type="dxa"/>
          <w:right w:w="0" w:type="dxa"/>
        </w:tblCellMar>
        <w:tblLook w:val="01E0"/>
      </w:tblPr>
      <w:tblGrid>
        <w:gridCol w:w="1024"/>
        <w:gridCol w:w="1382"/>
        <w:gridCol w:w="528"/>
        <w:gridCol w:w="1277"/>
        <w:gridCol w:w="687"/>
        <w:gridCol w:w="1370"/>
        <w:gridCol w:w="526"/>
        <w:gridCol w:w="1273"/>
        <w:gridCol w:w="684"/>
      </w:tblGrid>
      <w:tr>
        <w:trPr>
          <w:trHeight w:val="1570" w:hRule="exact"/>
        </w:trPr>
        <w:tc>
          <w:tcPr>
            <w:tcW w:w="1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145"/>
              <w:jc w:val="both"/>
              <w:rPr>
                <w:rFonts w:ascii="宋体" w:hAnsi="宋体" w:cs="宋体" w:eastAsia="宋体" w:hint="default"/>
                <w:sz w:val="21"/>
                <w:szCs w:val="21"/>
              </w:rPr>
            </w:pPr>
            <w:r>
              <w:rPr>
                <w:rFonts w:ascii="宋体" w:hAnsi="宋体" w:cs="宋体" w:eastAsia="宋体" w:hint="default"/>
                <w:sz w:val="21"/>
                <w:szCs w:val="21"/>
              </w:rPr>
              <w:t>虽不重大</w:t>
            </w:r>
            <w:r>
              <w:rPr>
                <w:rFonts w:ascii="宋体" w:hAnsi="宋体" w:cs="宋体" w:eastAsia="宋体" w:hint="default"/>
                <w:w w:val="100"/>
                <w:sz w:val="21"/>
                <w:szCs w:val="21"/>
              </w:rPr>
              <w:t> </w:t>
            </w:r>
            <w:r>
              <w:rPr>
                <w:rFonts w:ascii="宋体" w:hAnsi="宋体" w:cs="宋体" w:eastAsia="宋体" w:hint="default"/>
                <w:sz w:val="21"/>
                <w:szCs w:val="21"/>
              </w:rPr>
              <w:t>但单项计</w:t>
            </w:r>
            <w:r>
              <w:rPr>
                <w:rFonts w:ascii="宋体" w:hAnsi="宋体" w:cs="宋体" w:eastAsia="宋体" w:hint="default"/>
                <w:w w:val="100"/>
                <w:sz w:val="21"/>
                <w:szCs w:val="21"/>
              </w:rPr>
              <w:t> </w:t>
            </w:r>
            <w:r>
              <w:rPr>
                <w:rFonts w:ascii="宋体" w:hAnsi="宋体" w:cs="宋体" w:eastAsia="宋体" w:hint="default"/>
                <w:sz w:val="21"/>
                <w:szCs w:val="21"/>
              </w:rPr>
              <w:t>提坏账准</w:t>
            </w:r>
            <w:r>
              <w:rPr>
                <w:rFonts w:ascii="宋体" w:hAnsi="宋体" w:cs="宋体" w:eastAsia="宋体" w:hint="default"/>
                <w:w w:val="100"/>
                <w:sz w:val="21"/>
                <w:szCs w:val="21"/>
              </w:rPr>
              <w:t> </w:t>
            </w:r>
            <w:r>
              <w:rPr>
                <w:rFonts w:ascii="宋体" w:hAnsi="宋体" w:cs="宋体" w:eastAsia="宋体" w:hint="default"/>
                <w:sz w:val="21"/>
                <w:szCs w:val="21"/>
              </w:rPr>
              <w:t>备的应收</w:t>
            </w:r>
            <w:r>
              <w:rPr>
                <w:rFonts w:ascii="宋体" w:hAnsi="宋体" w:cs="宋体" w:eastAsia="宋体" w:hint="default"/>
                <w:w w:val="100"/>
                <w:sz w:val="21"/>
                <w:szCs w:val="21"/>
              </w:rPr>
              <w:t> </w:t>
            </w:r>
            <w:r>
              <w:rPr>
                <w:rFonts w:ascii="宋体" w:hAnsi="宋体" w:cs="宋体" w:eastAsia="宋体" w:hint="default"/>
                <w:sz w:val="21"/>
                <w:szCs w:val="21"/>
              </w:rPr>
              <w:t>账款</w:t>
            </w:r>
          </w:p>
        </w:tc>
        <w:tc>
          <w:tcPr>
            <w:tcW w:w="1382"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127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5" w:right="0"/>
              <w:jc w:val="left"/>
              <w:rPr>
                <w:rFonts w:ascii="Calibri" w:hAnsi="Calibri" w:cs="Calibri" w:eastAsia="Calibri" w:hint="default"/>
                <w:sz w:val="21"/>
                <w:szCs w:val="21"/>
              </w:rPr>
            </w:pPr>
            <w:r>
              <w:rPr>
                <w:rFonts w:ascii="Calibri"/>
                <w:sz w:val="21"/>
              </w:rPr>
              <w:t>141,810,807.50</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Calibri" w:hAnsi="Calibri" w:cs="Calibri" w:eastAsia="Calibri" w:hint="default"/>
                <w:sz w:val="21"/>
                <w:szCs w:val="21"/>
              </w:rPr>
            </w:pPr>
            <w:r>
              <w:rPr>
                <w:rFonts w:ascii="Calibri"/>
                <w:sz w:val="21"/>
              </w:rPr>
              <w:t>--</w:t>
            </w:r>
          </w:p>
        </w:tc>
        <w:tc>
          <w:tcPr>
            <w:tcW w:w="127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left="21" w:right="0"/>
              <w:jc w:val="left"/>
              <w:rPr>
                <w:rFonts w:ascii="Calibri" w:hAnsi="Calibri" w:cs="Calibri" w:eastAsia="Calibri" w:hint="default"/>
                <w:sz w:val="21"/>
                <w:szCs w:val="21"/>
              </w:rPr>
            </w:pPr>
            <w:r>
              <w:rPr>
                <w:rFonts w:ascii="Calibri"/>
                <w:sz w:val="21"/>
              </w:rPr>
              <w:t>24,069,819.40</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Calibri" w:hAnsi="Calibri" w:cs="Calibri" w:eastAsia="Calibri" w:hint="default"/>
                <w:sz w:val="21"/>
                <w:szCs w:val="21"/>
              </w:rPr>
            </w:pPr>
            <w:r>
              <w:rPr>
                <w:rFonts w:ascii="Calibri"/>
                <w:sz w:val="21"/>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Calibri" w:hAnsi="Calibri" w:cs="Calibri" w:eastAsia="Calibri" w:hint="default"/>
                <w:sz w:val="21"/>
                <w:szCs w:val="21"/>
              </w:rPr>
            </w:pPr>
            <w:r>
              <w:rPr>
                <w:rFonts w:ascii="Calibri"/>
                <w:spacing w:val="-3"/>
                <w:sz w:val="21"/>
              </w:rPr>
              <w:t>148,137,372.00</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4" w:right="0"/>
              <w:jc w:val="left"/>
              <w:rPr>
                <w:rFonts w:ascii="Calibri" w:hAnsi="Calibri" w:cs="Calibri" w:eastAsia="Calibri" w:hint="default"/>
                <w:sz w:val="21"/>
                <w:szCs w:val="21"/>
              </w:rPr>
            </w:pPr>
            <w:r>
              <w:rPr>
                <w:rFonts w:ascii="Calibri"/>
                <w:sz w:val="21"/>
              </w:rPr>
              <w:t>27,298,816.87</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 w:right="0"/>
              <w:jc w:val="left"/>
              <w:rPr>
                <w:rFonts w:ascii="Calibri" w:hAnsi="Calibri" w:cs="Calibri" w:eastAsia="Calibri" w:hint="default"/>
                <w:sz w:val="21"/>
                <w:szCs w:val="21"/>
              </w:rPr>
            </w:pPr>
            <w:r>
              <w:rPr>
                <w:rFonts w:ascii="Calibri"/>
                <w:sz w:val="21"/>
              </w:rPr>
              <w:t>--</w:t>
            </w:r>
          </w:p>
        </w:tc>
      </w:tr>
    </w:tbl>
    <w:p>
      <w:pPr>
        <w:spacing w:after="0" w:line="240" w:lineRule="auto"/>
        <w:jc w:val="left"/>
        <w:rPr>
          <w:rFonts w:ascii="Calibri" w:hAnsi="Calibri" w:cs="Calibri" w:eastAsia="Calibri" w:hint="default"/>
          <w:sz w:val="21"/>
          <w:szCs w:val="21"/>
        </w:rPr>
        <w:sectPr>
          <w:pgSz w:w="11910" w:h="16840"/>
          <w:pgMar w:header="0" w:footer="1007" w:top="1160" w:bottom="1200" w:left="1240" w:right="1260"/>
        </w:sectPr>
      </w:pPr>
    </w:p>
    <w:p>
      <w:pPr>
        <w:spacing w:line="273" w:lineRule="auto"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应收账款种类的说明：无</w:t>
      </w:r>
      <w:r>
        <w:rPr>
          <w:rFonts w:ascii="宋体" w:hAnsi="宋体" w:cs="宋体" w:eastAsia="宋体" w:hint="default"/>
          <w:w w:val="100"/>
          <w:sz w:val="21"/>
          <w:szCs w:val="21"/>
        </w:rPr>
        <w:t> </w:t>
      </w:r>
      <w:r>
        <w:rPr>
          <w:rFonts w:ascii="宋体" w:hAnsi="宋体" w:cs="宋体" w:eastAsia="宋体" w:hint="default"/>
          <w:spacing w:val="-2"/>
          <w:sz w:val="21"/>
          <w:szCs w:val="21"/>
        </w:rPr>
        <w:t>期末单项金额重大并单项计提坏账准备的应收账款</w:t>
      </w:r>
    </w:p>
    <w:p>
      <w:pPr>
        <w:spacing w:line="247" w:lineRule="auto" w:before="7"/>
        <w:ind w:left="558" w:right="0"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Calibri" w:hAnsi="Calibri" w:cs="Calibri" w:eastAsia="Calibri" w:hint="default"/>
          <w:spacing w:val="8"/>
          <w:sz w:val="21"/>
          <w:szCs w:val="21"/>
        </w:rPr>
        <w:t> </w:t>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组合中，采用账龄分析法计提坏账准备的应收账款</w:t>
      </w:r>
    </w:p>
    <w:p>
      <w:pPr>
        <w:spacing w:before="31"/>
        <w:ind w:left="558" w:right="0" w:firstLine="0"/>
        <w:jc w:val="left"/>
        <w:rPr>
          <w:rFonts w:ascii="宋体" w:hAnsi="宋体" w:cs="宋体" w:eastAsia="宋体" w:hint="default"/>
          <w:sz w:val="21"/>
          <w:szCs w:val="21"/>
        </w:rPr>
      </w:pPr>
      <w:r>
        <w:rPr>
          <w:rFonts w:ascii="Calibri" w:hAnsi="Calibri" w:cs="Calibri" w:eastAsia="Calibri" w:hint="default"/>
          <w:sz w:val="21"/>
          <w:szCs w:val="21"/>
        </w:rPr>
        <w:t>√  </w:t>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56"/>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440" w:bottom="280" w:left="1240" w:right="1260"/>
          <w:cols w:num="2" w:equalWidth="0">
            <w:col w:w="5184" w:space="2562"/>
            <w:col w:w="1664"/>
          </w:cols>
        </w:sectPr>
      </w:pP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954"/>
        <w:gridCol w:w="1836"/>
        <w:gridCol w:w="596"/>
        <w:gridCol w:w="1349"/>
        <w:gridCol w:w="1944"/>
        <w:gridCol w:w="596"/>
        <w:gridCol w:w="1463"/>
      </w:tblGrid>
      <w:tr>
        <w:trPr>
          <w:trHeight w:val="324" w:hRule="exact"/>
        </w:trPr>
        <w:tc>
          <w:tcPr>
            <w:tcW w:w="954" w:type="dxa"/>
            <w:vMerge w:val="restart"/>
            <w:tcBorders>
              <w:top w:val="single" w:sz="4" w:space="0" w:color="000000"/>
              <w:left w:val="single" w:sz="4" w:space="0" w:color="000000"/>
              <w:right w:val="single" w:sz="4" w:space="0" w:color="000000"/>
            </w:tcBorders>
            <w:shd w:val="clear" w:color="auto" w:fill="D2D2D2"/>
          </w:tcPr>
          <w:p>
            <w:pPr/>
          </w:p>
        </w:tc>
        <w:tc>
          <w:tcPr>
            <w:tcW w:w="37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40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8"/>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161" w:hRule="exact"/>
        </w:trPr>
        <w:tc>
          <w:tcPr>
            <w:tcW w:w="954" w:type="dxa"/>
            <w:vMerge/>
            <w:tcBorders>
              <w:left w:val="single" w:sz="4" w:space="0" w:color="000000"/>
              <w:bottom w:val="nil" w:sz="6" w:space="0" w:color="auto"/>
              <w:right w:val="single" w:sz="4" w:space="0" w:color="000000"/>
            </w:tcBorders>
            <w:shd w:val="clear" w:color="auto" w:fill="D2D2D2"/>
          </w:tcPr>
          <w:p>
            <w:pPr/>
          </w:p>
        </w:tc>
        <w:tc>
          <w:tcPr>
            <w:tcW w:w="24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795"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349" w:type="dxa"/>
            <w:vMerge w:val="restart"/>
            <w:tcBorders>
              <w:top w:val="single" w:sz="4" w:space="0" w:color="000000"/>
              <w:left w:val="single" w:sz="4" w:space="0" w:color="000000"/>
              <w:right w:val="single" w:sz="4" w:space="0" w:color="000000"/>
            </w:tcBorders>
            <w:shd w:val="clear" w:color="auto" w:fill="D2D2D2"/>
          </w:tcPr>
          <w:p>
            <w:pPr/>
          </w:p>
        </w:tc>
        <w:tc>
          <w:tcPr>
            <w:tcW w:w="254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841"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63" w:type="dxa"/>
            <w:vMerge w:val="restart"/>
            <w:tcBorders>
              <w:top w:val="single" w:sz="4" w:space="0" w:color="000000"/>
              <w:left w:val="single" w:sz="4" w:space="0" w:color="000000"/>
              <w:right w:val="single" w:sz="4" w:space="0" w:color="000000"/>
            </w:tcBorders>
            <w:shd w:val="clear" w:color="auto" w:fill="D2D2D2"/>
          </w:tcPr>
          <w:p>
            <w:pPr/>
          </w:p>
        </w:tc>
      </w:tr>
      <w:tr>
        <w:trPr>
          <w:trHeight w:val="161" w:hRule="exact"/>
        </w:trPr>
        <w:tc>
          <w:tcPr>
            <w:tcW w:w="954"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2432" w:type="dxa"/>
            <w:gridSpan w:val="2"/>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nil" w:sz="6" w:space="0" w:color="auto"/>
              <w:right w:val="single" w:sz="4" w:space="0" w:color="000000"/>
            </w:tcBorders>
            <w:shd w:val="clear" w:color="auto" w:fill="D2D2D2"/>
          </w:tcPr>
          <w:p>
            <w:pPr/>
          </w:p>
        </w:tc>
        <w:tc>
          <w:tcPr>
            <w:tcW w:w="2540" w:type="dxa"/>
            <w:gridSpan w:val="2"/>
            <w:vMerge/>
            <w:tcBorders>
              <w:left w:val="single" w:sz="4" w:space="0" w:color="000000"/>
              <w:bottom w:val="single" w:sz="4" w:space="0" w:color="000000"/>
              <w:right w:val="single" w:sz="4" w:space="0" w:color="000000"/>
            </w:tcBorders>
            <w:shd w:val="clear" w:color="auto" w:fill="D2D2D2"/>
          </w:tcPr>
          <w:p>
            <w:pPr/>
          </w:p>
        </w:tc>
        <w:tc>
          <w:tcPr>
            <w:tcW w:w="146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54" w:type="dxa"/>
            <w:vMerge/>
            <w:tcBorders>
              <w:left w:val="single" w:sz="4" w:space="0" w:color="000000"/>
              <w:bottom w:val="nil" w:sz="6" w:space="0" w:color="auto"/>
              <w:right w:val="single" w:sz="4" w:space="0" w:color="000000"/>
            </w:tcBorders>
            <w:shd w:val="clear" w:color="auto" w:fill="D2D2D2"/>
          </w:tcPr>
          <w:p>
            <w:pPr/>
          </w:p>
        </w:tc>
        <w:tc>
          <w:tcPr>
            <w:tcW w:w="1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80"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50" w:right="0"/>
              <w:jc w:val="left"/>
              <w:rPr>
                <w:rFonts w:ascii="Calibri" w:hAnsi="Calibri" w:cs="Calibri" w:eastAsia="Calibri" w:hint="default"/>
                <w:sz w:val="21"/>
                <w:szCs w:val="21"/>
              </w:rPr>
            </w:pPr>
            <w:r>
              <w:rPr>
                <w:rFonts w:ascii="Calibri"/>
                <w:b/>
                <w:sz w:val="21"/>
              </w:rPr>
              <w:t>(%)</w:t>
            </w:r>
            <w:r>
              <w:rPr>
                <w:rFonts w:ascii="Calibri"/>
                <w:sz w:val="21"/>
              </w:rPr>
            </w:r>
          </w:p>
        </w:tc>
        <w:tc>
          <w:tcPr>
            <w:tcW w:w="1349"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245"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81"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50" w:right="0"/>
              <w:jc w:val="left"/>
              <w:rPr>
                <w:rFonts w:ascii="Calibri" w:hAnsi="Calibri" w:cs="Calibri" w:eastAsia="Calibri" w:hint="default"/>
                <w:sz w:val="21"/>
                <w:szCs w:val="21"/>
              </w:rPr>
            </w:pPr>
            <w:r>
              <w:rPr>
                <w:rFonts w:ascii="Calibri"/>
                <w:b/>
                <w:sz w:val="21"/>
              </w:rPr>
              <w:t>(%)</w:t>
            </w:r>
            <w:r>
              <w:rPr>
                <w:rFonts w:ascii="Calibri"/>
                <w:sz w:val="21"/>
              </w:rPr>
            </w:r>
          </w:p>
        </w:tc>
        <w:tc>
          <w:tcPr>
            <w:tcW w:w="1463"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306"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151" w:hRule="exact"/>
        </w:trPr>
        <w:tc>
          <w:tcPr>
            <w:tcW w:w="954" w:type="dxa"/>
            <w:vMerge w:val="restart"/>
            <w:tcBorders>
              <w:top w:val="nil" w:sz="6" w:space="0" w:color="auto"/>
              <w:left w:val="single" w:sz="4" w:space="0" w:color="000000"/>
              <w:right w:val="single" w:sz="4" w:space="0" w:color="000000"/>
            </w:tcBorders>
            <w:shd w:val="clear" w:color="auto" w:fill="D2D2D2"/>
          </w:tcPr>
          <w:p>
            <w:pPr/>
          </w:p>
        </w:tc>
        <w:tc>
          <w:tcPr>
            <w:tcW w:w="1836"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596" w:type="dxa"/>
            <w:vMerge/>
            <w:tcBorders>
              <w:left w:val="single" w:sz="4" w:space="0" w:color="000000"/>
              <w:right w:val="single" w:sz="4" w:space="0" w:color="000000"/>
            </w:tcBorders>
            <w:shd w:val="clear" w:color="auto" w:fill="D2D2D2"/>
          </w:tcPr>
          <w:p>
            <w:pPr/>
          </w:p>
        </w:tc>
        <w:tc>
          <w:tcPr>
            <w:tcW w:w="1349" w:type="dxa"/>
            <w:vMerge/>
            <w:tcBorders>
              <w:left w:val="single" w:sz="4" w:space="0" w:color="000000"/>
              <w:bottom w:val="nil" w:sz="6" w:space="0" w:color="auto"/>
              <w:right w:val="single" w:sz="4" w:space="0" w:color="000000"/>
            </w:tcBorders>
            <w:shd w:val="clear" w:color="auto" w:fill="D2D2D2"/>
          </w:tcPr>
          <w:p>
            <w:pPr/>
          </w:p>
        </w:tc>
        <w:tc>
          <w:tcPr>
            <w:tcW w:w="1944"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right="13"/>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596" w:type="dxa"/>
            <w:vMerge/>
            <w:tcBorders>
              <w:left w:val="single" w:sz="4" w:space="0" w:color="000000"/>
              <w:right w:val="single" w:sz="4" w:space="0" w:color="000000"/>
            </w:tcBorders>
            <w:shd w:val="clear" w:color="auto" w:fill="D2D2D2"/>
          </w:tcPr>
          <w:p>
            <w:pPr/>
          </w:p>
        </w:tc>
        <w:tc>
          <w:tcPr>
            <w:tcW w:w="146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954" w:type="dxa"/>
            <w:vMerge/>
            <w:tcBorders>
              <w:left w:val="single" w:sz="4" w:space="0" w:color="000000"/>
              <w:right w:val="single" w:sz="4" w:space="0" w:color="000000"/>
            </w:tcBorders>
            <w:shd w:val="clear" w:color="auto" w:fill="D2D2D2"/>
          </w:tcPr>
          <w:p>
            <w:pPr/>
          </w:p>
        </w:tc>
        <w:tc>
          <w:tcPr>
            <w:tcW w:w="1836" w:type="dxa"/>
            <w:vMerge/>
            <w:tcBorders>
              <w:left w:val="single" w:sz="4" w:space="0" w:color="000000"/>
              <w:bottom w:val="nil" w:sz="6" w:space="0" w:color="auto"/>
              <w:right w:val="single" w:sz="4" w:space="0" w:color="000000"/>
            </w:tcBorders>
            <w:shd w:val="clear" w:color="auto" w:fill="D2D2D2"/>
          </w:tcPr>
          <w:p>
            <w:pPr/>
          </w:p>
        </w:tc>
        <w:tc>
          <w:tcPr>
            <w:tcW w:w="596" w:type="dxa"/>
            <w:vMerge/>
            <w:tcBorders>
              <w:left w:val="single" w:sz="4" w:space="0" w:color="000000"/>
              <w:right w:val="single" w:sz="4" w:space="0" w:color="000000"/>
            </w:tcBorders>
            <w:shd w:val="clear" w:color="auto" w:fill="D2D2D2"/>
          </w:tcPr>
          <w:p>
            <w:pPr/>
          </w:p>
        </w:tc>
        <w:tc>
          <w:tcPr>
            <w:tcW w:w="1349" w:type="dxa"/>
            <w:vMerge w:val="restart"/>
            <w:tcBorders>
              <w:top w:val="nil" w:sz="6" w:space="0" w:color="auto"/>
              <w:left w:val="single" w:sz="4" w:space="0" w:color="000000"/>
              <w:right w:val="single" w:sz="4" w:space="0" w:color="000000"/>
            </w:tcBorders>
            <w:shd w:val="clear" w:color="auto" w:fill="D2D2D2"/>
          </w:tcPr>
          <w:p>
            <w:pPr/>
          </w:p>
        </w:tc>
        <w:tc>
          <w:tcPr>
            <w:tcW w:w="1944" w:type="dxa"/>
            <w:vMerge/>
            <w:tcBorders>
              <w:left w:val="single" w:sz="4" w:space="0" w:color="000000"/>
              <w:bottom w:val="nil" w:sz="6" w:space="0" w:color="auto"/>
              <w:right w:val="single" w:sz="4" w:space="0" w:color="000000"/>
            </w:tcBorders>
            <w:shd w:val="clear" w:color="auto" w:fill="D2D2D2"/>
          </w:tcPr>
          <w:p>
            <w:pPr/>
          </w:p>
        </w:tc>
        <w:tc>
          <w:tcPr>
            <w:tcW w:w="596" w:type="dxa"/>
            <w:vMerge/>
            <w:tcBorders>
              <w:left w:val="single" w:sz="4" w:space="0" w:color="000000"/>
              <w:right w:val="single" w:sz="4" w:space="0" w:color="000000"/>
            </w:tcBorders>
            <w:shd w:val="clear" w:color="auto" w:fill="D2D2D2"/>
          </w:tcPr>
          <w:p>
            <w:pPr/>
          </w:p>
        </w:tc>
        <w:tc>
          <w:tcPr>
            <w:tcW w:w="146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954" w:type="dxa"/>
            <w:vMerge/>
            <w:tcBorders>
              <w:left w:val="single" w:sz="4" w:space="0" w:color="000000"/>
              <w:bottom w:val="single" w:sz="4" w:space="0" w:color="000000"/>
              <w:right w:val="single" w:sz="4" w:space="0" w:color="000000"/>
            </w:tcBorders>
            <w:shd w:val="clear" w:color="auto" w:fill="D2D2D2"/>
          </w:tcPr>
          <w:p>
            <w:pPr/>
          </w:p>
        </w:tc>
        <w:tc>
          <w:tcPr>
            <w:tcW w:w="1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596"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596" w:type="dxa"/>
            <w:vMerge/>
            <w:tcBorders>
              <w:left w:val="single" w:sz="4" w:space="0" w:color="000000"/>
              <w:bottom w:val="single" w:sz="4" w:space="0" w:color="000000"/>
              <w:right w:val="single" w:sz="4" w:space="0" w:color="000000"/>
            </w:tcBorders>
            <w:shd w:val="clear" w:color="auto" w:fill="D2D2D2"/>
          </w:tcPr>
          <w:p>
            <w:pPr/>
          </w:p>
        </w:tc>
        <w:tc>
          <w:tcPr>
            <w:tcW w:w="1463" w:type="dxa"/>
            <w:vMerge/>
            <w:tcBorders>
              <w:left w:val="single" w:sz="4" w:space="0" w:color="000000"/>
              <w:bottom w:val="single" w:sz="4" w:space="0" w:color="000000"/>
              <w:right w:val="single" w:sz="4" w:space="0" w:color="000000"/>
            </w:tcBorders>
            <w:shd w:val="clear" w:color="auto" w:fill="D2D2D2"/>
          </w:tcPr>
          <w:p>
            <w:pPr/>
          </w:p>
        </w:tc>
      </w:tr>
      <w:tr>
        <w:trPr>
          <w:trHeight w:val="312" w:hRule="exact"/>
        </w:trPr>
        <w:tc>
          <w:tcPr>
            <w:tcW w:w="873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4" w:lineRule="exact"/>
              <w:ind w:left="1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r>
      <w:tr>
        <w:trPr>
          <w:trHeight w:val="326"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11"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30" w:right="0"/>
              <w:jc w:val="left"/>
              <w:rPr>
                <w:rFonts w:ascii="Calibri" w:hAnsi="Calibri" w:cs="Calibri" w:eastAsia="Calibri" w:hint="default"/>
                <w:sz w:val="21"/>
                <w:szCs w:val="21"/>
              </w:rPr>
            </w:pPr>
            <w:r>
              <w:rPr>
                <w:rFonts w:ascii="Calibri"/>
                <w:sz w:val="21"/>
              </w:rPr>
              <w:t>--</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6" w:right="0"/>
              <w:jc w:val="left"/>
              <w:rPr>
                <w:rFonts w:ascii="Calibri" w:hAnsi="Calibri" w:cs="Calibri" w:eastAsia="Calibri" w:hint="default"/>
                <w:sz w:val="21"/>
                <w:szCs w:val="21"/>
              </w:rPr>
            </w:pPr>
            <w:r>
              <w:rPr>
                <w:rFonts w:ascii="Calibri"/>
                <w:sz w:val="21"/>
              </w:rPr>
              <w:t>--</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7" w:right="0"/>
              <w:jc w:val="left"/>
              <w:rPr>
                <w:rFonts w:ascii="Calibri" w:hAnsi="Calibri" w:cs="Calibri" w:eastAsia="Calibri" w:hint="default"/>
                <w:sz w:val="21"/>
                <w:szCs w:val="21"/>
              </w:rPr>
            </w:pPr>
            <w:r>
              <w:rPr>
                <w:rFonts w:ascii="Calibri"/>
                <w:sz w:val="21"/>
              </w:rPr>
              <w:t>--</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6" w:right="0"/>
              <w:jc w:val="left"/>
              <w:rPr>
                <w:rFonts w:ascii="Calibri" w:hAnsi="Calibri" w:cs="Calibri" w:eastAsia="Calibri" w:hint="default"/>
                <w:sz w:val="21"/>
                <w:szCs w:val="21"/>
              </w:rPr>
            </w:pPr>
            <w:r>
              <w:rPr>
                <w:rFonts w:ascii="Calibri"/>
                <w:sz w:val="21"/>
              </w:rPr>
              <w:t>--</w:t>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16" w:right="0"/>
              <w:jc w:val="left"/>
              <w:rPr>
                <w:rFonts w:ascii="Calibri" w:hAnsi="Calibri" w:cs="Calibri" w:eastAsia="Calibri" w:hint="default"/>
                <w:sz w:val="21"/>
                <w:szCs w:val="21"/>
              </w:rPr>
            </w:pPr>
            <w:r>
              <w:rPr>
                <w:rFonts w:ascii="Calibri"/>
                <w:sz w:val="21"/>
              </w:rPr>
              <w:t>--</w:t>
            </w:r>
          </w:p>
        </w:tc>
        <w:tc>
          <w:tcPr>
            <w:tcW w:w="1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27" w:right="0"/>
              <w:jc w:val="left"/>
              <w:rPr>
                <w:rFonts w:ascii="Calibri" w:hAnsi="Calibri" w:cs="Calibri" w:eastAsia="Calibri" w:hint="default"/>
                <w:sz w:val="21"/>
                <w:szCs w:val="21"/>
              </w:rPr>
            </w:pPr>
            <w:r>
              <w:rPr>
                <w:rFonts w:ascii="Calibri"/>
                <w:sz w:val="21"/>
              </w:rPr>
              <w:t>--</w:t>
            </w:r>
          </w:p>
        </w:tc>
      </w:tr>
      <w:tr>
        <w:trPr>
          <w:trHeight w:val="634"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11" w:right="138"/>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6"/>
                <w:sz w:val="21"/>
                <w:szCs w:val="21"/>
              </w:rPr>
              <w:t> </w:t>
            </w:r>
            <w:r>
              <w:rPr>
                <w:rFonts w:ascii="宋体" w:hAnsi="宋体" w:cs="宋体" w:eastAsia="宋体" w:hint="default"/>
                <w:sz w:val="21"/>
                <w:szCs w:val="21"/>
              </w:rPr>
              <w:t>年以内</w:t>
            </w:r>
            <w:r>
              <w:rPr>
                <w:rFonts w:ascii="宋体" w:hAnsi="宋体" w:cs="宋体" w:eastAsia="宋体" w:hint="default"/>
                <w:w w:val="100"/>
                <w:sz w:val="21"/>
                <w:szCs w:val="21"/>
              </w:rPr>
              <w:t> </w:t>
            </w:r>
            <w:r>
              <w:rPr>
                <w:rFonts w:ascii="宋体" w:hAnsi="宋体" w:cs="宋体" w:eastAsia="宋体" w:hint="default"/>
                <w:sz w:val="21"/>
                <w:szCs w:val="21"/>
              </w:rPr>
              <w:t>小计</w:t>
            </w:r>
          </w:p>
        </w:tc>
        <w:tc>
          <w:tcPr>
            <w:tcW w:w="18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6"/>
              <w:jc w:val="right"/>
              <w:rPr>
                <w:rFonts w:ascii="Arial Narrow" w:hAnsi="Arial Narrow" w:cs="Arial Narrow" w:eastAsia="Arial Narrow" w:hint="default"/>
                <w:sz w:val="21"/>
                <w:szCs w:val="21"/>
              </w:rPr>
            </w:pPr>
            <w:r>
              <w:rPr>
                <w:rFonts w:ascii="Arial Narrow"/>
                <w:spacing w:val="-1"/>
                <w:sz w:val="21"/>
              </w:rPr>
              <w:t>10,835,755.76</w:t>
            </w:r>
            <w:r>
              <w:rPr>
                <w:rFonts w:ascii="Arial Narrow"/>
                <w:sz w:val="21"/>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6"/>
              <w:jc w:val="right"/>
              <w:rPr>
                <w:rFonts w:ascii="Arial Narrow" w:hAnsi="Arial Narrow" w:cs="Arial Narrow" w:eastAsia="Arial Narrow" w:hint="default"/>
                <w:sz w:val="21"/>
                <w:szCs w:val="21"/>
              </w:rPr>
            </w:pPr>
            <w:r>
              <w:rPr>
                <w:rFonts w:ascii="Arial Narrow"/>
                <w:spacing w:val="-1"/>
                <w:sz w:val="21"/>
              </w:rPr>
              <w:t>41.81</w:t>
            </w:r>
            <w:r>
              <w:rPr>
                <w:rFonts w:ascii="Arial Narrow"/>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541,787.79</w:t>
            </w:r>
            <w:r>
              <w:rPr>
                <w:rFonts w:ascii="Arial Narrow"/>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5"/>
              <w:jc w:val="right"/>
              <w:rPr>
                <w:rFonts w:ascii="Arial Narrow" w:hAnsi="Arial Narrow" w:cs="Arial Narrow" w:eastAsia="Arial Narrow" w:hint="default"/>
                <w:sz w:val="21"/>
                <w:szCs w:val="21"/>
              </w:rPr>
            </w:pPr>
            <w:r>
              <w:rPr>
                <w:rFonts w:ascii="Arial Narrow"/>
                <w:spacing w:val="-1"/>
                <w:sz w:val="21"/>
              </w:rPr>
              <w:t>11,373,384.12</w:t>
            </w:r>
            <w:r>
              <w:rPr>
                <w:rFonts w:ascii="Arial Narrow"/>
                <w:sz w:val="21"/>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6"/>
              <w:jc w:val="right"/>
              <w:rPr>
                <w:rFonts w:ascii="Arial Narrow" w:hAnsi="Arial Narrow" w:cs="Arial Narrow" w:eastAsia="Arial Narrow" w:hint="default"/>
                <w:sz w:val="21"/>
                <w:szCs w:val="21"/>
              </w:rPr>
            </w:pPr>
            <w:r>
              <w:rPr>
                <w:rFonts w:ascii="Arial Narrow"/>
                <w:spacing w:val="-1"/>
                <w:sz w:val="21"/>
              </w:rPr>
              <w:t>51.95</w:t>
            </w:r>
            <w:r>
              <w:rPr>
                <w:rFonts w:ascii="Arial Narrow"/>
                <w:sz w:val="21"/>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spacing w:val="-1"/>
                <w:sz w:val="21"/>
              </w:rPr>
              <w:t>568,669.21</w:t>
            </w:r>
            <w:r>
              <w:rPr>
                <w:rFonts w:ascii="Arial Narrow"/>
                <w:sz w:val="21"/>
              </w:rPr>
            </w:r>
          </w:p>
        </w:tc>
      </w:tr>
      <w:tr>
        <w:trPr>
          <w:trHeight w:val="324"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1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8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6"/>
              <w:jc w:val="right"/>
              <w:rPr>
                <w:rFonts w:ascii="Arial Narrow" w:hAnsi="Arial Narrow" w:cs="Arial Narrow" w:eastAsia="Arial Narrow" w:hint="default"/>
                <w:sz w:val="21"/>
                <w:szCs w:val="21"/>
              </w:rPr>
            </w:pPr>
            <w:r>
              <w:rPr>
                <w:rFonts w:ascii="Arial Narrow"/>
                <w:spacing w:val="-1"/>
                <w:sz w:val="21"/>
              </w:rPr>
              <w:t>6,110,288.43</w:t>
            </w:r>
            <w:r>
              <w:rPr>
                <w:rFonts w:ascii="Arial Narrow"/>
                <w:sz w:val="21"/>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right"/>
              <w:rPr>
                <w:rFonts w:ascii="Arial Narrow" w:hAnsi="Arial Narrow" w:cs="Arial Narrow" w:eastAsia="Arial Narrow" w:hint="default"/>
                <w:sz w:val="21"/>
                <w:szCs w:val="21"/>
              </w:rPr>
            </w:pPr>
            <w:r>
              <w:rPr>
                <w:rFonts w:ascii="Arial Narrow"/>
                <w:spacing w:val="-1"/>
                <w:sz w:val="21"/>
              </w:rPr>
              <w:t>23.58</w:t>
            </w:r>
            <w:r>
              <w:rPr>
                <w:rFonts w:ascii="Arial Narrow"/>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5"/>
              <w:jc w:val="right"/>
              <w:rPr>
                <w:rFonts w:ascii="Arial Narrow" w:hAnsi="Arial Narrow" w:cs="Arial Narrow" w:eastAsia="Arial Narrow" w:hint="default"/>
                <w:sz w:val="21"/>
                <w:szCs w:val="21"/>
              </w:rPr>
            </w:pPr>
            <w:r>
              <w:rPr>
                <w:rFonts w:ascii="Arial Narrow"/>
                <w:spacing w:val="-1"/>
                <w:sz w:val="21"/>
              </w:rPr>
              <w:t>1,222,057.69</w:t>
            </w:r>
            <w:r>
              <w:rPr>
                <w:rFonts w:ascii="Arial Narrow"/>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5"/>
              <w:jc w:val="right"/>
              <w:rPr>
                <w:rFonts w:ascii="Arial Narrow" w:hAnsi="Arial Narrow" w:cs="Arial Narrow" w:eastAsia="Arial Narrow" w:hint="default"/>
                <w:sz w:val="21"/>
                <w:szCs w:val="21"/>
              </w:rPr>
            </w:pPr>
            <w:r>
              <w:rPr>
                <w:rFonts w:ascii="Arial Narrow"/>
                <w:spacing w:val="-1"/>
                <w:sz w:val="21"/>
              </w:rPr>
              <w:t>5,687,852.49</w:t>
            </w:r>
            <w:r>
              <w:rPr>
                <w:rFonts w:ascii="Arial Narrow"/>
                <w:sz w:val="21"/>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6"/>
              <w:jc w:val="right"/>
              <w:rPr>
                <w:rFonts w:ascii="Arial Narrow" w:hAnsi="Arial Narrow" w:cs="Arial Narrow" w:eastAsia="Arial Narrow" w:hint="default"/>
                <w:sz w:val="21"/>
                <w:szCs w:val="21"/>
              </w:rPr>
            </w:pPr>
            <w:r>
              <w:rPr>
                <w:rFonts w:ascii="Arial Narrow"/>
                <w:spacing w:val="-1"/>
                <w:sz w:val="21"/>
              </w:rPr>
              <w:t>25.98</w:t>
            </w:r>
            <w:r>
              <w:rPr>
                <w:rFonts w:ascii="Arial Narrow"/>
                <w:sz w:val="21"/>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1,137,570.50</w:t>
            </w:r>
            <w:r>
              <w:rPr>
                <w:rFonts w:ascii="Arial Narrow"/>
                <w:sz w:val="21"/>
              </w:rPr>
            </w:r>
          </w:p>
        </w:tc>
      </w:tr>
      <w:tr>
        <w:trPr>
          <w:trHeight w:val="322"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1"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8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6"/>
              <w:jc w:val="right"/>
              <w:rPr>
                <w:rFonts w:ascii="Arial Narrow" w:hAnsi="Arial Narrow" w:cs="Arial Narrow" w:eastAsia="Arial Narrow" w:hint="default"/>
                <w:sz w:val="21"/>
                <w:szCs w:val="21"/>
              </w:rPr>
            </w:pPr>
            <w:r>
              <w:rPr>
                <w:rFonts w:ascii="Arial Narrow"/>
                <w:spacing w:val="-1"/>
                <w:sz w:val="21"/>
              </w:rPr>
              <w:t>4,913,962.77</w:t>
            </w:r>
            <w:r>
              <w:rPr>
                <w:rFonts w:ascii="Arial Narrow"/>
                <w:sz w:val="21"/>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Arial Narrow" w:hAnsi="Arial Narrow" w:cs="Arial Narrow" w:eastAsia="Arial Narrow" w:hint="default"/>
                <w:sz w:val="21"/>
                <w:szCs w:val="21"/>
              </w:rPr>
            </w:pPr>
            <w:r>
              <w:rPr>
                <w:rFonts w:ascii="Arial Narrow"/>
                <w:spacing w:val="-1"/>
                <w:sz w:val="21"/>
              </w:rPr>
              <w:t>18.96</w:t>
            </w:r>
            <w:r>
              <w:rPr>
                <w:rFonts w:ascii="Arial Narrow"/>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
              <w:jc w:val="right"/>
              <w:rPr>
                <w:rFonts w:ascii="Arial Narrow" w:hAnsi="Arial Narrow" w:cs="Arial Narrow" w:eastAsia="Arial Narrow" w:hint="default"/>
                <w:sz w:val="21"/>
                <w:szCs w:val="21"/>
              </w:rPr>
            </w:pPr>
            <w:r>
              <w:rPr>
                <w:rFonts w:ascii="Arial Narrow"/>
                <w:spacing w:val="-1"/>
                <w:sz w:val="21"/>
              </w:rPr>
              <w:t>2,456,981.38</w:t>
            </w:r>
            <w:r>
              <w:rPr>
                <w:rFonts w:ascii="Arial Narrow"/>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5"/>
              <w:jc w:val="right"/>
              <w:rPr>
                <w:rFonts w:ascii="Arial Narrow" w:hAnsi="Arial Narrow" w:cs="Arial Narrow" w:eastAsia="Arial Narrow" w:hint="default"/>
                <w:sz w:val="21"/>
                <w:szCs w:val="21"/>
              </w:rPr>
            </w:pPr>
            <w:r>
              <w:rPr>
                <w:rFonts w:ascii="Arial Narrow"/>
                <w:spacing w:val="-1"/>
                <w:sz w:val="21"/>
              </w:rPr>
              <w:t>1,726,811.78</w:t>
            </w:r>
            <w:r>
              <w:rPr>
                <w:rFonts w:ascii="Arial Narrow"/>
                <w:sz w:val="21"/>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6"/>
              <w:jc w:val="right"/>
              <w:rPr>
                <w:rFonts w:ascii="Arial Narrow" w:hAnsi="Arial Narrow" w:cs="Arial Narrow" w:eastAsia="Arial Narrow" w:hint="default"/>
                <w:sz w:val="21"/>
                <w:szCs w:val="21"/>
              </w:rPr>
            </w:pPr>
            <w:r>
              <w:rPr>
                <w:rFonts w:ascii="Arial Narrow"/>
                <w:spacing w:val="-1"/>
                <w:sz w:val="21"/>
              </w:rPr>
              <w:t>7.89</w:t>
            </w:r>
            <w:r>
              <w:rPr>
                <w:rFonts w:ascii="Arial Narrow"/>
                <w:sz w:val="21"/>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863,405.89</w:t>
            </w:r>
            <w:r>
              <w:rPr>
                <w:rFonts w:ascii="Arial Narrow"/>
                <w:sz w:val="21"/>
              </w:rPr>
            </w:r>
          </w:p>
        </w:tc>
      </w:tr>
      <w:tr>
        <w:trPr>
          <w:trHeight w:val="322"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8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6"/>
              <w:jc w:val="right"/>
              <w:rPr>
                <w:rFonts w:ascii="Arial Narrow" w:hAnsi="Arial Narrow" w:cs="Arial Narrow" w:eastAsia="Arial Narrow" w:hint="default"/>
                <w:sz w:val="21"/>
                <w:szCs w:val="21"/>
              </w:rPr>
            </w:pPr>
            <w:r>
              <w:rPr>
                <w:rFonts w:ascii="Arial Narrow"/>
                <w:spacing w:val="-1"/>
                <w:sz w:val="21"/>
              </w:rPr>
              <w:t>4,055,365.76</w:t>
            </w:r>
            <w:r>
              <w:rPr>
                <w:rFonts w:ascii="Arial Narrow"/>
                <w:sz w:val="21"/>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6"/>
              <w:jc w:val="right"/>
              <w:rPr>
                <w:rFonts w:ascii="Arial Narrow" w:hAnsi="Arial Narrow" w:cs="Arial Narrow" w:eastAsia="Arial Narrow" w:hint="default"/>
                <w:sz w:val="21"/>
                <w:szCs w:val="21"/>
              </w:rPr>
            </w:pPr>
            <w:r>
              <w:rPr>
                <w:rFonts w:ascii="Arial Narrow"/>
                <w:spacing w:val="-1"/>
                <w:sz w:val="21"/>
              </w:rPr>
              <w:t>15.65</w:t>
            </w:r>
            <w:r>
              <w:rPr>
                <w:rFonts w:ascii="Arial Narrow"/>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Arial Narrow" w:hAnsi="Arial Narrow" w:cs="Arial Narrow" w:eastAsia="Arial Narrow" w:hint="default"/>
                <w:sz w:val="21"/>
                <w:szCs w:val="21"/>
              </w:rPr>
            </w:pPr>
            <w:r>
              <w:rPr>
                <w:rFonts w:ascii="Arial Narrow"/>
                <w:spacing w:val="-1"/>
                <w:sz w:val="21"/>
              </w:rPr>
              <w:t>4,055,365.76</w:t>
            </w:r>
            <w:r>
              <w:rPr>
                <w:rFonts w:ascii="Arial Narrow"/>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Arial Narrow" w:hAnsi="Arial Narrow" w:cs="Arial Narrow" w:eastAsia="Arial Narrow" w:hint="default"/>
                <w:sz w:val="21"/>
                <w:szCs w:val="21"/>
              </w:rPr>
            </w:pPr>
            <w:r>
              <w:rPr>
                <w:rFonts w:ascii="Arial Narrow"/>
                <w:spacing w:val="-1"/>
                <w:sz w:val="21"/>
              </w:rPr>
              <w:t>3,105,740.00</w:t>
            </w:r>
            <w:r>
              <w:rPr>
                <w:rFonts w:ascii="Arial Narrow"/>
                <w:sz w:val="21"/>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6"/>
              <w:jc w:val="right"/>
              <w:rPr>
                <w:rFonts w:ascii="Arial Narrow" w:hAnsi="Arial Narrow" w:cs="Arial Narrow" w:eastAsia="Arial Narrow" w:hint="default"/>
                <w:sz w:val="21"/>
                <w:szCs w:val="21"/>
              </w:rPr>
            </w:pPr>
            <w:r>
              <w:rPr>
                <w:rFonts w:ascii="Arial Narrow"/>
                <w:spacing w:val="-1"/>
                <w:sz w:val="21"/>
              </w:rPr>
              <w:t>14.18</w:t>
            </w:r>
            <w:r>
              <w:rPr>
                <w:rFonts w:ascii="Arial Narrow"/>
                <w:sz w:val="21"/>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3,105,740.00</w:t>
            </w:r>
            <w:r>
              <w:rPr>
                <w:rFonts w:ascii="Arial Narrow"/>
                <w:sz w:val="21"/>
              </w:rPr>
            </w:r>
          </w:p>
        </w:tc>
      </w:tr>
      <w:tr>
        <w:trPr>
          <w:trHeight w:val="322"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4</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8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6"/>
              <w:jc w:val="right"/>
              <w:rPr>
                <w:rFonts w:ascii="Arial Narrow" w:hAnsi="Arial Narrow" w:cs="Arial Narrow" w:eastAsia="Arial Narrow" w:hint="default"/>
                <w:sz w:val="21"/>
                <w:szCs w:val="21"/>
              </w:rPr>
            </w:pPr>
            <w:r>
              <w:rPr>
                <w:rFonts w:ascii="Arial Narrow"/>
                <w:spacing w:val="-1"/>
                <w:sz w:val="21"/>
              </w:rPr>
              <w:t>4,055,365.76</w:t>
            </w:r>
            <w:r>
              <w:rPr>
                <w:rFonts w:ascii="Arial Narrow"/>
                <w:sz w:val="21"/>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6"/>
              <w:jc w:val="right"/>
              <w:rPr>
                <w:rFonts w:ascii="Arial Narrow" w:hAnsi="Arial Narrow" w:cs="Arial Narrow" w:eastAsia="Arial Narrow" w:hint="default"/>
                <w:sz w:val="21"/>
                <w:szCs w:val="21"/>
              </w:rPr>
            </w:pPr>
            <w:r>
              <w:rPr>
                <w:rFonts w:ascii="Arial Narrow"/>
                <w:spacing w:val="-1"/>
                <w:sz w:val="21"/>
              </w:rPr>
              <w:t>15.65</w:t>
            </w:r>
            <w:r>
              <w:rPr>
                <w:rFonts w:ascii="Arial Narrow"/>
                <w:sz w:val="21"/>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Arial Narrow" w:hAnsi="Arial Narrow" w:cs="Arial Narrow" w:eastAsia="Arial Narrow" w:hint="default"/>
                <w:sz w:val="21"/>
                <w:szCs w:val="21"/>
              </w:rPr>
            </w:pPr>
            <w:r>
              <w:rPr>
                <w:rFonts w:ascii="Arial Narrow"/>
                <w:spacing w:val="-1"/>
                <w:sz w:val="21"/>
              </w:rPr>
              <w:t>4,055,365.76</w:t>
            </w:r>
            <w:r>
              <w:rPr>
                <w:rFonts w:ascii="Arial Narrow"/>
                <w:sz w:val="21"/>
              </w:rPr>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5"/>
              <w:jc w:val="right"/>
              <w:rPr>
                <w:rFonts w:ascii="Arial Narrow" w:hAnsi="Arial Narrow" w:cs="Arial Narrow" w:eastAsia="Arial Narrow" w:hint="default"/>
                <w:sz w:val="21"/>
                <w:szCs w:val="21"/>
              </w:rPr>
            </w:pPr>
            <w:r>
              <w:rPr>
                <w:rFonts w:ascii="Arial Narrow"/>
                <w:spacing w:val="-1"/>
                <w:sz w:val="21"/>
              </w:rPr>
              <w:t>3,105,740.00</w:t>
            </w:r>
            <w:r>
              <w:rPr>
                <w:rFonts w:ascii="Arial Narrow"/>
                <w:sz w:val="21"/>
              </w:rPr>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6"/>
              <w:jc w:val="right"/>
              <w:rPr>
                <w:rFonts w:ascii="Arial Narrow" w:hAnsi="Arial Narrow" w:cs="Arial Narrow" w:eastAsia="Arial Narrow" w:hint="default"/>
                <w:sz w:val="21"/>
                <w:szCs w:val="21"/>
              </w:rPr>
            </w:pPr>
            <w:r>
              <w:rPr>
                <w:rFonts w:ascii="Arial Narrow"/>
                <w:spacing w:val="-1"/>
                <w:sz w:val="21"/>
              </w:rPr>
              <w:t>14.18</w:t>
            </w:r>
            <w:r>
              <w:rPr>
                <w:rFonts w:ascii="Arial Narrow"/>
                <w:sz w:val="21"/>
              </w:rPr>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3,105,740.00</w:t>
            </w:r>
            <w:r>
              <w:rPr>
                <w:rFonts w:ascii="Arial Narrow"/>
                <w:sz w:val="21"/>
              </w:rPr>
            </w:r>
          </w:p>
        </w:tc>
      </w:tr>
      <w:tr>
        <w:trPr>
          <w:trHeight w:val="322"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4</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8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5"/>
              <w:jc w:val="right"/>
              <w:rPr>
                <w:rFonts w:ascii="Calibri" w:hAnsi="Calibri" w:cs="Calibri" w:eastAsia="Calibri" w:hint="default"/>
                <w:sz w:val="21"/>
                <w:szCs w:val="21"/>
              </w:rPr>
            </w:pPr>
            <w:r>
              <w:rPr>
                <w:rFonts w:ascii="Calibri"/>
                <w:w w:val="100"/>
                <w:sz w:val="21"/>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Calibri" w:hAnsi="Calibri" w:cs="Calibri" w:eastAsia="Calibri" w:hint="default"/>
                <w:sz w:val="21"/>
                <w:szCs w:val="21"/>
              </w:rPr>
            </w:pPr>
            <w:r>
              <w:rPr>
                <w:rFonts w:ascii="Calibri"/>
                <w:spacing w:val="-1"/>
                <w:sz w:val="21"/>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Calibri" w:hAnsi="Calibri" w:cs="Calibri" w:eastAsia="Calibri" w:hint="default"/>
                <w:sz w:val="21"/>
                <w:szCs w:val="21"/>
              </w:rPr>
            </w:pPr>
            <w:r>
              <w:rPr>
                <w:rFonts w:ascii="Calibri"/>
                <w:w w:val="100"/>
                <w:sz w:val="21"/>
              </w:rPr>
              <w:t>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Calibri" w:hAnsi="Calibri" w:cs="Calibri" w:eastAsia="Calibri" w:hint="default"/>
                <w:sz w:val="21"/>
                <w:szCs w:val="21"/>
              </w:rPr>
            </w:pPr>
            <w:r>
              <w:rPr>
                <w:rFonts w:ascii="Calibri"/>
                <w:w w:val="100"/>
                <w:sz w:val="21"/>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5"/>
              <w:jc w:val="right"/>
              <w:rPr>
                <w:rFonts w:ascii="Calibri" w:hAnsi="Calibri" w:cs="Calibri" w:eastAsia="Calibri" w:hint="default"/>
                <w:sz w:val="21"/>
                <w:szCs w:val="21"/>
              </w:rPr>
            </w:pPr>
            <w:r>
              <w:rPr>
                <w:rFonts w:ascii="Calibri"/>
                <w:spacing w:val="-1"/>
                <w:sz w:val="21"/>
              </w:rPr>
              <w:t>0.00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322"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8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5"/>
              <w:jc w:val="right"/>
              <w:rPr>
                <w:rFonts w:ascii="Calibri" w:hAnsi="Calibri" w:cs="Calibri" w:eastAsia="Calibri" w:hint="default"/>
                <w:sz w:val="21"/>
                <w:szCs w:val="21"/>
              </w:rPr>
            </w:pPr>
            <w:r>
              <w:rPr>
                <w:rFonts w:ascii="Calibri"/>
                <w:w w:val="100"/>
                <w:sz w:val="21"/>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4"/>
              <w:jc w:val="right"/>
              <w:rPr>
                <w:rFonts w:ascii="Calibri" w:hAnsi="Calibri" w:cs="Calibri" w:eastAsia="Calibri" w:hint="default"/>
                <w:sz w:val="21"/>
                <w:szCs w:val="21"/>
              </w:rPr>
            </w:pPr>
            <w:r>
              <w:rPr>
                <w:rFonts w:ascii="Calibri"/>
                <w:spacing w:val="-1"/>
                <w:sz w:val="21"/>
              </w:rPr>
              <w:t>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Calibri" w:hAnsi="Calibri" w:cs="Calibri" w:eastAsia="Calibri" w:hint="default"/>
                <w:sz w:val="21"/>
                <w:szCs w:val="21"/>
              </w:rPr>
            </w:pPr>
            <w:r>
              <w:rPr>
                <w:rFonts w:ascii="Calibri"/>
                <w:w w:val="100"/>
                <w:sz w:val="21"/>
              </w:rPr>
              <w:t>0</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5"/>
              <w:jc w:val="right"/>
              <w:rPr>
                <w:rFonts w:ascii="Calibri" w:hAnsi="Calibri" w:cs="Calibri" w:eastAsia="Calibri" w:hint="default"/>
                <w:sz w:val="21"/>
                <w:szCs w:val="21"/>
              </w:rPr>
            </w:pPr>
            <w:r>
              <w:rPr>
                <w:rFonts w:ascii="Calibri"/>
                <w:w w:val="100"/>
                <w:sz w:val="21"/>
              </w:rPr>
              <w:t>0</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5"/>
              <w:jc w:val="right"/>
              <w:rPr>
                <w:rFonts w:ascii="Calibri" w:hAnsi="Calibri" w:cs="Calibri" w:eastAsia="Calibri" w:hint="default"/>
                <w:sz w:val="21"/>
                <w:szCs w:val="21"/>
              </w:rPr>
            </w:pPr>
            <w:r>
              <w:rPr>
                <w:rFonts w:ascii="Calibri"/>
                <w:spacing w:val="-1"/>
                <w:sz w:val="21"/>
              </w:rPr>
              <w:t>0.00</w:t>
            </w:r>
          </w:p>
        </w:tc>
        <w:tc>
          <w:tcPr>
            <w:tcW w:w="1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324"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36"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b/>
                <w:spacing w:val="-1"/>
                <w:sz w:val="21"/>
              </w:rPr>
              <w:t>25,915,372.72</w:t>
            </w:r>
            <w:r>
              <w:rPr>
                <w:rFonts w:ascii="Arial Narrow"/>
                <w:sz w:val="21"/>
              </w:rPr>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28" w:right="0"/>
              <w:jc w:val="left"/>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13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5"/>
              <w:jc w:val="right"/>
              <w:rPr>
                <w:rFonts w:ascii="Arial Narrow" w:hAnsi="Arial Narrow" w:cs="Arial Narrow" w:eastAsia="Arial Narrow" w:hint="default"/>
                <w:sz w:val="21"/>
                <w:szCs w:val="21"/>
              </w:rPr>
            </w:pPr>
            <w:r>
              <w:rPr>
                <w:rFonts w:ascii="Arial Narrow"/>
                <w:b/>
                <w:spacing w:val="-1"/>
                <w:sz w:val="21"/>
              </w:rPr>
              <w:t>8,276,192.62</w:t>
            </w:r>
            <w:r>
              <w:rPr>
                <w:rFonts w:ascii="Arial Narrow"/>
                <w:sz w:val="21"/>
              </w:rPr>
            </w:r>
          </w:p>
        </w:tc>
        <w:tc>
          <w:tcPr>
            <w:tcW w:w="1944" w:type="dxa"/>
            <w:tcBorders>
              <w:top w:val="single" w:sz="4" w:space="0" w:color="000000"/>
              <w:left w:val="single" w:sz="4" w:space="0" w:color="000000"/>
              <w:bottom w:val="single" w:sz="4" w:space="0" w:color="000000"/>
              <w:right w:val="single" w:sz="12" w:space="0" w:color="D2D2D2"/>
            </w:tcBorders>
          </w:tcPr>
          <w:p>
            <w:pPr>
              <w:pStyle w:val="TableParagraph"/>
              <w:spacing w:line="240" w:lineRule="auto" w:before="36"/>
              <w:ind w:right="14"/>
              <w:jc w:val="right"/>
              <w:rPr>
                <w:rFonts w:ascii="Arial Narrow" w:hAnsi="Arial Narrow" w:cs="Arial Narrow" w:eastAsia="Arial Narrow" w:hint="default"/>
                <w:sz w:val="21"/>
                <w:szCs w:val="21"/>
              </w:rPr>
            </w:pPr>
            <w:r>
              <w:rPr>
                <w:rFonts w:ascii="Arial Narrow"/>
                <w:b/>
                <w:spacing w:val="-1"/>
                <w:sz w:val="21"/>
              </w:rPr>
              <w:t>21,893,788.39</w:t>
            </w:r>
            <w:r>
              <w:rPr>
                <w:rFonts w:ascii="Arial Narrow"/>
                <w:sz w:val="21"/>
              </w:rPr>
            </w:r>
          </w:p>
        </w:tc>
        <w:tc>
          <w:tcPr>
            <w:tcW w:w="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6"/>
              <w:ind w:left="28" w:right="0"/>
              <w:jc w:val="left"/>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14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b/>
                <w:spacing w:val="-1"/>
                <w:sz w:val="21"/>
              </w:rPr>
              <w:t>5,675,385.60</w:t>
            </w:r>
            <w:r>
              <w:rPr>
                <w:rFonts w:ascii="Arial Narrow"/>
                <w:sz w:val="21"/>
              </w:rPr>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组合中，采用余额百分比法计提坏账准备的应收账款</w:t>
      </w:r>
    </w:p>
    <w:p>
      <w:pPr>
        <w:spacing w:line="247" w:lineRule="auto" w:before="37"/>
        <w:ind w:left="558" w:right="3589"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Calibri" w:hAnsi="Calibri" w:cs="Calibri" w:eastAsia="Calibri" w:hint="default"/>
          <w:spacing w:val="8"/>
          <w:sz w:val="21"/>
          <w:szCs w:val="21"/>
        </w:rPr>
        <w:t> </w:t>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组合中，采用其他方法计提坏账准备的应收账款</w:t>
      </w:r>
    </w:p>
    <w:p>
      <w:pPr>
        <w:spacing w:line="249" w:lineRule="auto" w:before="31"/>
        <w:ind w:left="558" w:right="3589"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6"/>
          <w:sz w:val="21"/>
          <w:szCs w:val="21"/>
        </w:rPr>
        <w:t> </w:t>
      </w: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Calibri" w:hAnsi="Calibri" w:cs="Calibri" w:eastAsia="Calibri" w:hint="default"/>
          <w:sz w:val="21"/>
          <w:szCs w:val="21"/>
        </w:rPr>
        <w:t>√</w:t>
      </w:r>
      <w:r>
        <w:rPr>
          <w:rFonts w:ascii="Calibri" w:hAnsi="Calibri" w:cs="Calibri" w:eastAsia="Calibri" w:hint="default"/>
          <w:spacing w:val="8"/>
          <w:sz w:val="21"/>
          <w:szCs w:val="21"/>
        </w:rPr>
        <w:t> </w:t>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期末单项金额虽不重大但单项计提坏账准备的应收账款</w:t>
      </w:r>
    </w:p>
    <w:p>
      <w:pPr>
        <w:spacing w:before="28"/>
        <w:ind w:left="558" w:right="0" w:firstLine="0"/>
        <w:jc w:val="left"/>
        <w:rPr>
          <w:rFonts w:ascii="宋体" w:hAnsi="宋体" w:cs="宋体" w:eastAsia="宋体" w:hint="default"/>
          <w:sz w:val="21"/>
          <w:szCs w:val="21"/>
        </w:rPr>
      </w:pPr>
      <w:r>
        <w:rPr>
          <w:rFonts w:ascii="Arial" w:hAnsi="Arial" w:cs="Arial" w:eastAsia="Arial" w:hint="default"/>
          <w:sz w:val="21"/>
          <w:szCs w:val="21"/>
        </w:rPr>
        <w:t>□  </w:t>
      </w:r>
      <w:r>
        <w:rPr>
          <w:rFonts w:ascii="宋体" w:hAnsi="宋体" w:cs="宋体" w:eastAsia="宋体" w:hint="default"/>
          <w:sz w:val="21"/>
          <w:szCs w:val="21"/>
        </w:rPr>
        <w:t>适用 </w:t>
      </w:r>
      <w:r>
        <w:rPr>
          <w:rFonts w:ascii="Calibri" w:hAnsi="Calibri" w:cs="Calibri" w:eastAsia="Calibri" w:hint="default"/>
          <w:sz w:val="21"/>
          <w:szCs w:val="21"/>
        </w:rPr>
        <w:t>√</w:t>
      </w:r>
      <w:r>
        <w:rPr>
          <w:rFonts w:ascii="Calibri" w:hAnsi="Calibri" w:cs="Calibri" w:eastAsia="Calibri" w:hint="default"/>
          <w:spacing w:val="45"/>
          <w:sz w:val="21"/>
          <w:szCs w:val="21"/>
        </w:rPr>
        <w:t> </w:t>
      </w:r>
      <w:r>
        <w:rPr>
          <w:rFonts w:ascii="宋体" w:hAnsi="宋体" w:cs="宋体" w:eastAsia="宋体" w:hint="default"/>
          <w:sz w:val="21"/>
          <w:szCs w:val="21"/>
        </w:rPr>
        <w:t>不适用</w:t>
      </w:r>
    </w:p>
    <w:p>
      <w:pPr>
        <w:spacing w:line="240" w:lineRule="auto" w:before="9"/>
        <w:rPr>
          <w:rFonts w:ascii="宋体" w:hAnsi="宋体" w:cs="宋体" w:eastAsia="宋体" w:hint="default"/>
          <w:sz w:val="23"/>
          <w:szCs w:val="23"/>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）本报告期转回或收回的应收账款情况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006"/>
        <w:gridCol w:w="1564"/>
        <w:gridCol w:w="1702"/>
        <w:gridCol w:w="1741"/>
        <w:gridCol w:w="1724"/>
      </w:tblGrid>
      <w:tr>
        <w:trPr>
          <w:trHeight w:val="161" w:hRule="exact"/>
        </w:trPr>
        <w:tc>
          <w:tcPr>
            <w:tcW w:w="2006" w:type="dxa"/>
            <w:vMerge w:val="restart"/>
            <w:tcBorders>
              <w:top w:val="single" w:sz="4" w:space="0" w:color="000000"/>
              <w:left w:val="single" w:sz="4" w:space="0" w:color="000000"/>
              <w:right w:val="single" w:sz="4" w:space="0" w:color="000000"/>
            </w:tcBorders>
            <w:shd w:val="clear" w:color="auto" w:fill="D2D2D2"/>
          </w:tcPr>
          <w:p>
            <w:pPr/>
          </w:p>
        </w:tc>
        <w:tc>
          <w:tcPr>
            <w:tcW w:w="1564" w:type="dxa"/>
            <w:vMerge w:val="restart"/>
            <w:tcBorders>
              <w:top w:val="single" w:sz="4" w:space="0" w:color="000000"/>
              <w:left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30" w:right="16"/>
              <w:jc w:val="center"/>
              <w:rPr>
                <w:rFonts w:ascii="宋体" w:hAnsi="宋体" w:cs="宋体" w:eastAsia="宋体" w:hint="default"/>
                <w:sz w:val="21"/>
                <w:szCs w:val="21"/>
              </w:rPr>
            </w:pPr>
            <w:r>
              <w:rPr>
                <w:rFonts w:ascii="宋体" w:hAnsi="宋体" w:cs="宋体" w:eastAsia="宋体" w:hint="default"/>
                <w:spacing w:val="-2"/>
                <w:sz w:val="21"/>
                <w:szCs w:val="21"/>
              </w:rPr>
              <w:t>转回或收回前累计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已计提坏账准备金</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额</w:t>
            </w:r>
          </w:p>
        </w:tc>
        <w:tc>
          <w:tcPr>
            <w:tcW w:w="1724"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2006" w:type="dxa"/>
            <w:vMerge/>
            <w:tcBorders>
              <w:left w:val="single" w:sz="4" w:space="0" w:color="000000"/>
              <w:bottom w:val="nil" w:sz="6" w:space="0" w:color="auto"/>
              <w:right w:val="single" w:sz="4" w:space="0" w:color="000000"/>
            </w:tcBorders>
            <w:shd w:val="clear" w:color="auto" w:fill="D2D2D2"/>
          </w:tcPr>
          <w:p>
            <w:pPr/>
          </w:p>
        </w:tc>
        <w:tc>
          <w:tcPr>
            <w:tcW w:w="1564" w:type="dxa"/>
            <w:vMerge/>
            <w:tcBorders>
              <w:left w:val="single" w:sz="4" w:space="0" w:color="000000"/>
              <w:bottom w:val="nil" w:sz="6" w:space="0" w:color="auto"/>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529" w:right="107" w:hanging="420"/>
              <w:jc w:val="left"/>
              <w:rPr>
                <w:rFonts w:ascii="宋体" w:hAnsi="宋体" w:cs="宋体" w:eastAsia="宋体" w:hint="default"/>
                <w:sz w:val="21"/>
                <w:szCs w:val="21"/>
              </w:rPr>
            </w:pPr>
            <w:r>
              <w:rPr>
                <w:rFonts w:ascii="宋体" w:hAnsi="宋体" w:cs="宋体" w:eastAsia="宋体" w:hint="default"/>
                <w:sz w:val="21"/>
                <w:szCs w:val="21"/>
              </w:rPr>
              <w:t>确定原坏账准备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的依据</w:t>
            </w:r>
          </w:p>
        </w:tc>
        <w:tc>
          <w:tcPr>
            <w:tcW w:w="1741" w:type="dxa"/>
            <w:vMerge/>
            <w:tcBorders>
              <w:left w:val="single" w:sz="4" w:space="0" w:color="000000"/>
              <w:right w:val="single" w:sz="4" w:space="0" w:color="000000"/>
            </w:tcBorders>
            <w:shd w:val="clear" w:color="auto" w:fill="D2D2D2"/>
          </w:tcPr>
          <w:p>
            <w:pPr/>
          </w:p>
        </w:tc>
        <w:tc>
          <w:tcPr>
            <w:tcW w:w="1724" w:type="dxa"/>
            <w:vMerge/>
            <w:tcBorders>
              <w:left w:val="single" w:sz="4" w:space="0" w:color="000000"/>
              <w:bottom w:val="nil" w:sz="6" w:space="0" w:color="auto"/>
              <w:right w:val="single" w:sz="4" w:space="0" w:color="000000"/>
            </w:tcBorders>
            <w:shd w:val="clear" w:color="auto" w:fill="D2D2D2"/>
          </w:tcPr>
          <w:p>
            <w:pPr/>
          </w:p>
        </w:tc>
      </w:tr>
      <w:tr>
        <w:trPr>
          <w:trHeight w:val="312" w:hRule="exact"/>
        </w:trPr>
        <w:tc>
          <w:tcPr>
            <w:tcW w:w="20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367"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5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转回或收回原因</w:t>
            </w:r>
          </w:p>
        </w:tc>
        <w:tc>
          <w:tcPr>
            <w:tcW w:w="1702" w:type="dxa"/>
            <w:vMerge/>
            <w:tcBorders>
              <w:left w:val="single" w:sz="4" w:space="0" w:color="000000"/>
              <w:right w:val="single" w:sz="4" w:space="0" w:color="000000"/>
            </w:tcBorders>
            <w:shd w:val="clear" w:color="auto" w:fill="D2D2D2"/>
          </w:tcPr>
          <w:p>
            <w:pPr/>
          </w:p>
        </w:tc>
        <w:tc>
          <w:tcPr>
            <w:tcW w:w="1741" w:type="dxa"/>
            <w:vMerge/>
            <w:tcBorders>
              <w:left w:val="single" w:sz="4" w:space="0" w:color="000000"/>
              <w:right w:val="single" w:sz="4" w:space="0" w:color="000000"/>
            </w:tcBorders>
            <w:shd w:val="clear" w:color="auto" w:fill="D2D2D2"/>
          </w:tcPr>
          <w:p>
            <w:pPr/>
          </w:p>
        </w:tc>
        <w:tc>
          <w:tcPr>
            <w:tcW w:w="17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24" w:right="0"/>
              <w:jc w:val="center"/>
              <w:rPr>
                <w:rFonts w:ascii="宋体" w:hAnsi="宋体" w:cs="宋体" w:eastAsia="宋体" w:hint="default"/>
                <w:sz w:val="21"/>
                <w:szCs w:val="21"/>
              </w:rPr>
            </w:pPr>
            <w:r>
              <w:rPr>
                <w:rFonts w:ascii="宋体" w:hAnsi="宋体" w:cs="宋体" w:eastAsia="宋体" w:hint="default"/>
                <w:sz w:val="21"/>
                <w:szCs w:val="21"/>
              </w:rPr>
              <w:t>转回或收回金额</w:t>
            </w:r>
          </w:p>
        </w:tc>
      </w:tr>
      <w:tr>
        <w:trPr>
          <w:trHeight w:val="156" w:hRule="exact"/>
        </w:trPr>
        <w:tc>
          <w:tcPr>
            <w:tcW w:w="2006" w:type="dxa"/>
            <w:vMerge w:val="restart"/>
            <w:tcBorders>
              <w:top w:val="nil" w:sz="6" w:space="0" w:color="auto"/>
              <w:left w:val="single" w:sz="4" w:space="0" w:color="000000"/>
              <w:right w:val="single" w:sz="4" w:space="0" w:color="000000"/>
            </w:tcBorders>
            <w:shd w:val="clear" w:color="auto" w:fill="D2D2D2"/>
          </w:tcPr>
          <w:p>
            <w:pPr/>
          </w:p>
        </w:tc>
        <w:tc>
          <w:tcPr>
            <w:tcW w:w="1564" w:type="dxa"/>
            <w:vMerge w:val="restart"/>
            <w:tcBorders>
              <w:top w:val="nil" w:sz="6" w:space="0" w:color="auto"/>
              <w:left w:val="single" w:sz="4" w:space="0" w:color="000000"/>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1741" w:type="dxa"/>
            <w:vMerge/>
            <w:tcBorders>
              <w:left w:val="single" w:sz="4" w:space="0" w:color="000000"/>
              <w:right w:val="single" w:sz="4" w:space="0" w:color="000000"/>
            </w:tcBorders>
            <w:shd w:val="clear" w:color="auto" w:fill="D2D2D2"/>
          </w:tcPr>
          <w:p>
            <w:pPr/>
          </w:p>
        </w:tc>
        <w:tc>
          <w:tcPr>
            <w:tcW w:w="1724" w:type="dxa"/>
            <w:vMerge w:val="restart"/>
            <w:tcBorders>
              <w:top w:val="nil" w:sz="6" w:space="0" w:color="auto"/>
              <w:left w:val="single" w:sz="4" w:space="0" w:color="000000"/>
              <w:right w:val="single" w:sz="4" w:space="0" w:color="000000"/>
            </w:tcBorders>
            <w:shd w:val="clear" w:color="auto" w:fill="D2D2D2"/>
          </w:tcPr>
          <w:p>
            <w:pPr/>
          </w:p>
        </w:tc>
      </w:tr>
      <w:tr>
        <w:trPr>
          <w:trHeight w:val="162" w:hRule="exact"/>
        </w:trPr>
        <w:tc>
          <w:tcPr>
            <w:tcW w:w="2006" w:type="dxa"/>
            <w:vMerge/>
            <w:tcBorders>
              <w:left w:val="single" w:sz="4" w:space="0" w:color="000000"/>
              <w:bottom w:val="single" w:sz="4" w:space="0" w:color="000000"/>
              <w:right w:val="single" w:sz="4" w:space="0" w:color="000000"/>
            </w:tcBorders>
            <w:shd w:val="clear" w:color="auto" w:fill="D2D2D2"/>
          </w:tcPr>
          <w:p>
            <w:pPr/>
          </w:p>
        </w:tc>
        <w:tc>
          <w:tcPr>
            <w:tcW w:w="1564"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1724"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2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
              <w:jc w:val="center"/>
              <w:rPr>
                <w:rFonts w:ascii="Calibri" w:hAnsi="Calibri" w:cs="Calibri" w:eastAsia="Calibri" w:hint="default"/>
                <w:sz w:val="21"/>
                <w:szCs w:val="21"/>
              </w:rPr>
            </w:pPr>
            <w:r>
              <w:rPr>
                <w:rFonts w:ascii="Calibri"/>
                <w:sz w:val="21"/>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Calibri" w:hAnsi="Calibri" w:cs="Calibri" w:eastAsia="Calibri" w:hint="default"/>
                <w:sz w:val="21"/>
                <w:szCs w:val="21"/>
              </w:rPr>
            </w:pPr>
            <w:r>
              <w:rPr>
                <w:rFonts w:ascii="Calibri"/>
                <w:sz w:val="21"/>
              </w:rPr>
              <w:t>--</w:t>
            </w:r>
          </w:p>
        </w:tc>
        <w:tc>
          <w:tcPr>
            <w:tcW w:w="174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29"/>
              <w:ind w:right="2"/>
              <w:jc w:val="right"/>
              <w:rPr>
                <w:rFonts w:ascii="Calibri" w:hAnsi="Calibri" w:cs="Calibri" w:eastAsia="Calibri" w:hint="default"/>
                <w:sz w:val="21"/>
                <w:szCs w:val="21"/>
              </w:rPr>
            </w:pPr>
            <w:r>
              <w:rPr>
                <w:rFonts w:ascii="Calibri"/>
                <w:w w:val="100"/>
                <w:sz w:val="21"/>
              </w:rPr>
              <w:t>0</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19" w:right="0"/>
              <w:jc w:val="center"/>
              <w:rPr>
                <w:rFonts w:ascii="Calibri" w:hAnsi="Calibri" w:cs="Calibri" w:eastAsia="Calibri" w:hint="default"/>
                <w:sz w:val="21"/>
                <w:szCs w:val="21"/>
              </w:rPr>
            </w:pPr>
            <w:r>
              <w:rPr>
                <w:rFonts w:ascii="Calibri"/>
                <w:sz w:val="21"/>
              </w:rPr>
              <w:t>--</w:t>
            </w:r>
          </w:p>
        </w:tc>
      </w:tr>
    </w:tbl>
    <w:p>
      <w:pPr>
        <w:spacing w:line="273" w:lineRule="auto" w:before="0"/>
        <w:ind w:left="558" w:right="228" w:firstLine="0"/>
        <w:jc w:val="both"/>
        <w:rPr>
          <w:rFonts w:ascii="宋体" w:hAnsi="宋体" w:cs="宋体" w:eastAsia="宋体" w:hint="default"/>
          <w:sz w:val="21"/>
          <w:szCs w:val="21"/>
        </w:rPr>
      </w:pPr>
      <w:r>
        <w:rPr>
          <w:rFonts w:ascii="宋体" w:hAnsi="宋体" w:cs="宋体" w:eastAsia="宋体" w:hint="default"/>
          <w:spacing w:val="-2"/>
          <w:sz w:val="21"/>
          <w:szCs w:val="21"/>
        </w:rPr>
        <w:t>注：本表列报本报告期前已全额计提坏账准备，或计提减值准备的比例较大，但在本报告期又</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2"/>
          <w:sz w:val="21"/>
          <w:szCs w:val="21"/>
        </w:rPr>
        <w:t>全额收回或转回，或在本报告期收回或转回比例较大的应收账款。对于本报告期通过重组等方</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式收回、金额重大的应收款项，则应逐笔列报。金额不重大的，可汇总列报。</w:t>
      </w:r>
    </w:p>
    <w:p>
      <w:pPr>
        <w:spacing w:after="0" w:line="273" w:lineRule="auto"/>
        <w:jc w:val="both"/>
        <w:rPr>
          <w:rFonts w:ascii="宋体" w:hAnsi="宋体" w:cs="宋体" w:eastAsia="宋体" w:hint="default"/>
          <w:sz w:val="21"/>
          <w:szCs w:val="21"/>
        </w:rPr>
        <w:sectPr>
          <w:type w:val="continuous"/>
          <w:pgSz w:w="11910" w:h="16840"/>
          <w:pgMar w:top="440" w:bottom="280" w:left="1240" w:right="1260"/>
        </w:sectPr>
      </w:pPr>
    </w:p>
    <w:p>
      <w:pPr>
        <w:spacing w:line="240" w:lineRule="auto" w:before="4"/>
        <w:rPr>
          <w:rFonts w:ascii="宋体" w:hAnsi="宋体" w:cs="宋体" w:eastAsia="宋体" w:hint="default"/>
          <w:sz w:val="16"/>
          <w:szCs w:val="16"/>
        </w:rPr>
      </w:pPr>
    </w:p>
    <w:p>
      <w:pPr>
        <w:spacing w:before="36"/>
        <w:ind w:left="558" w:right="86" w:firstLine="0"/>
        <w:jc w:val="left"/>
        <w:rPr>
          <w:rFonts w:ascii="宋体" w:hAnsi="宋体" w:cs="宋体" w:eastAsia="宋体" w:hint="default"/>
          <w:sz w:val="21"/>
          <w:szCs w:val="21"/>
        </w:rPr>
      </w:pPr>
      <w:r>
        <w:rPr>
          <w:rFonts w:ascii="宋体" w:hAnsi="宋体" w:cs="宋体" w:eastAsia="宋体" w:hint="default"/>
          <w:sz w:val="21"/>
          <w:szCs w:val="21"/>
        </w:rPr>
        <w:t>期末单项金额重大或虽不重大但单独进行减值测试的应收账款坏账准备计提</w:t>
      </w:r>
    </w:p>
    <w:p>
      <w:pPr>
        <w:spacing w:before="37"/>
        <w:ind w:left="0" w:right="99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1742"/>
        <w:gridCol w:w="1781"/>
        <w:gridCol w:w="1780"/>
        <w:gridCol w:w="1754"/>
        <w:gridCol w:w="1667"/>
      </w:tblGrid>
      <w:tr>
        <w:trPr>
          <w:trHeight w:val="322" w:hRule="exact"/>
        </w:trPr>
        <w:tc>
          <w:tcPr>
            <w:tcW w:w="1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5" w:right="0"/>
              <w:jc w:val="left"/>
              <w:rPr>
                <w:rFonts w:ascii="宋体" w:hAnsi="宋体" w:cs="宋体" w:eastAsia="宋体" w:hint="default"/>
                <w:sz w:val="21"/>
                <w:szCs w:val="21"/>
              </w:rPr>
            </w:pPr>
            <w:r>
              <w:rPr>
                <w:rFonts w:ascii="宋体" w:hAnsi="宋体" w:cs="宋体" w:eastAsia="宋体" w:hint="default"/>
                <w:b/>
                <w:bCs/>
                <w:sz w:val="21"/>
                <w:szCs w:val="21"/>
              </w:rPr>
              <w:t>应收账款内容</w:t>
            </w:r>
            <w:r>
              <w:rPr>
                <w:rFonts w:ascii="宋体" w:hAnsi="宋体" w:cs="宋体" w:eastAsia="宋体" w:hint="default"/>
                <w:sz w:val="21"/>
                <w:szCs w:val="21"/>
              </w:rPr>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70"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center"/>
              <w:rPr>
                <w:rFonts w:ascii="宋体" w:hAnsi="宋体" w:cs="宋体" w:eastAsia="宋体" w:hint="default"/>
                <w:sz w:val="21"/>
                <w:szCs w:val="21"/>
              </w:rPr>
            </w:pPr>
            <w:r>
              <w:rPr>
                <w:rFonts w:ascii="宋体" w:hAnsi="宋体" w:cs="宋体" w:eastAsia="宋体" w:hint="default"/>
                <w:b/>
                <w:bCs/>
                <w:sz w:val="21"/>
                <w:szCs w:val="21"/>
              </w:rPr>
              <w:t>理由</w:t>
            </w:r>
            <w:r>
              <w:rPr>
                <w:rFonts w:ascii="宋体" w:hAnsi="宋体" w:cs="宋体" w:eastAsia="宋体" w:hint="default"/>
                <w:sz w:val="21"/>
                <w:szCs w:val="21"/>
              </w:rPr>
            </w:r>
          </w:p>
        </w:tc>
      </w:tr>
      <w:tr>
        <w:trPr>
          <w:trHeight w:val="322" w:hRule="exact"/>
        </w:trPr>
        <w:tc>
          <w:tcPr>
            <w:tcW w:w="1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8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right="24"/>
              <w:jc w:val="right"/>
              <w:rPr>
                <w:rFonts w:ascii="Calibri" w:hAnsi="Calibri" w:cs="Calibri" w:eastAsia="Calibri" w:hint="default"/>
                <w:sz w:val="21"/>
                <w:szCs w:val="21"/>
              </w:rPr>
            </w:pPr>
            <w:r>
              <w:rPr>
                <w:rFonts w:ascii="Calibri"/>
                <w:w w:val="100"/>
                <w:sz w:val="21"/>
              </w:rPr>
              <w:t>0</w:t>
            </w:r>
          </w:p>
        </w:tc>
        <w:tc>
          <w:tcPr>
            <w:tcW w:w="1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Calibri" w:hAnsi="Calibri" w:cs="Calibri" w:eastAsia="Calibri" w:hint="default"/>
                <w:sz w:val="21"/>
                <w:szCs w:val="21"/>
              </w:rPr>
            </w:pPr>
            <w:r>
              <w:rPr>
                <w:rFonts w:ascii="Calibri"/>
                <w:sz w:val="21"/>
              </w:rPr>
              <w:t>--</w:t>
            </w:r>
          </w:p>
        </w:tc>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1" w:right="0"/>
              <w:jc w:val="center"/>
              <w:rPr>
                <w:rFonts w:ascii="Calibri" w:hAnsi="Calibri" w:cs="Calibri" w:eastAsia="Calibri" w:hint="default"/>
                <w:sz w:val="21"/>
                <w:szCs w:val="21"/>
              </w:rPr>
            </w:pPr>
            <w:r>
              <w:rPr>
                <w:rFonts w:ascii="Calibri"/>
                <w:sz w:val="21"/>
              </w:rPr>
              <w:t>--</w:t>
            </w:r>
          </w:p>
        </w:tc>
      </w:tr>
    </w:tbl>
    <w:p>
      <w:pPr>
        <w:spacing w:line="262" w:lineRule="exact" w:before="0"/>
        <w:ind w:left="558" w:right="86" w:firstLine="0"/>
        <w:jc w:val="left"/>
        <w:rPr>
          <w:rFonts w:ascii="宋体" w:hAnsi="宋体" w:cs="宋体" w:eastAsia="宋体" w:hint="default"/>
          <w:sz w:val="21"/>
          <w:szCs w:val="21"/>
        </w:rPr>
      </w:pPr>
      <w:r>
        <w:rPr>
          <w:rFonts w:ascii="宋体" w:hAnsi="宋体" w:cs="宋体" w:eastAsia="宋体" w:hint="default"/>
          <w:sz w:val="21"/>
          <w:szCs w:val="21"/>
        </w:rPr>
        <w:t>单项金额不重大但按信用风险特征组合后该组合的风险较大的应收账款的说明：无</w:t>
      </w:r>
    </w:p>
    <w:p>
      <w:pPr>
        <w:spacing w:line="240" w:lineRule="auto" w:before="10"/>
        <w:rPr>
          <w:rFonts w:ascii="宋体" w:hAnsi="宋体" w:cs="宋体" w:eastAsia="宋体" w:hint="default"/>
          <w:sz w:val="25"/>
          <w:szCs w:val="25"/>
        </w:rPr>
      </w:pPr>
    </w:p>
    <w:p>
      <w:pPr>
        <w:spacing w:before="0"/>
        <w:ind w:left="558" w:right="8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）本报告期实际核销的应收账款情况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99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462"/>
        <w:gridCol w:w="1457"/>
        <w:gridCol w:w="1459"/>
        <w:gridCol w:w="1457"/>
        <w:gridCol w:w="1468"/>
        <w:gridCol w:w="1434"/>
      </w:tblGrid>
      <w:tr>
        <w:trPr>
          <w:trHeight w:val="161" w:hRule="exact"/>
        </w:trPr>
        <w:tc>
          <w:tcPr>
            <w:tcW w:w="14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394" w:right="77" w:hanging="317"/>
              <w:jc w:val="left"/>
              <w:rPr>
                <w:rFonts w:ascii="宋体" w:hAnsi="宋体" w:cs="宋体" w:eastAsia="宋体" w:hint="default"/>
                <w:sz w:val="21"/>
                <w:szCs w:val="21"/>
              </w:rPr>
            </w:pPr>
            <w:r>
              <w:rPr>
                <w:rFonts w:ascii="宋体" w:hAnsi="宋体" w:cs="宋体" w:eastAsia="宋体" w:hint="default"/>
                <w:b/>
                <w:bCs/>
                <w:sz w:val="21"/>
                <w:szCs w:val="21"/>
              </w:rPr>
              <w:t>是否因关联交</w:t>
            </w:r>
            <w:r>
              <w:rPr>
                <w:rFonts w:ascii="宋体" w:hAnsi="宋体" w:cs="宋体" w:eastAsia="宋体" w:hint="default"/>
                <w:b/>
                <w:bCs/>
                <w:spacing w:val="-104"/>
                <w:sz w:val="21"/>
                <w:szCs w:val="21"/>
              </w:rPr>
              <w:t> </w:t>
            </w:r>
            <w:r>
              <w:rPr>
                <w:rFonts w:ascii="宋体" w:hAnsi="宋体" w:cs="宋体" w:eastAsia="宋体" w:hint="default"/>
                <w:b/>
                <w:bCs/>
                <w:sz w:val="21"/>
                <w:szCs w:val="21"/>
              </w:rPr>
              <w:t>易产生</w:t>
            </w:r>
            <w:r>
              <w:rPr>
                <w:rFonts w:ascii="宋体" w:hAnsi="宋体" w:cs="宋体" w:eastAsia="宋体" w:hint="default"/>
                <w:sz w:val="21"/>
                <w:szCs w:val="21"/>
              </w:rPr>
            </w:r>
          </w:p>
        </w:tc>
      </w:tr>
      <w:tr>
        <w:trPr>
          <w:trHeight w:val="312" w:hRule="exact"/>
        </w:trPr>
        <w:tc>
          <w:tcPr>
            <w:tcW w:w="14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4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应收账款性质</w:t>
            </w:r>
            <w:r>
              <w:rPr>
                <w:rFonts w:ascii="宋体" w:hAnsi="宋体" w:cs="宋体" w:eastAsia="宋体" w:hint="default"/>
                <w:sz w:val="21"/>
                <w:szCs w:val="21"/>
              </w:rPr>
            </w:r>
          </w:p>
        </w:tc>
        <w:tc>
          <w:tcPr>
            <w:tcW w:w="14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核销时间</w:t>
            </w:r>
            <w:r>
              <w:rPr>
                <w:rFonts w:ascii="宋体" w:hAnsi="宋体" w:cs="宋体" w:eastAsia="宋体" w:hint="default"/>
                <w:sz w:val="21"/>
                <w:szCs w:val="21"/>
              </w:rPr>
            </w:r>
          </w:p>
        </w:tc>
        <w:tc>
          <w:tcPr>
            <w:tcW w:w="14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300" w:right="0"/>
              <w:jc w:val="left"/>
              <w:rPr>
                <w:rFonts w:ascii="宋体" w:hAnsi="宋体" w:cs="宋体" w:eastAsia="宋体" w:hint="default"/>
                <w:sz w:val="21"/>
                <w:szCs w:val="21"/>
              </w:rPr>
            </w:pPr>
            <w:r>
              <w:rPr>
                <w:rFonts w:ascii="宋体" w:hAnsi="宋体" w:cs="宋体" w:eastAsia="宋体" w:hint="default"/>
                <w:b/>
                <w:bCs/>
                <w:sz w:val="21"/>
                <w:szCs w:val="21"/>
              </w:rPr>
              <w:t>核销金额</w:t>
            </w:r>
            <w:r>
              <w:rPr>
                <w:rFonts w:ascii="宋体" w:hAnsi="宋体" w:cs="宋体" w:eastAsia="宋体" w:hint="default"/>
                <w:sz w:val="21"/>
                <w:szCs w:val="21"/>
              </w:rPr>
            </w:r>
          </w:p>
        </w:tc>
        <w:tc>
          <w:tcPr>
            <w:tcW w:w="14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11"/>
              <w:jc w:val="center"/>
              <w:rPr>
                <w:rFonts w:ascii="宋体" w:hAnsi="宋体" w:cs="宋体" w:eastAsia="宋体" w:hint="default"/>
                <w:sz w:val="21"/>
                <w:szCs w:val="21"/>
              </w:rPr>
            </w:pPr>
            <w:r>
              <w:rPr>
                <w:rFonts w:ascii="宋体" w:hAnsi="宋体" w:cs="宋体" w:eastAsia="宋体" w:hint="default"/>
                <w:b/>
                <w:bCs/>
                <w:sz w:val="21"/>
                <w:szCs w:val="21"/>
              </w:rPr>
              <w:t>核销原因</w:t>
            </w:r>
            <w:r>
              <w:rPr>
                <w:rFonts w:ascii="宋体" w:hAnsi="宋体" w:cs="宋体" w:eastAsia="宋体" w:hint="default"/>
                <w:sz w:val="21"/>
                <w:szCs w:val="21"/>
              </w:rPr>
            </w:r>
          </w:p>
        </w:tc>
        <w:tc>
          <w:tcPr>
            <w:tcW w:w="1434" w:type="dxa"/>
            <w:vMerge/>
            <w:tcBorders>
              <w:left w:val="single" w:sz="4" w:space="0" w:color="000000"/>
              <w:right w:val="single" w:sz="4" w:space="0" w:color="000000"/>
            </w:tcBorders>
            <w:shd w:val="clear" w:color="auto" w:fill="D2D2D2"/>
          </w:tcPr>
          <w:p>
            <w:pPr/>
          </w:p>
        </w:tc>
      </w:tr>
      <w:tr>
        <w:trPr>
          <w:trHeight w:val="156" w:hRule="exact"/>
        </w:trPr>
        <w:tc>
          <w:tcPr>
            <w:tcW w:w="14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4" w:type="dxa"/>
            <w:vMerge/>
            <w:tcBorders>
              <w:left w:val="single" w:sz="4" w:space="0" w:color="000000"/>
              <w:bottom w:val="single" w:sz="4" w:space="0" w:color="000000"/>
              <w:right w:val="single" w:sz="4" w:space="0" w:color="000000"/>
            </w:tcBorders>
            <w:shd w:val="clear" w:color="auto" w:fill="D2D2D2"/>
          </w:tcPr>
          <w:p>
            <w:pPr/>
          </w:p>
        </w:tc>
      </w:tr>
      <w:tr>
        <w:trPr>
          <w:trHeight w:val="329" w:hRule="exact"/>
        </w:trPr>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8"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
              <w:jc w:val="center"/>
              <w:rPr>
                <w:rFonts w:ascii="Calibri" w:hAnsi="Calibri" w:cs="Calibri" w:eastAsia="Calibri" w:hint="default"/>
                <w:sz w:val="21"/>
                <w:szCs w:val="21"/>
              </w:rPr>
            </w:pPr>
            <w:r>
              <w:rPr>
                <w:rFonts w:ascii="Calibri"/>
                <w:sz w:val="21"/>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0"/>
              <w:jc w:val="center"/>
              <w:rPr>
                <w:rFonts w:ascii="Calibri" w:hAnsi="Calibri" w:cs="Calibri" w:eastAsia="Calibri" w:hint="default"/>
                <w:sz w:val="21"/>
                <w:szCs w:val="21"/>
              </w:rPr>
            </w:pPr>
            <w:r>
              <w:rPr>
                <w:rFonts w:ascii="Calibri"/>
                <w:sz w:val="21"/>
              </w:rPr>
              <w:t>--</w:t>
            </w:r>
          </w:p>
        </w:tc>
        <w:tc>
          <w:tcPr>
            <w:tcW w:w="145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33"/>
              <w:ind w:right="14"/>
              <w:jc w:val="right"/>
              <w:rPr>
                <w:rFonts w:ascii="Calibri" w:hAnsi="Calibri" w:cs="Calibri" w:eastAsia="Calibri" w:hint="default"/>
                <w:sz w:val="21"/>
                <w:szCs w:val="21"/>
              </w:rPr>
            </w:pPr>
            <w:r>
              <w:rPr>
                <w:rFonts w:ascii="Calibri"/>
                <w:w w:val="100"/>
                <w:sz w:val="21"/>
              </w:rPr>
              <w:t>0</w:t>
            </w: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1"/>
              <w:jc w:val="center"/>
              <w:rPr>
                <w:rFonts w:ascii="Calibri" w:hAnsi="Calibri" w:cs="Calibri" w:eastAsia="Calibri" w:hint="default"/>
                <w:sz w:val="21"/>
                <w:szCs w:val="21"/>
              </w:rPr>
            </w:pPr>
            <w:r>
              <w:rPr>
                <w:rFonts w:ascii="Calibri"/>
                <w:sz w:val="21"/>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
              <w:jc w:val="center"/>
              <w:rPr>
                <w:rFonts w:ascii="Calibri" w:hAnsi="Calibri" w:cs="Calibri" w:eastAsia="Calibri" w:hint="default"/>
                <w:sz w:val="21"/>
                <w:szCs w:val="21"/>
              </w:rPr>
            </w:pPr>
            <w:r>
              <w:rPr>
                <w:rFonts w:ascii="Calibri"/>
                <w:sz w:val="21"/>
              </w:rPr>
              <w:t>--</w:t>
            </w:r>
          </w:p>
        </w:tc>
      </w:tr>
    </w:tbl>
    <w:p>
      <w:pPr>
        <w:spacing w:line="262" w:lineRule="exact" w:before="0"/>
        <w:ind w:left="558" w:right="6626" w:firstLine="0"/>
        <w:jc w:val="left"/>
        <w:rPr>
          <w:rFonts w:ascii="宋体" w:hAnsi="宋体" w:cs="宋体" w:eastAsia="宋体" w:hint="default"/>
          <w:sz w:val="21"/>
          <w:szCs w:val="21"/>
        </w:rPr>
      </w:pPr>
      <w:r>
        <w:rPr>
          <w:rFonts w:ascii="宋体" w:hAnsi="宋体" w:cs="宋体" w:eastAsia="宋体" w:hint="default"/>
          <w:sz w:val="21"/>
          <w:szCs w:val="21"/>
        </w:rPr>
        <w:t>应收账款核销说明：无</w:t>
      </w:r>
    </w:p>
    <w:p>
      <w:pPr>
        <w:spacing w:line="240" w:lineRule="auto" w:before="10"/>
        <w:rPr>
          <w:rFonts w:ascii="宋体" w:hAnsi="宋体" w:cs="宋体" w:eastAsia="宋体" w:hint="default"/>
          <w:sz w:val="25"/>
          <w:szCs w:val="25"/>
        </w:rPr>
      </w:pPr>
    </w:p>
    <w:p>
      <w:pPr>
        <w:spacing w:before="0"/>
        <w:ind w:left="558" w:right="8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）本报告期应收账款中持有公司</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7"/>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99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312"/>
        <w:gridCol w:w="1579"/>
        <w:gridCol w:w="1457"/>
        <w:gridCol w:w="1702"/>
        <w:gridCol w:w="1700"/>
      </w:tblGrid>
      <w:tr>
        <w:trPr>
          <w:trHeight w:val="322" w:hRule="exact"/>
        </w:trPr>
        <w:tc>
          <w:tcPr>
            <w:tcW w:w="23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left="729"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30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4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2312" w:type="dxa"/>
            <w:vMerge/>
            <w:tcBorders>
              <w:left w:val="single" w:sz="4" w:space="0" w:color="000000"/>
              <w:bottom w:val="single" w:sz="4" w:space="0" w:color="000000"/>
              <w:right w:val="single" w:sz="4" w:space="0" w:color="000000"/>
            </w:tcBorders>
            <w:shd w:val="clear" w:color="auto" w:fill="D2D2D2"/>
          </w:tcPr>
          <w:p>
            <w:pP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8" w:right="0"/>
              <w:jc w:val="left"/>
              <w:rPr>
                <w:rFonts w:ascii="宋体" w:hAnsi="宋体" w:cs="宋体" w:eastAsia="宋体" w:hint="default"/>
                <w:sz w:val="21"/>
                <w:szCs w:val="21"/>
              </w:rPr>
            </w:pPr>
            <w:r>
              <w:rPr>
                <w:rFonts w:ascii="宋体" w:hAnsi="宋体" w:cs="宋体" w:eastAsia="宋体" w:hint="default"/>
                <w:b/>
                <w:bCs/>
                <w:sz w:val="21"/>
                <w:szCs w:val="21"/>
              </w:rPr>
              <w:t>计提坏账金额</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11" w:right="0"/>
              <w:jc w:val="left"/>
              <w:rPr>
                <w:rFonts w:ascii="宋体" w:hAnsi="宋体" w:cs="宋体" w:eastAsia="宋体" w:hint="default"/>
                <w:sz w:val="21"/>
                <w:szCs w:val="21"/>
              </w:rPr>
            </w:pPr>
            <w:r>
              <w:rPr>
                <w:rFonts w:ascii="宋体" w:hAnsi="宋体" w:cs="宋体" w:eastAsia="宋体" w:hint="default"/>
                <w:b/>
                <w:bCs/>
                <w:sz w:val="21"/>
                <w:szCs w:val="21"/>
              </w:rPr>
              <w:t>计提坏账金额</w:t>
            </w:r>
            <w:r>
              <w:rPr>
                <w:rFonts w:ascii="宋体" w:hAnsi="宋体" w:cs="宋体" w:eastAsia="宋体" w:hint="default"/>
                <w:sz w:val="21"/>
                <w:szCs w:val="21"/>
              </w:rPr>
            </w:r>
          </w:p>
        </w:tc>
      </w:tr>
      <w:tr>
        <w:trPr>
          <w:trHeight w:val="636"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73"/>
              <w:jc w:val="left"/>
              <w:rPr>
                <w:rFonts w:ascii="宋体" w:hAnsi="宋体" w:cs="宋体" w:eastAsia="宋体" w:hint="default"/>
                <w:sz w:val="21"/>
                <w:szCs w:val="21"/>
              </w:rPr>
            </w:pPr>
            <w:r>
              <w:rPr>
                <w:rFonts w:ascii="宋体" w:hAnsi="宋体" w:cs="宋体" w:eastAsia="宋体" w:hint="default"/>
                <w:spacing w:val="-2"/>
                <w:sz w:val="21"/>
                <w:szCs w:val="21"/>
              </w:rPr>
              <w:t>中国科学院地理科学与</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资源研究所</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673,053.15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33,652.66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1,791,253.15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1,167,041.35</w:t>
            </w:r>
          </w:p>
        </w:tc>
      </w:tr>
      <w:tr>
        <w:trPr>
          <w:trHeight w:val="322" w:hRule="exact"/>
        </w:trPr>
        <w:tc>
          <w:tcPr>
            <w:tcW w:w="2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673,053.15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33,652.66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1,791,253.15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1,167,041.35</w:t>
            </w:r>
          </w:p>
        </w:tc>
      </w:tr>
    </w:tbl>
    <w:p>
      <w:pPr>
        <w:spacing w:line="240" w:lineRule="auto" w:before="3"/>
        <w:rPr>
          <w:rFonts w:ascii="宋体" w:hAnsi="宋体" w:cs="宋体" w:eastAsia="宋体" w:hint="default"/>
          <w:sz w:val="19"/>
          <w:szCs w:val="19"/>
        </w:rPr>
      </w:pPr>
    </w:p>
    <w:p>
      <w:pPr>
        <w:spacing w:line="506" w:lineRule="auto" w:before="36"/>
        <w:ind w:left="558" w:right="5198"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）金额较大的其他的应收账款的性质或内容</w:t>
      </w:r>
      <w:r>
        <w:rPr>
          <w:rFonts w:ascii="宋体" w:hAnsi="宋体" w:cs="宋体" w:eastAsia="宋体" w:hint="default"/>
          <w:b/>
          <w:bCs/>
          <w:spacing w:val="-84"/>
          <w:sz w:val="21"/>
          <w:szCs w:val="21"/>
        </w:rPr>
        <w:t> </w:t>
      </w:r>
      <w:r>
        <w:rPr>
          <w:rFonts w:ascii="宋体" w:hAnsi="宋体" w:cs="宋体" w:eastAsia="宋体" w:hint="default"/>
          <w:b/>
          <w:bCs/>
          <w:spacing w:val="-84"/>
          <w:sz w:val="21"/>
          <w:szCs w:val="21"/>
        </w:rPr>
      </w:r>
      <w:r>
        <w:rPr>
          <w:rFonts w:ascii="宋体" w:hAnsi="宋体" w:cs="宋体" w:eastAsia="宋体" w:hint="default"/>
          <w:sz w:val="21"/>
          <w:szCs w:val="21"/>
        </w:rPr>
        <w:t>无</w:t>
      </w:r>
    </w:p>
    <w:p>
      <w:pPr>
        <w:spacing w:before="104"/>
        <w:ind w:left="558" w:right="86"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）应收账款中金额前五名单位情况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99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53" w:type="dxa"/>
        <w:tblLayout w:type="fixed"/>
        <w:tblCellMar>
          <w:top w:w="0" w:type="dxa"/>
          <w:left w:w="0" w:type="dxa"/>
          <w:bottom w:w="0" w:type="dxa"/>
          <w:right w:w="0" w:type="dxa"/>
        </w:tblCellMar>
        <w:tblLook w:val="01E0"/>
      </w:tblPr>
      <w:tblGrid>
        <w:gridCol w:w="3121"/>
        <w:gridCol w:w="1844"/>
        <w:gridCol w:w="1558"/>
        <w:gridCol w:w="1136"/>
        <w:gridCol w:w="1915"/>
      </w:tblGrid>
      <w:tr>
        <w:trPr>
          <w:trHeight w:val="63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3"/>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83" w:right="0"/>
              <w:jc w:val="left"/>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352" w:right="0"/>
              <w:jc w:val="left"/>
              <w:rPr>
                <w:rFonts w:ascii="宋体" w:hAnsi="宋体" w:cs="宋体" w:eastAsia="宋体" w:hint="default"/>
                <w:sz w:val="21"/>
                <w:szCs w:val="21"/>
              </w:rPr>
            </w:pPr>
            <w:r>
              <w:rPr>
                <w:rFonts w:ascii="宋体" w:hAnsi="宋体" w:cs="宋体" w:eastAsia="宋体" w:hint="default"/>
                <w:b/>
                <w:bCs/>
                <w:sz w:val="21"/>
                <w:szCs w:val="21"/>
              </w:rPr>
              <w:t>年限</w:t>
            </w:r>
            <w:r>
              <w:rPr>
                <w:rFonts w:ascii="宋体" w:hAnsi="宋体" w:cs="宋体" w:eastAsia="宋体" w:hint="default"/>
                <w:sz w:val="21"/>
                <w:szCs w:val="21"/>
              </w:rPr>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597" w:right="108" w:hanging="492"/>
              <w:jc w:val="left"/>
              <w:rPr>
                <w:rFonts w:ascii="Calibri" w:hAnsi="Calibri" w:cs="Calibri" w:eastAsia="Calibri" w:hint="default"/>
                <w:sz w:val="21"/>
                <w:szCs w:val="21"/>
              </w:rPr>
            </w:pPr>
            <w:r>
              <w:rPr>
                <w:rFonts w:ascii="宋体" w:hAnsi="宋体" w:cs="宋体" w:eastAsia="宋体" w:hint="default"/>
                <w:b/>
                <w:bCs/>
                <w:sz w:val="21"/>
                <w:szCs w:val="21"/>
              </w:rPr>
              <w:t>占应收账款总额的</w:t>
            </w:r>
            <w:r>
              <w:rPr>
                <w:rFonts w:ascii="宋体" w:hAnsi="宋体" w:cs="宋体" w:eastAsia="宋体" w:hint="default"/>
                <w:b/>
                <w:bCs/>
                <w:spacing w:val="-103"/>
                <w:sz w:val="21"/>
                <w:szCs w:val="21"/>
              </w:rPr>
              <w:t> </w:t>
            </w:r>
            <w:r>
              <w:rPr>
                <w:rFonts w:ascii="宋体" w:hAnsi="宋体" w:cs="宋体" w:eastAsia="宋体" w:hint="default"/>
                <w:b/>
                <w:bCs/>
                <w:sz w:val="21"/>
                <w:szCs w:val="21"/>
              </w:rPr>
              <w:t>比例</w:t>
            </w:r>
            <w:r>
              <w:rPr>
                <w:rFonts w:ascii="Calibri" w:hAnsi="Calibri" w:cs="Calibri" w:eastAsia="Calibri" w:hint="default"/>
                <w:b/>
                <w:bCs/>
                <w:sz w:val="21"/>
                <w:szCs w:val="21"/>
              </w:rPr>
              <w:t>(%)</w:t>
            </w:r>
            <w:r>
              <w:rPr>
                <w:rFonts w:ascii="Calibri" w:hAnsi="Calibri" w:cs="Calibri" w:eastAsia="Calibri" w:hint="default"/>
                <w:sz w:val="21"/>
                <w:szCs w:val="21"/>
              </w:rPr>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马鞍山市城市管理行政执法局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10,214,984.70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1"/>
                <w:sz w:val="21"/>
              </w:rPr>
              <w:t>7.20</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中关村科技园区管理委员会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6,465,600.00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1"/>
                <w:sz w:val="21"/>
              </w:rPr>
              <w:t>4.56</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中关村科技园区管理委员会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2,055,450.00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Calibri" w:hAnsi="Calibri" w:cs="Calibri" w:eastAsia="Calibri" w:hint="default"/>
                <w:sz w:val="21"/>
                <w:szCs w:val="21"/>
              </w:rPr>
            </w:pPr>
            <w:r>
              <w:rPr>
                <w:rFonts w:ascii="Calibri"/>
                <w:spacing w:val="-1"/>
                <w:sz w:val="21"/>
              </w:rPr>
              <w:t>1.45</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西安浐灞生态区管理委员会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1,798,720.00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1.27</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西安浐灞生态区管理委员会</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3,597,440.00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1"/>
                <w:sz w:val="21"/>
              </w:rPr>
              <w:t>2.54</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中科软科技股份有限公司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1,871,920.00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1"/>
                <w:sz w:val="21"/>
              </w:rPr>
              <w:t>1.32</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中科软科技股份有限公司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2,727,100.00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5"/>
                <w:sz w:val="21"/>
                <w:szCs w:val="21"/>
              </w:rPr>
              <w:t> </w:t>
            </w:r>
            <w:r>
              <w:rPr>
                <w:rFonts w:ascii="宋体" w:hAnsi="宋体" w:cs="宋体" w:eastAsia="宋体" w:hint="default"/>
                <w:sz w:val="21"/>
                <w:szCs w:val="21"/>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2"/>
                <w:sz w:val="21"/>
              </w:rPr>
              <w:t>1.92</w:t>
            </w:r>
          </w:p>
        </w:tc>
      </w:tr>
      <w:tr>
        <w:trPr>
          <w:trHeight w:val="322"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益阳市房地产管理局</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3,684,750.00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4"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1"/>
                <w:sz w:val="21"/>
              </w:rPr>
              <w:t>2.60</w:t>
            </w:r>
          </w:p>
        </w:tc>
      </w:tr>
      <w:tr>
        <w:trPr>
          <w:trHeight w:val="32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1" w:right="0"/>
              <w:jc w:val="left"/>
              <w:rPr>
                <w:rFonts w:ascii="Calibri" w:hAnsi="Calibri" w:cs="Calibri" w:eastAsia="Calibri" w:hint="default"/>
                <w:sz w:val="21"/>
                <w:szCs w:val="21"/>
              </w:rPr>
            </w:pPr>
            <w:r>
              <w:rPr>
                <w:rFonts w:ascii="Calibri"/>
                <w:sz w:val="21"/>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1" w:right="0"/>
              <w:jc w:val="left"/>
              <w:rPr>
                <w:rFonts w:ascii="Calibri" w:hAnsi="Calibri" w:cs="Calibri" w:eastAsia="Calibri" w:hint="default"/>
                <w:sz w:val="21"/>
                <w:szCs w:val="21"/>
              </w:rPr>
            </w:pPr>
            <w:r>
              <w:rPr>
                <w:rFonts w:ascii="Calibri"/>
                <w:sz w:val="21"/>
              </w:rPr>
              <w:t>32,415,964.70</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Calibri" w:hAnsi="Calibri" w:cs="Calibri" w:eastAsia="Calibri" w:hint="default"/>
                <w:sz w:val="21"/>
                <w:szCs w:val="21"/>
              </w:rPr>
            </w:pPr>
            <w:r>
              <w:rPr>
                <w:rFonts w:ascii="Calibri"/>
                <w:sz w:val="21"/>
              </w:rPr>
              <w:t>--</w:t>
            </w:r>
          </w:p>
        </w:tc>
        <w:tc>
          <w:tcPr>
            <w:tcW w:w="191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left="9" w:right="0"/>
              <w:jc w:val="left"/>
              <w:rPr>
                <w:rFonts w:ascii="Calibri" w:hAnsi="Calibri" w:cs="Calibri" w:eastAsia="Calibri" w:hint="default"/>
                <w:sz w:val="21"/>
                <w:szCs w:val="21"/>
              </w:rPr>
            </w:pPr>
            <w:r>
              <w:rPr>
                <w:rFonts w:ascii="Calibri"/>
                <w:sz w:val="21"/>
              </w:rPr>
              <w:t>22.86</w:t>
            </w:r>
          </w:p>
        </w:tc>
      </w:tr>
    </w:tbl>
    <w:p>
      <w:pPr>
        <w:spacing w:line="289" w:lineRule="exact" w:before="0"/>
        <w:ind w:left="558" w:right="86"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Calibri" w:hAnsi="Calibri" w:cs="Calibri" w:eastAsia="Calibri" w:hint="default"/>
          <w:sz w:val="21"/>
          <w:szCs w:val="21"/>
        </w:rPr>
        <w:t>“</w:t>
      </w:r>
      <w:r>
        <w:rPr>
          <w:rFonts w:ascii="宋体" w:hAnsi="宋体" w:cs="宋体" w:eastAsia="宋体" w:hint="default"/>
          <w:sz w:val="21"/>
          <w:szCs w:val="21"/>
        </w:rPr>
        <w:t>单位名称</w:t>
      </w:r>
      <w:r>
        <w:rPr>
          <w:rFonts w:ascii="Calibri" w:hAnsi="Calibri" w:cs="Calibri" w:eastAsia="Calibri" w:hint="default"/>
          <w:sz w:val="21"/>
          <w:szCs w:val="21"/>
        </w:rPr>
        <w:t>”</w:t>
      </w:r>
      <w:r>
        <w:rPr>
          <w:rFonts w:ascii="宋体" w:hAnsi="宋体" w:cs="宋体" w:eastAsia="宋体" w:hint="default"/>
          <w:sz w:val="21"/>
          <w:szCs w:val="21"/>
        </w:rPr>
        <w:t>和</w:t>
      </w:r>
      <w:r>
        <w:rPr>
          <w:rFonts w:ascii="Calibri" w:hAnsi="Calibri" w:cs="Calibri" w:eastAsia="Calibri" w:hint="default"/>
          <w:sz w:val="21"/>
          <w:szCs w:val="21"/>
        </w:rPr>
        <w:t>“</w:t>
      </w:r>
      <w:r>
        <w:rPr>
          <w:rFonts w:ascii="宋体" w:hAnsi="宋体" w:cs="宋体" w:eastAsia="宋体" w:hint="default"/>
          <w:sz w:val="21"/>
          <w:szCs w:val="21"/>
        </w:rPr>
        <w:t>与本公司关系</w:t>
      </w:r>
      <w:r>
        <w:rPr>
          <w:rFonts w:ascii="Calibri" w:hAnsi="Calibri" w:cs="Calibri" w:eastAsia="Calibri" w:hint="default"/>
          <w:sz w:val="21"/>
          <w:szCs w:val="21"/>
        </w:rPr>
        <w:t>”</w:t>
      </w:r>
      <w:r>
        <w:rPr>
          <w:rFonts w:ascii="宋体" w:hAnsi="宋体" w:cs="宋体" w:eastAsia="宋体" w:hint="default"/>
          <w:sz w:val="21"/>
          <w:szCs w:val="21"/>
        </w:rPr>
        <w:t>公司根据实际需要填写。</w:t>
      </w:r>
    </w:p>
    <w:p>
      <w:pPr>
        <w:spacing w:after="0" w:line="289" w:lineRule="exact"/>
        <w:jc w:val="left"/>
        <w:rPr>
          <w:rFonts w:ascii="宋体" w:hAnsi="宋体" w:cs="宋体" w:eastAsia="宋体" w:hint="default"/>
          <w:sz w:val="21"/>
          <w:szCs w:val="21"/>
        </w:rPr>
        <w:sectPr>
          <w:footerReference w:type="default" r:id="rId60"/>
          <w:pgSz w:w="11910" w:h="16840"/>
          <w:pgMar w:footer="1007" w:header="0" w:top="1160" w:bottom="1200" w:left="1240" w:right="420"/>
          <w:pgNumType w:start="170"/>
        </w:sectPr>
      </w:pPr>
    </w:p>
    <w:p>
      <w:pPr>
        <w:spacing w:line="240" w:lineRule="auto" w:before="4"/>
        <w:rPr>
          <w:rFonts w:ascii="宋体" w:hAnsi="宋体" w:cs="宋体" w:eastAsia="宋体" w:hint="default"/>
          <w:sz w:val="16"/>
          <w:szCs w:val="16"/>
        </w:rPr>
      </w:pPr>
    </w:p>
    <w:p>
      <w:pPr>
        <w:spacing w:line="506" w:lineRule="auto" w:before="36"/>
        <w:ind w:left="558" w:right="640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）应收关联方账款情况</w:t>
      </w:r>
      <w:r>
        <w:rPr>
          <w:rFonts w:ascii="宋体" w:hAnsi="宋体" w:cs="宋体" w:eastAsia="宋体" w:hint="default"/>
          <w:b/>
          <w:bCs/>
          <w:w w:val="100"/>
          <w:sz w:val="21"/>
          <w:szCs w:val="21"/>
        </w:rPr>
        <w:t> </w:t>
      </w:r>
      <w:r>
        <w:rPr>
          <w:rFonts w:ascii="宋体" w:hAnsi="宋体" w:cs="宋体" w:eastAsia="宋体" w:hint="default"/>
          <w:sz w:val="21"/>
          <w:szCs w:val="21"/>
        </w:rPr>
        <w:t>无此情况</w:t>
      </w:r>
    </w:p>
    <w:p>
      <w:pPr>
        <w:spacing w:line="506" w:lineRule="auto" w:before="104"/>
        <w:ind w:left="558" w:right="121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8</w:t>
      </w:r>
      <w:r>
        <w:rPr>
          <w:rFonts w:ascii="宋体" w:hAnsi="宋体" w:cs="宋体" w:eastAsia="宋体" w:hint="default"/>
          <w:b/>
          <w:bCs/>
          <w:spacing w:val="-1"/>
          <w:sz w:val="21"/>
          <w:szCs w:val="21"/>
        </w:rPr>
        <w:t>）以应收款项为标的资产进行资产证券化的，需简要说明相关交易安排</w:t>
      </w:r>
      <w:r>
        <w:rPr>
          <w:rFonts w:ascii="宋体" w:hAnsi="宋体" w:cs="宋体" w:eastAsia="宋体" w:hint="default"/>
          <w:b/>
          <w:bCs/>
          <w:spacing w:val="-77"/>
          <w:sz w:val="21"/>
          <w:szCs w:val="21"/>
        </w:rPr>
        <w:t> </w:t>
      </w:r>
      <w:r>
        <w:rPr>
          <w:rFonts w:ascii="宋体" w:hAnsi="宋体" w:cs="宋体" w:eastAsia="宋体" w:hint="default"/>
          <w:b/>
          <w:bCs/>
          <w:spacing w:val="-77"/>
          <w:sz w:val="21"/>
          <w:szCs w:val="21"/>
        </w:rPr>
      </w:r>
      <w:r>
        <w:rPr>
          <w:rFonts w:ascii="宋体" w:hAnsi="宋体" w:cs="宋体" w:eastAsia="宋体" w:hint="default"/>
          <w:sz w:val="21"/>
          <w:szCs w:val="21"/>
        </w:rPr>
        <w:t>无此情况</w:t>
      </w:r>
    </w:p>
    <w:p>
      <w:pPr>
        <w:spacing w:before="104"/>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931"/>
        <w:gridCol w:w="1290"/>
        <w:gridCol w:w="583"/>
        <w:gridCol w:w="1162"/>
        <w:gridCol w:w="487"/>
        <w:gridCol w:w="1164"/>
        <w:gridCol w:w="584"/>
        <w:gridCol w:w="1061"/>
        <w:gridCol w:w="487"/>
      </w:tblGrid>
      <w:tr>
        <w:trPr>
          <w:trHeight w:val="317" w:hRule="exact"/>
        </w:trPr>
        <w:tc>
          <w:tcPr>
            <w:tcW w:w="1931" w:type="dxa"/>
            <w:vMerge w:val="restart"/>
            <w:tcBorders>
              <w:top w:val="single" w:sz="4" w:space="0" w:color="000000"/>
              <w:left w:val="single" w:sz="4" w:space="0" w:color="000000"/>
              <w:right w:val="single" w:sz="4" w:space="0" w:color="000000"/>
            </w:tcBorders>
            <w:shd w:val="clear" w:color="auto" w:fill="D2D2D2"/>
          </w:tcPr>
          <w:p>
            <w:pPr/>
          </w:p>
        </w:tc>
        <w:tc>
          <w:tcPr>
            <w:tcW w:w="352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2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2"/>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166" w:hRule="exact"/>
        </w:trPr>
        <w:tc>
          <w:tcPr>
            <w:tcW w:w="1931" w:type="dxa"/>
            <w:vMerge/>
            <w:tcBorders>
              <w:left w:val="single" w:sz="4" w:space="0" w:color="000000"/>
              <w:bottom w:val="nil" w:sz="6" w:space="0" w:color="auto"/>
              <w:right w:val="single" w:sz="4" w:space="0" w:color="000000"/>
            </w:tcBorders>
            <w:shd w:val="clear" w:color="auto" w:fill="D2D2D2"/>
          </w:tcPr>
          <w:p>
            <w:pPr/>
          </w:p>
        </w:tc>
        <w:tc>
          <w:tcPr>
            <w:tcW w:w="18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514"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6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398"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444"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5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7"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162" w:hRule="exact"/>
        </w:trPr>
        <w:tc>
          <w:tcPr>
            <w:tcW w:w="1931"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种类</w:t>
            </w:r>
            <w:r>
              <w:rPr>
                <w:rFonts w:ascii="宋体" w:hAnsi="宋体" w:cs="宋体" w:eastAsia="宋体" w:hint="default"/>
                <w:sz w:val="21"/>
                <w:szCs w:val="21"/>
              </w:rPr>
            </w:r>
          </w:p>
        </w:tc>
        <w:tc>
          <w:tcPr>
            <w:tcW w:w="1873" w:type="dxa"/>
            <w:gridSpan w:val="2"/>
            <w:vMerge/>
            <w:tcBorders>
              <w:left w:val="single" w:sz="4" w:space="0" w:color="000000"/>
              <w:bottom w:val="single" w:sz="4" w:space="0" w:color="000000"/>
              <w:right w:val="single" w:sz="4" w:space="0" w:color="000000"/>
            </w:tcBorders>
            <w:shd w:val="clear" w:color="auto" w:fill="D2D2D2"/>
          </w:tcPr>
          <w:p>
            <w:pPr/>
          </w:p>
        </w:tc>
        <w:tc>
          <w:tcPr>
            <w:tcW w:w="1649"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1548" w:type="dxa"/>
            <w:gridSpan w:val="2"/>
            <w:vMerge/>
            <w:tcBorders>
              <w:left w:val="single" w:sz="4" w:space="0" w:color="000000"/>
              <w:bottom w:val="single" w:sz="4" w:space="0" w:color="000000"/>
              <w:right w:val="single" w:sz="4" w:space="0" w:color="000000"/>
            </w:tcBorders>
            <w:shd w:val="clear" w:color="auto" w:fill="D2D2D2"/>
          </w:tcPr>
          <w:p>
            <w:pPr/>
          </w:p>
        </w:tc>
      </w:tr>
      <w:tr>
        <w:trPr>
          <w:trHeight w:val="159" w:hRule="exact"/>
        </w:trPr>
        <w:tc>
          <w:tcPr>
            <w:tcW w:w="1931" w:type="dxa"/>
            <w:vMerge/>
            <w:tcBorders>
              <w:left w:val="single" w:sz="4" w:space="0" w:color="000000"/>
              <w:bottom w:val="single" w:sz="5" w:space="0" w:color="FFFFFF"/>
              <w:right w:val="single" w:sz="4" w:space="0" w:color="000000"/>
            </w:tcBorders>
            <w:shd w:val="clear" w:color="auto" w:fill="D2D2D2"/>
          </w:tcPr>
          <w:p>
            <w:pPr/>
          </w:p>
        </w:tc>
        <w:tc>
          <w:tcPr>
            <w:tcW w:w="1290" w:type="dxa"/>
            <w:tcBorders>
              <w:top w:val="single" w:sz="4" w:space="0" w:color="000000"/>
              <w:left w:val="single" w:sz="4" w:space="0" w:color="000000"/>
              <w:bottom w:val="single" w:sz="5" w:space="0" w:color="FFFFFF"/>
              <w:right w:val="single" w:sz="4" w:space="0" w:color="000000"/>
            </w:tcBorders>
            <w:shd w:val="clear" w:color="auto" w:fill="D2D2D2"/>
          </w:tcPr>
          <w:p>
            <w:pP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76"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46" w:right="0"/>
              <w:jc w:val="left"/>
              <w:rPr>
                <w:rFonts w:ascii="Calibri" w:hAnsi="Calibri" w:cs="Calibri" w:eastAsia="Calibri" w:hint="default"/>
                <w:sz w:val="21"/>
                <w:szCs w:val="21"/>
              </w:rPr>
            </w:pPr>
            <w:r>
              <w:rPr>
                <w:rFonts w:ascii="Calibri"/>
                <w:b/>
                <w:sz w:val="21"/>
              </w:rPr>
              <w:t>(%)</w:t>
            </w:r>
            <w:r>
              <w:rPr>
                <w:rFonts w:ascii="Calibri"/>
                <w:sz w:val="21"/>
              </w:rPr>
            </w:r>
          </w:p>
        </w:tc>
        <w:tc>
          <w:tcPr>
            <w:tcW w:w="1162" w:type="dxa"/>
            <w:tcBorders>
              <w:top w:val="single" w:sz="4" w:space="0" w:color="000000"/>
              <w:left w:val="single" w:sz="4" w:space="0" w:color="000000"/>
              <w:bottom w:val="nil" w:sz="6" w:space="0" w:color="auto"/>
              <w:right w:val="single" w:sz="4" w:space="0" w:color="000000"/>
            </w:tcBorders>
            <w:shd w:val="clear" w:color="auto" w:fill="D2D2D2"/>
          </w:tcPr>
          <w:p>
            <w:pPr/>
          </w:p>
        </w:tc>
        <w:tc>
          <w:tcPr>
            <w:tcW w:w="487"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28"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98" w:right="0"/>
              <w:jc w:val="left"/>
              <w:rPr>
                <w:rFonts w:ascii="Calibri" w:hAnsi="Calibri" w:cs="Calibri" w:eastAsia="Calibri" w:hint="default"/>
                <w:sz w:val="21"/>
                <w:szCs w:val="21"/>
              </w:rPr>
            </w:pPr>
            <w:r>
              <w:rPr>
                <w:rFonts w:ascii="Calibri"/>
                <w:b/>
                <w:sz w:val="21"/>
              </w:rPr>
              <w:t>(%)</w:t>
            </w:r>
            <w:r>
              <w:rPr>
                <w:rFonts w:ascii="Calibri"/>
                <w:sz w:val="21"/>
              </w:rPr>
            </w: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74"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43" w:right="0"/>
              <w:jc w:val="left"/>
              <w:rPr>
                <w:rFonts w:ascii="Calibri" w:hAnsi="Calibri" w:cs="Calibri" w:eastAsia="Calibri" w:hint="default"/>
                <w:sz w:val="21"/>
                <w:szCs w:val="21"/>
              </w:rPr>
            </w:pPr>
            <w:r>
              <w:rPr>
                <w:rFonts w:ascii="Calibri"/>
                <w:b/>
                <w:sz w:val="21"/>
              </w:rPr>
              <w:t>(%)</w:t>
            </w:r>
            <w:r>
              <w:rPr>
                <w:rFonts w:ascii="Calibri"/>
                <w:sz w:val="21"/>
              </w:rPr>
            </w: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487" w:type="dxa"/>
            <w:vMerge w:val="restart"/>
            <w:tcBorders>
              <w:top w:val="single" w:sz="4" w:space="0" w:color="000000"/>
              <w:left w:val="single" w:sz="4" w:space="0" w:color="000000"/>
              <w:right w:val="single" w:sz="4" w:space="0" w:color="000000"/>
            </w:tcBorders>
            <w:shd w:val="clear" w:color="auto" w:fill="D2D2D2"/>
          </w:tcPr>
          <w:p>
            <w:pPr>
              <w:pStyle w:val="TableParagraph"/>
              <w:spacing w:line="264" w:lineRule="exact"/>
              <w:ind w:left="26"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95" w:right="0"/>
              <w:jc w:val="left"/>
              <w:rPr>
                <w:rFonts w:ascii="Calibri" w:hAnsi="Calibri" w:cs="Calibri" w:eastAsia="Calibri" w:hint="default"/>
                <w:sz w:val="21"/>
                <w:szCs w:val="21"/>
              </w:rPr>
            </w:pPr>
            <w:r>
              <w:rPr>
                <w:rFonts w:ascii="Calibri"/>
                <w:b/>
                <w:sz w:val="21"/>
              </w:rPr>
              <w:t>(%)</w:t>
            </w:r>
            <w:r>
              <w:rPr>
                <w:rFonts w:ascii="Calibri"/>
                <w:sz w:val="21"/>
              </w:rPr>
            </w:r>
          </w:p>
        </w:tc>
      </w:tr>
      <w:tr>
        <w:trPr>
          <w:trHeight w:val="313" w:hRule="exact"/>
        </w:trPr>
        <w:tc>
          <w:tcPr>
            <w:tcW w:w="1931" w:type="dxa"/>
            <w:vMerge w:val="restart"/>
            <w:tcBorders>
              <w:top w:val="single" w:sz="5" w:space="0" w:color="FFFFFF"/>
              <w:left w:val="single" w:sz="4" w:space="0" w:color="000000"/>
              <w:right w:val="single" w:sz="4" w:space="0" w:color="000000"/>
            </w:tcBorders>
            <w:shd w:val="clear" w:color="auto" w:fill="D2D2D2"/>
          </w:tcPr>
          <w:p>
            <w:pPr/>
          </w:p>
        </w:tc>
        <w:tc>
          <w:tcPr>
            <w:tcW w:w="1290" w:type="dxa"/>
            <w:tcBorders>
              <w:top w:val="single" w:sz="5" w:space="0" w:color="FFFFFF"/>
              <w:left w:val="single" w:sz="4" w:space="0" w:color="000000"/>
              <w:bottom w:val="nil" w:sz="6" w:space="0" w:color="auto"/>
              <w:right w:val="single" w:sz="4" w:space="0" w:color="000000"/>
            </w:tcBorders>
            <w:shd w:val="clear" w:color="auto" w:fill="D2D2D2"/>
          </w:tcPr>
          <w:p>
            <w:pPr>
              <w:pStyle w:val="TableParagraph"/>
              <w:spacing w:line="259" w:lineRule="exact"/>
              <w:ind w:left="433"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583" w:type="dxa"/>
            <w:vMerge/>
            <w:tcBorders>
              <w:left w:val="single" w:sz="4" w:space="0" w:color="000000"/>
              <w:right w:val="single" w:sz="4" w:space="0" w:color="000000"/>
            </w:tcBorders>
            <w:shd w:val="clear" w:color="auto" w:fill="D2D2D2"/>
          </w:tcPr>
          <w:p>
            <w:pPr/>
          </w:p>
        </w:tc>
        <w:tc>
          <w:tcPr>
            <w:tcW w:w="11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4" w:lineRule="exact"/>
              <w:ind w:left="364"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487" w:type="dxa"/>
            <w:vMerge/>
            <w:tcBorders>
              <w:left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3" w:lineRule="exact"/>
              <w:ind w:right="5"/>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584" w:type="dxa"/>
            <w:vMerge/>
            <w:tcBorders>
              <w:left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3" w:lineRule="exact"/>
              <w:ind w:right="2"/>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487" w:type="dxa"/>
            <w:vMerge/>
            <w:tcBorders>
              <w:left w:val="single" w:sz="4" w:space="0" w:color="000000"/>
              <w:right w:val="single" w:sz="4" w:space="0" w:color="000000"/>
            </w:tcBorders>
            <w:shd w:val="clear" w:color="auto" w:fill="D2D2D2"/>
          </w:tcPr>
          <w:p>
            <w:pPr/>
          </w:p>
        </w:tc>
      </w:tr>
      <w:tr>
        <w:trPr>
          <w:trHeight w:val="161" w:hRule="exact"/>
        </w:trPr>
        <w:tc>
          <w:tcPr>
            <w:tcW w:w="1931" w:type="dxa"/>
            <w:vMerge/>
            <w:tcBorders>
              <w:left w:val="single" w:sz="4" w:space="0" w:color="000000"/>
              <w:bottom w:val="single" w:sz="4" w:space="0" w:color="000000"/>
              <w:right w:val="single" w:sz="4" w:space="0" w:color="000000"/>
            </w:tcBorders>
            <w:shd w:val="clear" w:color="auto" w:fill="D2D2D2"/>
          </w:tcPr>
          <w:p>
            <w:pPr/>
          </w:p>
        </w:tc>
        <w:tc>
          <w:tcPr>
            <w:tcW w:w="12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1162" w:type="dxa"/>
            <w:tcBorders>
              <w:top w:val="nil" w:sz="6" w:space="0" w:color="auto"/>
              <w:left w:val="single" w:sz="4" w:space="0" w:color="000000"/>
              <w:bottom w:val="single" w:sz="4" w:space="0" w:color="000000"/>
              <w:right w:val="single" w:sz="4" w:space="0" w:color="000000"/>
            </w:tcBorders>
            <w:shd w:val="clear" w:color="auto" w:fill="D2D2D2"/>
          </w:tcPr>
          <w:p>
            <w:pPr/>
          </w:p>
        </w:tc>
        <w:tc>
          <w:tcPr>
            <w:tcW w:w="48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487" w:type="dxa"/>
            <w:vMerge/>
            <w:tcBorders>
              <w:left w:val="single" w:sz="4" w:space="0" w:color="000000"/>
              <w:bottom w:val="single" w:sz="4" w:space="0" w:color="000000"/>
              <w:right w:val="single" w:sz="4" w:space="0" w:color="000000"/>
            </w:tcBorders>
            <w:shd w:val="clear" w:color="auto" w:fill="D2D2D2"/>
          </w:tcPr>
          <w:p>
            <w:pPr/>
          </w:p>
        </w:tc>
      </w:tr>
      <w:tr>
        <w:trPr>
          <w:trHeight w:val="946"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213"/>
              <w:jc w:val="both"/>
              <w:rPr>
                <w:rFonts w:ascii="宋体" w:hAnsi="宋体" w:cs="宋体" w:eastAsia="宋体" w:hint="default"/>
                <w:sz w:val="21"/>
                <w:szCs w:val="21"/>
              </w:rPr>
            </w:pPr>
            <w:r>
              <w:rPr>
                <w:rFonts w:ascii="宋体" w:hAnsi="宋体" w:cs="宋体" w:eastAsia="宋体" w:hint="default"/>
                <w:sz w:val="21"/>
                <w:szCs w:val="21"/>
              </w:rPr>
              <w:t>单项金额重大并单</w:t>
            </w:r>
            <w:r>
              <w:rPr>
                <w:rFonts w:ascii="宋体" w:hAnsi="宋体" w:cs="宋体" w:eastAsia="宋体" w:hint="default"/>
                <w:w w:val="100"/>
                <w:sz w:val="21"/>
                <w:szCs w:val="21"/>
              </w:rPr>
              <w:t> </w:t>
            </w:r>
            <w:r>
              <w:rPr>
                <w:rFonts w:ascii="宋体" w:hAnsi="宋体" w:cs="宋体" w:eastAsia="宋体" w:hint="default"/>
                <w:sz w:val="21"/>
                <w:szCs w:val="21"/>
              </w:rPr>
              <w:t>项计提坏账准备的</w:t>
            </w:r>
            <w:r>
              <w:rPr>
                <w:rFonts w:ascii="宋体" w:hAnsi="宋体" w:cs="宋体" w:eastAsia="宋体" w:hint="default"/>
                <w:w w:val="100"/>
                <w:sz w:val="21"/>
                <w:szCs w:val="21"/>
              </w:rPr>
              <w:t> </w:t>
            </w:r>
            <w:r>
              <w:rPr>
                <w:rFonts w:ascii="宋体" w:hAnsi="宋体" w:cs="宋体" w:eastAsia="宋体" w:hint="default"/>
                <w:sz w:val="21"/>
                <w:szCs w:val="21"/>
              </w:rPr>
              <w:t>其他应收款</w:t>
            </w:r>
          </w:p>
        </w:tc>
        <w:tc>
          <w:tcPr>
            <w:tcW w:w="1290" w:type="dxa"/>
            <w:tcBorders>
              <w:top w:val="single" w:sz="4" w:space="0" w:color="000000"/>
              <w:left w:val="single" w:sz="12" w:space="0" w:color="D2D2D2"/>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875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r>
      <w:tr>
        <w:trPr>
          <w:trHeight w:val="322" w:hRule="exact"/>
        </w:trPr>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账龄组合</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
              <w:jc w:val="right"/>
              <w:rPr>
                <w:rFonts w:ascii="Arial Narrow" w:hAnsi="Arial Narrow" w:cs="Arial Narrow" w:eastAsia="Arial Narrow" w:hint="default"/>
                <w:sz w:val="21"/>
                <w:szCs w:val="21"/>
              </w:rPr>
            </w:pPr>
            <w:r>
              <w:rPr>
                <w:rFonts w:ascii="Arial Narrow"/>
                <w:spacing w:val="-1"/>
                <w:sz w:val="21"/>
              </w:rPr>
              <w:t>25,915,372.72</w:t>
            </w:r>
            <w:r>
              <w:rPr>
                <w:rFonts w:ascii="Arial Narrow"/>
                <w:sz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6" w:right="0"/>
              <w:jc w:val="left"/>
              <w:rPr>
                <w:rFonts w:ascii="Arial Narrow" w:hAnsi="Arial Narrow" w:cs="Arial Narrow" w:eastAsia="Arial Narrow" w:hint="default"/>
                <w:sz w:val="21"/>
                <w:szCs w:val="21"/>
              </w:rPr>
            </w:pPr>
            <w:r>
              <w:rPr>
                <w:rFonts w:ascii="Arial Narrow"/>
                <w:sz w:val="21"/>
              </w:rPr>
              <w:t>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8,276,192.62</w:t>
            </w:r>
            <w:r>
              <w:rPr>
                <w:rFonts w:ascii="Arial Narrow"/>
                <w:sz w:val="21"/>
              </w:rPr>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Arial Narrow" w:hAnsi="Arial Narrow" w:cs="Arial Narrow" w:eastAsia="Arial Narrow" w:hint="default"/>
                <w:sz w:val="21"/>
                <w:szCs w:val="21"/>
              </w:rPr>
            </w:pPr>
            <w:r>
              <w:rPr>
                <w:rFonts w:ascii="Arial Narrow"/>
                <w:sz w:val="21"/>
              </w:rPr>
              <w:t>31.94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 w:right="0"/>
              <w:jc w:val="center"/>
              <w:rPr>
                <w:rFonts w:ascii="Arial Narrow" w:hAnsi="Arial Narrow" w:cs="Arial Narrow" w:eastAsia="Arial Narrow" w:hint="default"/>
                <w:sz w:val="21"/>
                <w:szCs w:val="21"/>
              </w:rPr>
            </w:pPr>
            <w:r>
              <w:rPr>
                <w:rFonts w:ascii="Arial Narrow"/>
                <w:sz w:val="21"/>
              </w:rPr>
              <w:t>21,893,788.39</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3" w:right="0"/>
              <w:jc w:val="left"/>
              <w:rPr>
                <w:rFonts w:ascii="Arial Narrow" w:hAnsi="Arial Narrow" w:cs="Arial Narrow" w:eastAsia="Arial Narrow" w:hint="default"/>
                <w:sz w:val="21"/>
                <w:szCs w:val="21"/>
              </w:rPr>
            </w:pPr>
            <w:r>
              <w:rPr>
                <w:rFonts w:ascii="Arial Narrow"/>
                <w:sz w:val="21"/>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Arial Narrow" w:hAnsi="Arial Narrow" w:cs="Arial Narrow" w:eastAsia="Arial Narrow" w:hint="default"/>
                <w:sz w:val="21"/>
                <w:szCs w:val="21"/>
              </w:rPr>
            </w:pPr>
            <w:r>
              <w:rPr>
                <w:rFonts w:ascii="Arial Narrow"/>
                <w:sz w:val="21"/>
              </w:rPr>
              <w:t>5,675,385.60</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21" w:right="0"/>
              <w:jc w:val="left"/>
              <w:rPr>
                <w:rFonts w:ascii="Arial Narrow" w:hAnsi="Arial Narrow" w:cs="Arial Narrow" w:eastAsia="Arial Narrow" w:hint="default"/>
                <w:sz w:val="21"/>
                <w:szCs w:val="21"/>
              </w:rPr>
            </w:pPr>
            <w:r>
              <w:rPr>
                <w:rFonts w:ascii="Arial Narrow"/>
                <w:sz w:val="21"/>
              </w:rPr>
              <w:t>25.92</w:t>
            </w:r>
          </w:p>
        </w:tc>
      </w:tr>
      <w:tr>
        <w:trPr>
          <w:trHeight w:val="322"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25,915,372.72</w:t>
            </w:r>
            <w:r>
              <w:rPr>
                <w:rFonts w:ascii="Arial Narrow"/>
                <w:sz w:val="21"/>
              </w:rPr>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6" w:right="0"/>
              <w:jc w:val="left"/>
              <w:rPr>
                <w:rFonts w:ascii="Arial Narrow" w:hAnsi="Arial Narrow" w:cs="Arial Narrow" w:eastAsia="Arial Narrow" w:hint="default"/>
                <w:sz w:val="21"/>
                <w:szCs w:val="21"/>
              </w:rPr>
            </w:pPr>
            <w:r>
              <w:rPr>
                <w:rFonts w:ascii="Arial Narrow"/>
                <w:sz w:val="21"/>
              </w:rPr>
              <w:t>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8,276,192.62</w:t>
            </w:r>
            <w:r>
              <w:rPr>
                <w:rFonts w:ascii="Arial Narrow"/>
                <w:sz w:val="21"/>
              </w:rPr>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Arial Narrow" w:hAnsi="Arial Narrow" w:cs="Arial Narrow" w:eastAsia="Arial Narrow" w:hint="default"/>
                <w:sz w:val="21"/>
                <w:szCs w:val="21"/>
              </w:rPr>
            </w:pPr>
            <w:r>
              <w:rPr>
                <w:rFonts w:ascii="Arial Narrow"/>
                <w:sz w:val="21"/>
              </w:rPr>
              <w:t>31.94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 w:right="0"/>
              <w:jc w:val="center"/>
              <w:rPr>
                <w:rFonts w:ascii="Arial Narrow" w:hAnsi="Arial Narrow" w:cs="Arial Narrow" w:eastAsia="Arial Narrow" w:hint="default"/>
                <w:sz w:val="21"/>
                <w:szCs w:val="21"/>
              </w:rPr>
            </w:pPr>
            <w:r>
              <w:rPr>
                <w:rFonts w:ascii="Arial Narrow"/>
                <w:sz w:val="21"/>
              </w:rPr>
              <w:t>21,893,788.39</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3" w:right="0"/>
              <w:jc w:val="left"/>
              <w:rPr>
                <w:rFonts w:ascii="Arial Narrow" w:hAnsi="Arial Narrow" w:cs="Arial Narrow" w:eastAsia="Arial Narrow" w:hint="default"/>
                <w:sz w:val="21"/>
                <w:szCs w:val="21"/>
              </w:rPr>
            </w:pPr>
            <w:r>
              <w:rPr>
                <w:rFonts w:ascii="Arial Narrow"/>
                <w:sz w:val="21"/>
              </w:rPr>
              <w:t>100.00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5,675,385.60</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21" w:right="0"/>
              <w:jc w:val="left"/>
              <w:rPr>
                <w:rFonts w:ascii="Arial Narrow" w:hAnsi="Arial Narrow" w:cs="Arial Narrow" w:eastAsia="Arial Narrow" w:hint="default"/>
                <w:sz w:val="21"/>
                <w:szCs w:val="21"/>
              </w:rPr>
            </w:pPr>
            <w:r>
              <w:rPr>
                <w:rFonts w:ascii="Arial Narrow"/>
                <w:sz w:val="21"/>
              </w:rPr>
              <w:t>25.92</w:t>
            </w:r>
          </w:p>
        </w:tc>
      </w:tr>
      <w:tr>
        <w:trPr>
          <w:trHeight w:val="946"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23" w:right="213"/>
              <w:jc w:val="both"/>
              <w:rPr>
                <w:rFonts w:ascii="宋体" w:hAnsi="宋体" w:cs="宋体" w:eastAsia="宋体" w:hint="default"/>
                <w:sz w:val="21"/>
                <w:szCs w:val="21"/>
              </w:rPr>
            </w:pPr>
            <w:r>
              <w:rPr>
                <w:rFonts w:ascii="宋体" w:hAnsi="宋体" w:cs="宋体" w:eastAsia="宋体" w:hint="default"/>
                <w:sz w:val="21"/>
                <w:szCs w:val="21"/>
              </w:rPr>
              <w:t>单项金额虽不重大</w:t>
            </w:r>
            <w:r>
              <w:rPr>
                <w:rFonts w:ascii="宋体" w:hAnsi="宋体" w:cs="宋体" w:eastAsia="宋体" w:hint="default"/>
                <w:w w:val="100"/>
                <w:sz w:val="21"/>
                <w:szCs w:val="21"/>
              </w:rPr>
              <w:t> </w:t>
            </w:r>
            <w:r>
              <w:rPr>
                <w:rFonts w:ascii="宋体" w:hAnsi="宋体" w:cs="宋体" w:eastAsia="宋体" w:hint="default"/>
                <w:sz w:val="21"/>
                <w:szCs w:val="21"/>
              </w:rPr>
              <w:t>但单项计提坏账准</w:t>
            </w:r>
            <w:r>
              <w:rPr>
                <w:rFonts w:ascii="宋体" w:hAnsi="宋体" w:cs="宋体" w:eastAsia="宋体" w:hint="default"/>
                <w:w w:val="100"/>
                <w:sz w:val="21"/>
                <w:szCs w:val="21"/>
              </w:rPr>
              <w:t> </w:t>
            </w:r>
            <w:r>
              <w:rPr>
                <w:rFonts w:ascii="宋体" w:hAnsi="宋体" w:cs="宋体" w:eastAsia="宋体" w:hint="default"/>
                <w:sz w:val="21"/>
                <w:szCs w:val="21"/>
              </w:rPr>
              <w:t>备的其他应收款</w:t>
            </w:r>
          </w:p>
        </w:tc>
        <w:tc>
          <w:tcPr>
            <w:tcW w:w="1290"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r>
      <w:tr>
        <w:trPr>
          <w:trHeight w:val="324"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17"/>
              <w:jc w:val="right"/>
              <w:rPr>
                <w:rFonts w:ascii="Arial Narrow" w:hAnsi="Arial Narrow" w:cs="Arial Narrow" w:eastAsia="Arial Narrow" w:hint="default"/>
                <w:sz w:val="21"/>
                <w:szCs w:val="21"/>
              </w:rPr>
            </w:pPr>
            <w:r>
              <w:rPr>
                <w:rFonts w:ascii="Arial Narrow"/>
                <w:spacing w:val="-1"/>
                <w:sz w:val="21"/>
              </w:rPr>
              <w:t>25,915,372.72</w:t>
            </w:r>
            <w:r>
              <w:rPr>
                <w:rFonts w:ascii="Arial Narrow"/>
                <w:sz w:val="21"/>
              </w:rPr>
            </w:r>
          </w:p>
        </w:tc>
        <w:tc>
          <w:tcPr>
            <w:tcW w:w="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4" w:right="0"/>
              <w:jc w:val="left"/>
              <w:rPr>
                <w:rFonts w:ascii="Calibri" w:hAnsi="Calibri" w:cs="Calibri" w:eastAsia="Calibri" w:hint="default"/>
                <w:sz w:val="21"/>
                <w:szCs w:val="21"/>
              </w:rPr>
            </w:pPr>
            <w:r>
              <w:rPr>
                <w:rFonts w:ascii="Calibri"/>
                <w:sz w:val="21"/>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8,276,192.62</w:t>
            </w:r>
            <w:r>
              <w:rPr>
                <w:rFonts w:ascii="Arial Narrow"/>
                <w:sz w:val="21"/>
              </w:rPr>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3" w:right="0"/>
              <w:jc w:val="left"/>
              <w:rPr>
                <w:rFonts w:ascii="Calibri" w:hAnsi="Calibri" w:cs="Calibri" w:eastAsia="Calibri" w:hint="default"/>
                <w:sz w:val="21"/>
                <w:szCs w:val="21"/>
              </w:rPr>
            </w:pPr>
            <w:r>
              <w:rPr>
                <w:rFonts w:ascii="Calibri"/>
                <w:sz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left="1" w:right="0"/>
              <w:jc w:val="center"/>
              <w:rPr>
                <w:rFonts w:ascii="Arial Narrow" w:hAnsi="Arial Narrow" w:cs="Arial Narrow" w:eastAsia="Arial Narrow" w:hint="default"/>
                <w:sz w:val="21"/>
                <w:szCs w:val="21"/>
              </w:rPr>
            </w:pPr>
            <w:r>
              <w:rPr>
                <w:rFonts w:ascii="Arial Narrow"/>
                <w:sz w:val="21"/>
              </w:rPr>
              <w:t>21,893,788.39</w:t>
            </w:r>
          </w:p>
        </w:tc>
        <w:tc>
          <w:tcPr>
            <w:tcW w:w="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1" w:right="0"/>
              <w:jc w:val="left"/>
              <w:rPr>
                <w:rFonts w:ascii="Calibri" w:hAnsi="Calibri" w:cs="Calibri" w:eastAsia="Calibri" w:hint="default"/>
                <w:sz w:val="21"/>
                <w:szCs w:val="21"/>
              </w:rPr>
            </w:pPr>
            <w:r>
              <w:rPr>
                <w:rFonts w:ascii="Calibri"/>
                <w:sz w:val="21"/>
              </w:rPr>
              <w:t>--</w:t>
            </w:r>
          </w:p>
        </w:tc>
        <w:tc>
          <w:tcPr>
            <w:tcW w:w="10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6"/>
              <w:ind w:right="10"/>
              <w:jc w:val="center"/>
              <w:rPr>
                <w:rFonts w:ascii="Arial Narrow" w:hAnsi="Arial Narrow" w:cs="Arial Narrow" w:eastAsia="Arial Narrow" w:hint="default"/>
                <w:sz w:val="21"/>
                <w:szCs w:val="21"/>
              </w:rPr>
            </w:pPr>
            <w:r>
              <w:rPr>
                <w:rFonts w:ascii="Arial Narrow"/>
                <w:sz w:val="21"/>
              </w:rPr>
              <w:t>5,675,385.60</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21" w:right="0"/>
              <w:jc w:val="left"/>
              <w:rPr>
                <w:rFonts w:ascii="Calibri" w:hAnsi="Calibri" w:cs="Calibri" w:eastAsia="Calibri" w:hint="default"/>
                <w:sz w:val="21"/>
                <w:szCs w:val="21"/>
              </w:rPr>
            </w:pPr>
            <w:r>
              <w:rPr>
                <w:rFonts w:ascii="Calibri"/>
                <w:sz w:val="21"/>
              </w:rPr>
              <w:t>--</w:t>
            </w:r>
          </w:p>
        </w:tc>
      </w:tr>
    </w:tbl>
    <w:p>
      <w:pPr>
        <w:spacing w:after="0" w:line="240" w:lineRule="auto"/>
        <w:jc w:val="left"/>
        <w:rPr>
          <w:rFonts w:ascii="Calibri" w:hAnsi="Calibri" w:cs="Calibri" w:eastAsia="Calibri" w:hint="default"/>
          <w:sz w:val="21"/>
          <w:szCs w:val="21"/>
        </w:rPr>
        <w:sectPr>
          <w:pgSz w:w="11910" w:h="16840"/>
          <w:pgMar w:header="0" w:footer="1007" w:top="1160" w:bottom="1200" w:left="1240" w:right="1260"/>
        </w:sectPr>
      </w:pPr>
    </w:p>
    <w:p>
      <w:pPr>
        <w:spacing w:line="273" w:lineRule="auto"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其他应收款种类的说明：无</w:t>
      </w:r>
      <w:r>
        <w:rPr>
          <w:rFonts w:ascii="宋体" w:hAnsi="宋体" w:cs="宋体" w:eastAsia="宋体" w:hint="default"/>
          <w:w w:val="100"/>
          <w:sz w:val="21"/>
          <w:szCs w:val="21"/>
        </w:rPr>
        <w:t> </w:t>
      </w:r>
      <w:r>
        <w:rPr>
          <w:rFonts w:ascii="宋体" w:hAnsi="宋体" w:cs="宋体" w:eastAsia="宋体" w:hint="default"/>
          <w:spacing w:val="-2"/>
          <w:sz w:val="21"/>
          <w:szCs w:val="21"/>
        </w:rPr>
        <w:t>期末单项金额重大并单项计提坏账准备的其他应收款</w:t>
      </w:r>
    </w:p>
    <w:p>
      <w:pPr>
        <w:tabs>
          <w:tab w:pos="1421" w:val="left" w:leader="none"/>
        </w:tabs>
        <w:spacing w:line="247" w:lineRule="auto" w:before="7"/>
        <w:ind w:left="558" w:right="0"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9"/>
          <w:sz w:val="21"/>
          <w:szCs w:val="21"/>
        </w:rPr>
        <w:t> </w:t>
      </w:r>
      <w:r>
        <w:rPr>
          <w:rFonts w:ascii="宋体" w:hAnsi="宋体" w:cs="宋体" w:eastAsia="宋体" w:hint="default"/>
          <w:sz w:val="21"/>
          <w:szCs w:val="21"/>
        </w:rPr>
        <w:t>适用</w:t>
        <w:tab/>
      </w:r>
      <w:r>
        <w:rPr>
          <w:rFonts w:ascii="Calibri" w:hAnsi="Calibri" w:cs="Calibri" w:eastAsia="Calibri"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pacing w:val="-2"/>
          <w:sz w:val="21"/>
          <w:szCs w:val="21"/>
        </w:rPr>
        <w:t>组合中，采用账龄分析法计提坏账准备的其他应收款</w:t>
      </w:r>
    </w:p>
    <w:p>
      <w:pPr>
        <w:tabs>
          <w:tab w:pos="874" w:val="left" w:leader="none"/>
        </w:tabs>
        <w:spacing w:before="31"/>
        <w:ind w:left="558" w:right="0" w:firstLine="0"/>
        <w:jc w:val="left"/>
        <w:rPr>
          <w:rFonts w:ascii="宋体" w:hAnsi="宋体" w:cs="宋体" w:eastAsia="宋体" w:hint="default"/>
          <w:sz w:val="21"/>
          <w:szCs w:val="21"/>
        </w:rPr>
      </w:pPr>
      <w:r>
        <w:rPr>
          <w:rFonts w:ascii="Calibri" w:hAnsi="Calibri" w:cs="Calibri" w:eastAsia="Calibri" w:hint="default"/>
          <w:sz w:val="21"/>
          <w:szCs w:val="21"/>
        </w:rPr>
        <w:t>√</w:t>
        <w:tab/>
      </w:r>
      <w:r>
        <w:rPr>
          <w:rFonts w:ascii="宋体" w:hAnsi="宋体" w:cs="宋体" w:eastAsia="宋体" w:hint="default"/>
          <w:sz w:val="21"/>
          <w:szCs w:val="21"/>
        </w:rPr>
        <w:t>适用 </w:t>
      </w:r>
      <w:r>
        <w:rPr>
          <w:rFonts w:ascii="Arial" w:hAnsi="Arial" w:cs="Arial" w:eastAsia="Arial" w:hint="default"/>
          <w:sz w:val="21"/>
          <w:szCs w:val="21"/>
        </w:rPr>
        <w:t>□</w:t>
      </w:r>
      <w:r>
        <w:rPr>
          <w:rFonts w:ascii="Arial" w:hAnsi="Arial" w:cs="Arial" w:eastAsia="Arial" w:hint="default"/>
          <w:spacing w:val="45"/>
          <w:sz w:val="21"/>
          <w:szCs w:val="21"/>
        </w:rPr>
        <w:t> </w:t>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440" w:bottom="280" w:left="1240" w:right="1260"/>
          <w:cols w:num="2" w:equalWidth="0">
            <w:col w:w="5393" w:space="2353"/>
            <w:col w:w="1664"/>
          </w:cols>
        </w:sectPr>
      </w:pP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159"/>
        <w:gridCol w:w="1640"/>
        <w:gridCol w:w="607"/>
        <w:gridCol w:w="1457"/>
        <w:gridCol w:w="1702"/>
        <w:gridCol w:w="608"/>
        <w:gridCol w:w="1577"/>
      </w:tblGrid>
      <w:tr>
        <w:trPr>
          <w:trHeight w:val="322" w:hRule="exact"/>
        </w:trPr>
        <w:tc>
          <w:tcPr>
            <w:tcW w:w="11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b/>
                <w:bCs/>
                <w:sz w:val="21"/>
                <w:szCs w:val="21"/>
              </w:rPr>
              <w:t>账龄</w:t>
            </w:r>
            <w:r>
              <w:rPr>
                <w:rFonts w:ascii="宋体" w:hAnsi="宋体" w:cs="宋体" w:eastAsia="宋体" w:hint="default"/>
                <w:sz w:val="21"/>
                <w:szCs w:val="21"/>
              </w:rPr>
            </w:r>
          </w:p>
        </w:tc>
        <w:tc>
          <w:tcPr>
            <w:tcW w:w="370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8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322" w:hRule="exact"/>
        </w:trPr>
        <w:tc>
          <w:tcPr>
            <w:tcW w:w="1159" w:type="dxa"/>
            <w:vMerge/>
            <w:tcBorders>
              <w:left w:val="single" w:sz="4" w:space="0" w:color="000000"/>
              <w:right w:val="single" w:sz="4" w:space="0" w:color="000000"/>
            </w:tcBorders>
            <w:shd w:val="clear" w:color="auto" w:fill="D2D2D2"/>
          </w:tcPr>
          <w:p>
            <w:pPr/>
          </w:p>
        </w:tc>
        <w:tc>
          <w:tcPr>
            <w:tcW w:w="22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9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c>
          <w:tcPr>
            <w:tcW w:w="23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729"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634" w:hRule="exact"/>
        </w:trPr>
        <w:tc>
          <w:tcPr>
            <w:tcW w:w="1159" w:type="dxa"/>
            <w:vMerge/>
            <w:tcBorders>
              <w:left w:val="single" w:sz="4" w:space="0" w:color="000000"/>
              <w:bottom w:val="single" w:sz="4" w:space="0" w:color="000000"/>
              <w:right w:val="single" w:sz="4" w:space="0" w:color="000000"/>
            </w:tcBorders>
            <w:shd w:val="clear" w:color="auto" w:fill="D2D2D2"/>
          </w:tcPr>
          <w:p>
            <w:pP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1"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8"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58" w:right="0"/>
              <w:jc w:val="left"/>
              <w:rPr>
                <w:rFonts w:ascii="Calibri" w:hAnsi="Calibri" w:cs="Calibri" w:eastAsia="Calibri" w:hint="default"/>
                <w:sz w:val="21"/>
                <w:szCs w:val="21"/>
              </w:rPr>
            </w:pPr>
            <w:r>
              <w:rPr>
                <w:rFonts w:ascii="Calibri"/>
                <w:b/>
                <w:sz w:val="21"/>
              </w:rPr>
              <w:t>(%)</w:t>
            </w:r>
            <w:r>
              <w:rPr>
                <w:rFonts w:ascii="Calibri"/>
                <w:sz w:val="21"/>
              </w:rPr>
            </w:r>
          </w:p>
        </w:tc>
        <w:tc>
          <w:tcPr>
            <w:tcW w:w="1457"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6" w:right="0"/>
              <w:jc w:val="left"/>
              <w:rPr>
                <w:rFonts w:ascii="宋体" w:hAnsi="宋体" w:cs="宋体" w:eastAsia="宋体" w:hint="default"/>
                <w:sz w:val="21"/>
                <w:szCs w:val="21"/>
              </w:rPr>
            </w:pPr>
            <w:r>
              <w:rPr>
                <w:rFonts w:ascii="宋体" w:hAnsi="宋体" w:cs="宋体" w:eastAsia="宋体" w:hint="default"/>
                <w:b/>
                <w:bCs/>
                <w:sz w:val="21"/>
                <w:szCs w:val="21"/>
              </w:rPr>
              <w:t>比例</w:t>
            </w:r>
            <w:r>
              <w:rPr>
                <w:rFonts w:ascii="宋体" w:hAnsi="宋体" w:cs="宋体" w:eastAsia="宋体" w:hint="default"/>
                <w:sz w:val="21"/>
                <w:szCs w:val="21"/>
              </w:rPr>
            </w:r>
          </w:p>
          <w:p>
            <w:pPr>
              <w:pStyle w:val="TableParagraph"/>
              <w:spacing w:line="240" w:lineRule="auto" w:before="77"/>
              <w:ind w:left="156" w:right="0"/>
              <w:jc w:val="left"/>
              <w:rPr>
                <w:rFonts w:ascii="Calibri" w:hAnsi="Calibri" w:cs="Calibri" w:eastAsia="Calibri" w:hint="default"/>
                <w:sz w:val="21"/>
                <w:szCs w:val="21"/>
              </w:rPr>
            </w:pPr>
            <w:r>
              <w:rPr>
                <w:rFonts w:ascii="Calibri"/>
                <w:b/>
                <w:sz w:val="21"/>
              </w:rPr>
              <w:t>(%)</w:t>
            </w:r>
            <w:r>
              <w:rPr>
                <w:rFonts w:ascii="Calibri"/>
                <w:sz w:val="21"/>
              </w:rPr>
            </w:r>
          </w:p>
        </w:tc>
        <w:tc>
          <w:tcPr>
            <w:tcW w:w="1577"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875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r>
      <w:tr>
        <w:trPr>
          <w:trHeight w:val="323" w:hRule="exact"/>
        </w:trPr>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23"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6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3" w:right="0"/>
              <w:jc w:val="left"/>
              <w:rPr>
                <w:rFonts w:ascii="Calibri" w:hAnsi="Calibri" w:cs="Calibri" w:eastAsia="Calibri" w:hint="default"/>
                <w:sz w:val="21"/>
                <w:szCs w:val="21"/>
              </w:rPr>
            </w:pPr>
            <w:r>
              <w:rPr>
                <w:rFonts w:ascii="Calibri"/>
                <w:sz w:val="21"/>
              </w:rPr>
              <w:t>--</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Calibri" w:hAnsi="Calibri" w:cs="Calibri" w:eastAsia="Calibri" w:hint="default"/>
                <w:sz w:val="21"/>
                <w:szCs w:val="21"/>
              </w:rPr>
            </w:pPr>
            <w:r>
              <w:rPr>
                <w:rFonts w:ascii="Calibri"/>
                <w:sz w:val="21"/>
              </w:rPr>
              <w:t>--</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Calibri" w:hAnsi="Calibri" w:cs="Calibri" w:eastAsia="Calibri" w:hint="default"/>
                <w:sz w:val="21"/>
                <w:szCs w:val="21"/>
              </w:rPr>
            </w:pPr>
            <w:r>
              <w:rPr>
                <w:rFonts w:ascii="Calibri"/>
                <w:sz w:val="21"/>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3" w:right="0"/>
              <w:jc w:val="left"/>
              <w:rPr>
                <w:rFonts w:ascii="Calibri" w:hAnsi="Calibri" w:cs="Calibri" w:eastAsia="Calibri" w:hint="default"/>
                <w:sz w:val="21"/>
                <w:szCs w:val="21"/>
              </w:rPr>
            </w:pPr>
            <w:r>
              <w:rPr>
                <w:rFonts w:ascii="Calibri"/>
                <w:sz w:val="21"/>
              </w:rPr>
              <w:t>--</w:t>
            </w:r>
          </w:p>
        </w:tc>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1" w:right="0"/>
              <w:jc w:val="left"/>
              <w:rPr>
                <w:rFonts w:ascii="Calibri" w:hAnsi="Calibri" w:cs="Calibri" w:eastAsia="Calibri" w:hint="default"/>
                <w:sz w:val="21"/>
                <w:szCs w:val="21"/>
              </w:rPr>
            </w:pPr>
            <w:r>
              <w:rPr>
                <w:rFonts w:ascii="Calibri"/>
                <w:sz w:val="21"/>
              </w:rPr>
              <w:t>--</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24" w:right="0"/>
              <w:jc w:val="left"/>
              <w:rPr>
                <w:rFonts w:ascii="Calibri" w:hAnsi="Calibri" w:cs="Calibri" w:eastAsia="Calibri" w:hint="default"/>
                <w:sz w:val="21"/>
                <w:szCs w:val="21"/>
              </w:rPr>
            </w:pPr>
            <w:r>
              <w:rPr>
                <w:rFonts w:ascii="Calibri"/>
                <w:sz w:val="21"/>
              </w:rPr>
              <w:t>--</w:t>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60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auto"/>
              <w:ind w:left="23" w:right="122"/>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5"/>
                <w:sz w:val="21"/>
                <w:szCs w:val="21"/>
              </w:rPr>
              <w:t> </w:t>
            </w:r>
            <w:r>
              <w:rPr>
                <w:rFonts w:ascii="宋体" w:hAnsi="宋体" w:cs="宋体" w:eastAsia="宋体" w:hint="default"/>
                <w:sz w:val="21"/>
                <w:szCs w:val="21"/>
              </w:rPr>
              <w:t>年以内小</w:t>
            </w:r>
            <w:r>
              <w:rPr>
                <w:rFonts w:ascii="宋体" w:hAnsi="宋体" w:cs="宋体" w:eastAsia="宋体" w:hint="default"/>
                <w:w w:val="100"/>
                <w:sz w:val="21"/>
                <w:szCs w:val="21"/>
              </w:rPr>
              <w:t> </w:t>
            </w:r>
            <w:r>
              <w:rPr>
                <w:rFonts w:ascii="宋体" w:hAnsi="宋体" w:cs="宋体" w:eastAsia="宋体" w:hint="default"/>
                <w:sz w:val="21"/>
                <w:szCs w:val="21"/>
              </w:rPr>
              <w:t>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Arial Narrow" w:hAnsi="Arial Narrow" w:cs="Arial Narrow" w:eastAsia="Arial Narrow" w:hint="default"/>
                <w:sz w:val="21"/>
                <w:szCs w:val="21"/>
              </w:rPr>
            </w:pPr>
            <w:r>
              <w:rPr>
                <w:rFonts w:ascii="Arial Narrow"/>
                <w:spacing w:val="-1"/>
                <w:sz w:val="21"/>
              </w:rPr>
              <w:t>10,835,755.76</w:t>
            </w:r>
            <w:r>
              <w:rPr>
                <w:rFonts w:ascii="Arial Narrow"/>
                <w:sz w:val="21"/>
              </w:rPr>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spacing w:val="-1"/>
                <w:sz w:val="21"/>
              </w:rPr>
              <w:t>41.81</w:t>
            </w:r>
            <w:r>
              <w:rPr>
                <w:rFonts w:ascii="Arial Narrow"/>
                <w:sz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7"/>
              <w:jc w:val="right"/>
              <w:rPr>
                <w:rFonts w:ascii="Arial Narrow" w:hAnsi="Arial Narrow" w:cs="Arial Narrow" w:eastAsia="Arial Narrow" w:hint="default"/>
                <w:sz w:val="21"/>
                <w:szCs w:val="21"/>
              </w:rPr>
            </w:pPr>
            <w:r>
              <w:rPr>
                <w:rFonts w:ascii="Arial Narrow"/>
                <w:spacing w:val="-1"/>
                <w:sz w:val="21"/>
              </w:rPr>
              <w:t>541,787.79</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0"/>
              <w:jc w:val="right"/>
              <w:rPr>
                <w:rFonts w:ascii="Arial Narrow" w:hAnsi="Arial Narrow" w:cs="Arial Narrow" w:eastAsia="Arial Narrow" w:hint="default"/>
                <w:sz w:val="21"/>
                <w:szCs w:val="21"/>
              </w:rPr>
            </w:pPr>
            <w:r>
              <w:rPr>
                <w:rFonts w:ascii="Arial Narrow"/>
                <w:spacing w:val="-1"/>
                <w:sz w:val="21"/>
              </w:rPr>
              <w:t>11,373,384.12</w:t>
            </w:r>
            <w:r>
              <w:rPr>
                <w:rFonts w:ascii="Arial Narrow"/>
                <w:sz w:val="21"/>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51.95</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spacing w:val="-1"/>
                <w:sz w:val="21"/>
              </w:rPr>
              <w:t>568,669.21</w:t>
            </w:r>
            <w:r>
              <w:rPr>
                <w:rFonts w:ascii="Arial Narrow"/>
                <w:sz w:val="21"/>
              </w:rPr>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Arial Narrow" w:hAnsi="Arial Narrow" w:cs="Arial Narrow" w:eastAsia="Arial Narrow" w:hint="default"/>
                <w:sz w:val="21"/>
                <w:szCs w:val="21"/>
              </w:rPr>
            </w:pPr>
            <w:r>
              <w:rPr>
                <w:rFonts w:ascii="Arial Narrow"/>
                <w:spacing w:val="-1"/>
                <w:sz w:val="21"/>
              </w:rPr>
              <w:t>6,110,288.43</w:t>
            </w:r>
            <w:r>
              <w:rPr>
                <w:rFonts w:ascii="Arial Narrow"/>
                <w:sz w:val="21"/>
              </w:rPr>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23.58</w:t>
            </w:r>
            <w:r>
              <w:rPr>
                <w:rFonts w:ascii="Arial Narrow"/>
                <w:sz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Arial Narrow" w:hAnsi="Arial Narrow" w:cs="Arial Narrow" w:eastAsia="Arial Narrow" w:hint="default"/>
                <w:sz w:val="21"/>
                <w:szCs w:val="21"/>
              </w:rPr>
            </w:pPr>
            <w:r>
              <w:rPr>
                <w:rFonts w:ascii="Arial Narrow"/>
                <w:spacing w:val="-1"/>
                <w:sz w:val="21"/>
              </w:rPr>
              <w:t>1,222,057.69</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5,687,852.49</w:t>
            </w:r>
            <w:r>
              <w:rPr>
                <w:rFonts w:ascii="Arial Narrow"/>
                <w:sz w:val="21"/>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Narrow" w:hAnsi="Arial Narrow" w:cs="Arial Narrow" w:eastAsia="Arial Narrow" w:hint="default"/>
                <w:sz w:val="21"/>
                <w:szCs w:val="21"/>
              </w:rPr>
            </w:pPr>
            <w:r>
              <w:rPr>
                <w:rFonts w:ascii="Arial Narrow"/>
                <w:spacing w:val="-1"/>
                <w:sz w:val="21"/>
              </w:rPr>
              <w:t>25.98</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1,137,570.50</w:t>
            </w:r>
            <w:r>
              <w:rPr>
                <w:rFonts w:ascii="Arial Narrow"/>
                <w:sz w:val="21"/>
              </w:rPr>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Arial Narrow" w:hAnsi="Arial Narrow" w:cs="Arial Narrow" w:eastAsia="Arial Narrow" w:hint="default"/>
                <w:sz w:val="21"/>
                <w:szCs w:val="21"/>
              </w:rPr>
            </w:pPr>
            <w:r>
              <w:rPr>
                <w:rFonts w:ascii="Arial Narrow"/>
                <w:spacing w:val="-1"/>
                <w:sz w:val="21"/>
              </w:rPr>
              <w:t>4,913,962.77</w:t>
            </w:r>
            <w:r>
              <w:rPr>
                <w:rFonts w:ascii="Arial Narrow"/>
                <w:sz w:val="21"/>
              </w:rPr>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18.96</w:t>
            </w:r>
            <w:r>
              <w:rPr>
                <w:rFonts w:ascii="Arial Narrow"/>
                <w:sz w:val="21"/>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Arial Narrow" w:hAnsi="Arial Narrow" w:cs="Arial Narrow" w:eastAsia="Arial Narrow" w:hint="default"/>
                <w:sz w:val="21"/>
                <w:szCs w:val="21"/>
              </w:rPr>
            </w:pPr>
            <w:r>
              <w:rPr>
                <w:rFonts w:ascii="Arial Narrow"/>
                <w:spacing w:val="-1"/>
                <w:sz w:val="21"/>
              </w:rPr>
              <w:t>2,456,981.38</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1,726,811.78</w:t>
            </w:r>
            <w:r>
              <w:rPr>
                <w:rFonts w:ascii="Arial Narrow"/>
                <w:sz w:val="21"/>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1"/>
                <w:sz w:val="21"/>
              </w:rPr>
              <w:t>7.89</w:t>
            </w:r>
            <w:r>
              <w:rPr>
                <w:rFonts w:ascii="Arial Narrow"/>
                <w:sz w:val="21"/>
              </w:rPr>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863,405.89</w:t>
            </w:r>
            <w:r>
              <w:rPr>
                <w:rFonts w:ascii="Arial Narrow"/>
                <w:sz w:val="21"/>
              </w:rPr>
            </w:r>
          </w:p>
        </w:tc>
      </w:tr>
    </w:tbl>
    <w:p>
      <w:pPr>
        <w:spacing w:after="0" w:line="240" w:lineRule="auto"/>
        <w:jc w:val="right"/>
        <w:rPr>
          <w:rFonts w:ascii="Arial Narrow" w:hAnsi="Arial Narrow" w:cs="Arial Narrow" w:eastAsia="Arial Narrow" w:hint="default"/>
          <w:sz w:val="21"/>
          <w:szCs w:val="21"/>
        </w:rPr>
        <w:sectPr>
          <w:type w:val="continuous"/>
          <w:pgSz w:w="11910" w:h="16840"/>
          <w:pgMar w:top="440" w:bottom="280" w:left="1240" w:right="1260"/>
        </w:sectPr>
      </w:pPr>
    </w:p>
    <w:p>
      <w:pPr>
        <w:spacing w:line="240" w:lineRule="auto" w:before="13"/>
        <w:rPr>
          <w:rFonts w:ascii="宋体" w:hAnsi="宋体" w:cs="宋体" w:eastAsia="宋体" w:hint="default"/>
          <w:sz w:val="19"/>
          <w:szCs w:val="19"/>
        </w:rPr>
      </w:pPr>
    </w:p>
    <w:tbl>
      <w:tblPr>
        <w:tblW w:w="0" w:type="auto"/>
        <w:jc w:val="left"/>
        <w:tblInd w:w="524" w:type="dxa"/>
        <w:tblLayout w:type="fixed"/>
        <w:tblCellMar>
          <w:top w:w="0" w:type="dxa"/>
          <w:left w:w="0" w:type="dxa"/>
          <w:bottom w:w="0" w:type="dxa"/>
          <w:right w:w="0" w:type="dxa"/>
        </w:tblCellMar>
        <w:tblLook w:val="01E0"/>
      </w:tblPr>
      <w:tblGrid>
        <w:gridCol w:w="1159"/>
        <w:gridCol w:w="1640"/>
        <w:gridCol w:w="607"/>
        <w:gridCol w:w="1457"/>
        <w:gridCol w:w="1702"/>
        <w:gridCol w:w="608"/>
        <w:gridCol w:w="1577"/>
      </w:tblGrid>
      <w:tr>
        <w:trPr>
          <w:trHeight w:val="322" w:hRule="exact"/>
        </w:trPr>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2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Arial Narrow" w:hAnsi="Arial Narrow" w:cs="Arial Narrow" w:eastAsia="Arial Narrow" w:hint="default"/>
                <w:sz w:val="21"/>
                <w:szCs w:val="21"/>
              </w:rPr>
            </w:pPr>
            <w:r>
              <w:rPr>
                <w:rFonts w:ascii="Arial Narrow"/>
                <w:spacing w:val="-1"/>
                <w:sz w:val="21"/>
              </w:rPr>
              <w:t>4,055,365.76</w:t>
            </w:r>
            <w:r>
              <w:rPr>
                <w:rFonts w:ascii="Arial Narrow"/>
                <w:sz w:val="21"/>
              </w:rPr>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22" w:right="0"/>
              <w:jc w:val="center"/>
              <w:rPr>
                <w:rFonts w:ascii="Arial Narrow" w:hAnsi="Arial Narrow" w:cs="Arial Narrow" w:eastAsia="Arial Narrow" w:hint="default"/>
                <w:sz w:val="21"/>
                <w:szCs w:val="21"/>
              </w:rPr>
            </w:pPr>
            <w:r>
              <w:rPr>
                <w:rFonts w:ascii="Arial Narrow"/>
                <w:sz w:val="21"/>
              </w:rPr>
              <w:t>15.65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8"/>
              <w:jc w:val="right"/>
              <w:rPr>
                <w:rFonts w:ascii="Arial Narrow" w:hAnsi="Arial Narrow" w:cs="Arial Narrow" w:eastAsia="Arial Narrow" w:hint="default"/>
                <w:sz w:val="21"/>
                <w:szCs w:val="21"/>
              </w:rPr>
            </w:pPr>
            <w:r>
              <w:rPr>
                <w:rFonts w:ascii="Arial Narrow"/>
                <w:spacing w:val="-1"/>
                <w:sz w:val="21"/>
              </w:rPr>
              <w:t>4,055,365.76</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3,105,740.00</w:t>
            </w:r>
            <w:r>
              <w:rPr>
                <w:rFonts w:ascii="Arial Narrow"/>
                <w:sz w:val="21"/>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16" w:right="0"/>
              <w:jc w:val="center"/>
              <w:rPr>
                <w:rFonts w:ascii="Arial Narrow" w:hAnsi="Arial Narrow" w:cs="Arial Narrow" w:eastAsia="Arial Narrow" w:hint="default"/>
                <w:sz w:val="21"/>
                <w:szCs w:val="21"/>
              </w:rPr>
            </w:pPr>
            <w:r>
              <w:rPr>
                <w:rFonts w:ascii="Arial Narrow"/>
                <w:sz w:val="21"/>
              </w:rPr>
              <w:t>14.18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9"/>
              <w:jc w:val="right"/>
              <w:rPr>
                <w:rFonts w:ascii="Arial Narrow" w:hAnsi="Arial Narrow" w:cs="Arial Narrow" w:eastAsia="Arial Narrow" w:hint="default"/>
                <w:sz w:val="21"/>
                <w:szCs w:val="21"/>
              </w:rPr>
            </w:pPr>
            <w:r>
              <w:rPr>
                <w:rFonts w:ascii="Arial Narrow"/>
                <w:spacing w:val="-1"/>
                <w:sz w:val="21"/>
              </w:rPr>
              <w:t>3,105,740.00</w:t>
            </w:r>
            <w:r>
              <w:rPr>
                <w:rFonts w:ascii="Arial Narrow"/>
                <w:sz w:val="21"/>
              </w:rPr>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4</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Arial Narrow" w:hAnsi="Arial Narrow" w:cs="Arial Narrow" w:eastAsia="Arial Narrow" w:hint="default"/>
                <w:sz w:val="21"/>
                <w:szCs w:val="21"/>
              </w:rPr>
            </w:pPr>
            <w:r>
              <w:rPr>
                <w:rFonts w:ascii="Arial Narrow"/>
                <w:spacing w:val="-1"/>
                <w:sz w:val="21"/>
              </w:rPr>
              <w:t>4,055,365.76</w:t>
            </w:r>
            <w:r>
              <w:rPr>
                <w:rFonts w:ascii="Arial Narrow"/>
                <w:sz w:val="21"/>
              </w:rPr>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22" w:right="0"/>
              <w:jc w:val="center"/>
              <w:rPr>
                <w:rFonts w:ascii="Arial Narrow" w:hAnsi="Arial Narrow" w:cs="Arial Narrow" w:eastAsia="Arial Narrow" w:hint="default"/>
                <w:sz w:val="21"/>
                <w:szCs w:val="21"/>
              </w:rPr>
            </w:pPr>
            <w:r>
              <w:rPr>
                <w:rFonts w:ascii="Arial Narrow"/>
                <w:sz w:val="21"/>
              </w:rPr>
              <w:t>15.65</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Arial Narrow" w:hAnsi="Arial Narrow" w:cs="Arial Narrow" w:eastAsia="Arial Narrow" w:hint="default"/>
                <w:sz w:val="21"/>
                <w:szCs w:val="21"/>
              </w:rPr>
            </w:pPr>
            <w:r>
              <w:rPr>
                <w:rFonts w:ascii="Arial Narrow"/>
                <w:spacing w:val="-1"/>
                <w:sz w:val="21"/>
              </w:rPr>
              <w:t>4,055,365.76</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3,105,740.00</w:t>
            </w:r>
            <w:r>
              <w:rPr>
                <w:rFonts w:ascii="Arial Narrow"/>
                <w:sz w:val="21"/>
              </w:rPr>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16" w:right="0"/>
              <w:jc w:val="center"/>
              <w:rPr>
                <w:rFonts w:ascii="Arial Narrow" w:hAnsi="Arial Narrow" w:cs="Arial Narrow" w:eastAsia="Arial Narrow" w:hint="default"/>
                <w:sz w:val="21"/>
                <w:szCs w:val="21"/>
              </w:rPr>
            </w:pPr>
            <w:r>
              <w:rPr>
                <w:rFonts w:ascii="Arial Narrow"/>
                <w:sz w:val="21"/>
              </w:rPr>
              <w:t>14.18</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3,105,740.00</w:t>
            </w:r>
            <w:r>
              <w:rPr>
                <w:rFonts w:ascii="Arial Narrow"/>
                <w:sz w:val="21"/>
              </w:rPr>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4</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5</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 w:right="0"/>
              <w:jc w:val="center"/>
              <w:rPr>
                <w:rFonts w:ascii="Calibri" w:hAnsi="Calibri" w:cs="Calibri" w:eastAsia="Calibri" w:hint="default"/>
                <w:sz w:val="21"/>
                <w:szCs w:val="21"/>
              </w:rPr>
            </w:pPr>
            <w:r>
              <w:rPr>
                <w:rFonts w:ascii="Calibri"/>
                <w:sz w:val="21"/>
              </w:rPr>
              <w:t>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7" w:right="0"/>
              <w:jc w:val="center"/>
              <w:rPr>
                <w:rFonts w:ascii="Calibri" w:hAnsi="Calibri" w:cs="Calibri" w:eastAsia="Calibri" w:hint="default"/>
                <w:sz w:val="21"/>
                <w:szCs w:val="21"/>
              </w:rPr>
            </w:pPr>
            <w:r>
              <w:rPr>
                <w:rFonts w:ascii="Calibri"/>
                <w:sz w:val="21"/>
              </w:rPr>
              <w:t>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r>
        <w:trPr>
          <w:trHeight w:val="324" w:hRule="exact"/>
        </w:trPr>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23" w:right="0"/>
              <w:jc w:val="left"/>
              <w:rPr>
                <w:rFonts w:ascii="宋体" w:hAnsi="宋体" w:cs="宋体" w:eastAsia="宋体" w:hint="default"/>
                <w:sz w:val="21"/>
                <w:szCs w:val="21"/>
              </w:rPr>
            </w:pP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Calibri" w:hAnsi="Calibri" w:cs="Calibri" w:eastAsia="Calibri" w:hint="default"/>
                <w:sz w:val="21"/>
                <w:szCs w:val="21"/>
              </w:rPr>
            </w:pPr>
            <w:r>
              <w:rPr>
                <w:rFonts w:ascii="Calibri"/>
                <w:w w:val="100"/>
                <w:sz w:val="21"/>
              </w:rPr>
              <w:t>0</w:t>
            </w:r>
          </w:p>
        </w:tc>
        <w:tc>
          <w:tcPr>
            <w:tcW w:w="6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2" w:right="0"/>
              <w:jc w:val="center"/>
              <w:rPr>
                <w:rFonts w:ascii="Calibri" w:hAnsi="Calibri" w:cs="Calibri" w:eastAsia="Calibri" w:hint="default"/>
                <w:sz w:val="21"/>
                <w:szCs w:val="21"/>
              </w:rPr>
            </w:pPr>
            <w:r>
              <w:rPr>
                <w:rFonts w:ascii="Calibri"/>
                <w:sz w:val="21"/>
              </w:rPr>
              <w:t>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8"/>
              <w:jc w:val="right"/>
              <w:rPr>
                <w:rFonts w:ascii="Calibri" w:hAnsi="Calibri" w:cs="Calibri" w:eastAsia="Calibri" w:hint="default"/>
                <w:sz w:val="21"/>
                <w:szCs w:val="21"/>
              </w:rPr>
            </w:pPr>
            <w:r>
              <w:rPr>
                <w:rFonts w:ascii="Calibri"/>
                <w:w w:val="100"/>
                <w:sz w:val="21"/>
              </w:rPr>
              <w:t>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w w:val="100"/>
                <w:sz w:val="21"/>
              </w:rPr>
              <w:t>0</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7" w:right="0"/>
              <w:jc w:val="center"/>
              <w:rPr>
                <w:rFonts w:ascii="Calibri" w:hAnsi="Calibri" w:cs="Calibri" w:eastAsia="Calibri" w:hint="default"/>
                <w:sz w:val="21"/>
                <w:szCs w:val="21"/>
              </w:rPr>
            </w:pPr>
            <w:r>
              <w:rPr>
                <w:rFonts w:ascii="Calibri"/>
                <w:sz w:val="21"/>
              </w:rPr>
              <w:t>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w w:val="100"/>
                <w:sz w:val="21"/>
              </w:rPr>
              <w:t>0</w:t>
            </w:r>
          </w:p>
        </w:tc>
      </w:tr>
      <w:tr>
        <w:trPr>
          <w:trHeight w:val="322" w:hRule="exact"/>
        </w:trPr>
        <w:tc>
          <w:tcPr>
            <w:tcW w:w="11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Arial Narrow" w:hAnsi="Arial Narrow" w:cs="Arial Narrow" w:eastAsia="Arial Narrow" w:hint="default"/>
                <w:sz w:val="21"/>
                <w:szCs w:val="21"/>
              </w:rPr>
            </w:pPr>
            <w:r>
              <w:rPr>
                <w:rFonts w:ascii="Arial Narrow"/>
                <w:b/>
                <w:spacing w:val="-1"/>
                <w:sz w:val="21"/>
              </w:rPr>
              <w:t>25,915,372.72</w:t>
            </w:r>
            <w:r>
              <w:rPr>
                <w:rFonts w:ascii="Arial Narrow"/>
                <w:sz w:val="21"/>
              </w:rPr>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 w:right="0"/>
              <w:jc w:val="center"/>
              <w:rPr>
                <w:rFonts w:ascii="Calibri" w:hAnsi="Calibri" w:cs="Calibri" w:eastAsia="Calibri" w:hint="default"/>
                <w:sz w:val="21"/>
                <w:szCs w:val="21"/>
              </w:rPr>
            </w:pPr>
            <w:r>
              <w:rPr>
                <w:rFonts w:ascii="Calibri"/>
                <w:sz w:val="21"/>
              </w:rPr>
              <w:t>--</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8"/>
              <w:jc w:val="right"/>
              <w:rPr>
                <w:rFonts w:ascii="Arial Narrow" w:hAnsi="Arial Narrow" w:cs="Arial Narrow" w:eastAsia="Arial Narrow" w:hint="default"/>
                <w:sz w:val="21"/>
                <w:szCs w:val="21"/>
              </w:rPr>
            </w:pPr>
            <w:r>
              <w:rPr>
                <w:rFonts w:ascii="Arial Narrow"/>
                <w:b/>
                <w:spacing w:val="-1"/>
                <w:sz w:val="21"/>
              </w:rPr>
              <w:t>8,276,192.62</w:t>
            </w:r>
            <w:r>
              <w:rPr>
                <w:rFonts w:ascii="Arial Narrow"/>
                <w:sz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21,893,788.39</w:t>
            </w:r>
            <w:r>
              <w:rPr>
                <w:rFonts w:ascii="Arial Narrow"/>
                <w:sz w:val="21"/>
              </w:rPr>
            </w:r>
          </w:p>
        </w:tc>
        <w:tc>
          <w:tcPr>
            <w:tcW w:w="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c>
          <w:tcPr>
            <w:tcW w:w="15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b/>
                <w:spacing w:val="-1"/>
                <w:sz w:val="21"/>
              </w:rPr>
              <w:t>5,675,385.60</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0" w:footer="1007" w:top="1160" w:bottom="1200" w:left="1240" w:right="1260"/>
        </w:sectPr>
      </w:pPr>
    </w:p>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pacing w:val="-2"/>
          <w:sz w:val="21"/>
          <w:szCs w:val="21"/>
        </w:rPr>
        <w:t>组合中，采用余额百分比法计提坏账准备的其他应收款</w:t>
      </w:r>
    </w:p>
    <w:p>
      <w:pPr>
        <w:tabs>
          <w:tab w:pos="1421" w:val="left" w:leader="none"/>
          <w:tab w:pos="1736" w:val="left" w:leader="none"/>
        </w:tabs>
        <w:spacing w:before="37"/>
        <w:ind w:left="558" w:right="0"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9"/>
          <w:sz w:val="21"/>
          <w:szCs w:val="21"/>
        </w:rPr>
        <w:t> </w:t>
      </w:r>
      <w:r>
        <w:rPr>
          <w:rFonts w:ascii="宋体" w:hAnsi="宋体" w:cs="宋体" w:eastAsia="宋体" w:hint="default"/>
          <w:sz w:val="21"/>
          <w:szCs w:val="21"/>
        </w:rPr>
        <w:t>适用</w:t>
        <w:tab/>
      </w:r>
      <w:r>
        <w:rPr>
          <w:rFonts w:ascii="Calibri" w:hAnsi="Calibri" w:cs="Calibri" w:eastAsia="Calibri" w:hint="default"/>
          <w:sz w:val="21"/>
          <w:szCs w:val="21"/>
        </w:rPr>
        <w:t>√</w:t>
        <w:tab/>
      </w:r>
      <w:r>
        <w:rPr>
          <w:rFonts w:ascii="宋体" w:hAnsi="宋体" w:cs="宋体" w:eastAsia="宋体" w:hint="default"/>
          <w:sz w:val="21"/>
          <w:szCs w:val="21"/>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0"/>
        <w:rPr>
          <w:rFonts w:ascii="宋体" w:hAnsi="宋体" w:cs="宋体" w:eastAsia="宋体" w:hint="default"/>
          <w:sz w:val="26"/>
          <w:szCs w:val="26"/>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10" w:h="16840"/>
          <w:pgMar w:top="440" w:bottom="280" w:left="1240" w:right="1260"/>
          <w:cols w:num="2" w:equalWidth="0">
            <w:col w:w="5604" w:space="2142"/>
            <w:col w:w="1664"/>
          </w:cols>
        </w:sectPr>
      </w:pP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804"/>
        <w:gridCol w:w="1983"/>
        <w:gridCol w:w="1982"/>
        <w:gridCol w:w="1981"/>
      </w:tblGrid>
      <w:tr>
        <w:trPr>
          <w:trHeight w:val="322"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组合名称</w:t>
            </w:r>
            <w:r>
              <w:rPr>
                <w:rFonts w:ascii="宋体" w:hAnsi="宋体" w:cs="宋体" w:eastAsia="宋体" w:hint="default"/>
                <w:sz w:val="21"/>
                <w:szCs w:val="21"/>
              </w:rPr>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2" w:right="0"/>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562" w:right="0"/>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sz w:val="21"/>
                <w:szCs w:val="21"/>
              </w:rPr>
            </w:r>
          </w:p>
        </w:tc>
      </w:tr>
      <w:tr>
        <w:trPr>
          <w:trHeight w:val="322"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25" w:hRule="exact"/>
        </w:trPr>
        <w:tc>
          <w:tcPr>
            <w:tcW w:w="2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3" w:type="dxa"/>
            <w:tcBorders>
              <w:top w:val="single" w:sz="4" w:space="0" w:color="000000"/>
              <w:left w:val="single" w:sz="10" w:space="0" w:color="D2D2D2"/>
              <w:bottom w:val="single" w:sz="4" w:space="0" w:color="000000"/>
              <w:right w:val="single" w:sz="4" w:space="0" w:color="000000"/>
            </w:tcBorders>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981" w:type="dxa"/>
            <w:tcBorders>
              <w:top w:val="single" w:sz="4" w:space="0" w:color="000000"/>
              <w:left w:val="single" w:sz="4" w:space="0" w:color="000000"/>
              <w:bottom w:val="single" w:sz="4" w:space="0" w:color="000000"/>
              <w:right w:val="single" w:sz="4" w:space="0" w:color="000000"/>
            </w:tcBorders>
          </w:tcPr>
          <w:p>
            <w:pPr/>
          </w:p>
        </w:tc>
      </w:tr>
    </w:tbl>
    <w:p>
      <w:pPr>
        <w:spacing w:line="273" w:lineRule="auto" w:before="0"/>
        <w:ind w:left="558" w:right="3589" w:firstLine="0"/>
        <w:jc w:val="left"/>
        <w:rPr>
          <w:rFonts w:ascii="宋体" w:hAnsi="宋体" w:cs="宋体" w:eastAsia="宋体" w:hint="default"/>
          <w:sz w:val="21"/>
          <w:szCs w:val="21"/>
        </w:rPr>
      </w:pPr>
      <w:r>
        <w:rPr>
          <w:rFonts w:ascii="宋体" w:hAnsi="宋体" w:cs="宋体" w:eastAsia="宋体" w:hint="default"/>
          <w:sz w:val="21"/>
          <w:szCs w:val="21"/>
        </w:rPr>
        <w:t>注：填写具体组合名称。</w:t>
      </w:r>
      <w:r>
        <w:rPr>
          <w:rFonts w:ascii="宋体" w:hAnsi="宋体" w:cs="宋体" w:eastAsia="宋体" w:hint="default"/>
          <w:w w:val="100"/>
          <w:sz w:val="21"/>
          <w:szCs w:val="21"/>
        </w:rPr>
        <w:t> </w:t>
      </w:r>
      <w:r>
        <w:rPr>
          <w:rFonts w:ascii="宋体" w:hAnsi="宋体" w:cs="宋体" w:eastAsia="宋体" w:hint="default"/>
          <w:spacing w:val="-2"/>
          <w:sz w:val="21"/>
          <w:szCs w:val="21"/>
        </w:rPr>
        <w:t>组合中，采用其他方法计提坏账准备的其他应收款</w:t>
      </w:r>
    </w:p>
    <w:p>
      <w:pPr>
        <w:tabs>
          <w:tab w:pos="1421" w:val="left" w:leader="none"/>
          <w:tab w:pos="1736" w:val="left" w:leader="none"/>
        </w:tabs>
        <w:spacing w:line="247" w:lineRule="auto" w:before="7"/>
        <w:ind w:left="558" w:right="3589"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9"/>
          <w:sz w:val="21"/>
          <w:szCs w:val="21"/>
        </w:rPr>
        <w:t> </w:t>
      </w:r>
      <w:r>
        <w:rPr>
          <w:rFonts w:ascii="宋体" w:hAnsi="宋体" w:cs="宋体" w:eastAsia="宋体" w:hint="default"/>
          <w:sz w:val="21"/>
          <w:szCs w:val="21"/>
        </w:rPr>
        <w:t>适用</w:t>
        <w:tab/>
      </w:r>
      <w:r>
        <w:rPr>
          <w:rFonts w:ascii="Calibri" w:hAnsi="Calibri" w:cs="Calibri" w:eastAsia="Calibri" w:hint="default"/>
          <w:sz w:val="21"/>
          <w:szCs w:val="21"/>
        </w:rPr>
        <w:t>√</w:t>
        <w:tab/>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spacing w:val="-2"/>
          <w:sz w:val="21"/>
          <w:szCs w:val="21"/>
        </w:rPr>
        <w:t>期末单项金额虽不重大但单项计提坏账准备的其他应收款</w:t>
      </w:r>
    </w:p>
    <w:p>
      <w:pPr>
        <w:tabs>
          <w:tab w:pos="1525" w:val="left" w:leader="none"/>
        </w:tabs>
        <w:spacing w:before="31"/>
        <w:ind w:left="558" w:right="0" w:firstLine="0"/>
        <w:jc w:val="left"/>
        <w:rPr>
          <w:rFonts w:ascii="宋体" w:hAnsi="宋体" w:cs="宋体" w:eastAsia="宋体" w:hint="default"/>
          <w:sz w:val="21"/>
          <w:szCs w:val="21"/>
        </w:rPr>
      </w:pPr>
      <w:r>
        <w:rPr>
          <w:rFonts w:ascii="Arial" w:hAnsi="Arial" w:cs="Arial" w:eastAsia="Arial" w:hint="default"/>
          <w:sz w:val="21"/>
          <w:szCs w:val="21"/>
        </w:rPr>
        <w:t>□</w:t>
      </w:r>
      <w:r>
        <w:rPr>
          <w:rFonts w:ascii="Arial" w:hAnsi="Arial" w:cs="Arial" w:eastAsia="Arial" w:hint="default"/>
          <w:spacing w:val="47"/>
          <w:sz w:val="21"/>
          <w:szCs w:val="21"/>
        </w:rPr>
        <w:t> </w:t>
      </w:r>
      <w:r>
        <w:rPr>
          <w:rFonts w:ascii="宋体" w:hAnsi="宋体" w:cs="宋体" w:eastAsia="宋体" w:hint="default"/>
          <w:sz w:val="21"/>
          <w:szCs w:val="21"/>
        </w:rPr>
        <w:t>适用</w:t>
      </w:r>
      <w:r>
        <w:rPr>
          <w:rFonts w:ascii="Calibri" w:hAnsi="Calibri" w:cs="Calibri" w:eastAsia="Calibri" w:hint="default"/>
          <w:sz w:val="21"/>
          <w:szCs w:val="21"/>
        </w:rPr>
        <w:t>√</w:t>
        <w:tab/>
      </w:r>
      <w:r>
        <w:rPr>
          <w:rFonts w:ascii="宋体" w:hAnsi="宋体" w:cs="宋体" w:eastAsia="宋体" w:hint="default"/>
          <w:sz w:val="21"/>
          <w:szCs w:val="21"/>
        </w:rPr>
        <w:t>不适用</w:t>
      </w:r>
    </w:p>
    <w:p>
      <w:pPr>
        <w:spacing w:line="240" w:lineRule="auto" w:before="9"/>
        <w:rPr>
          <w:rFonts w:ascii="宋体" w:hAnsi="宋体" w:cs="宋体" w:eastAsia="宋体" w:hint="default"/>
          <w:sz w:val="23"/>
          <w:szCs w:val="23"/>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）本报告期转回或收回的其他应收款情况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1994"/>
        <w:gridCol w:w="1564"/>
        <w:gridCol w:w="1702"/>
        <w:gridCol w:w="1752"/>
        <w:gridCol w:w="1713"/>
      </w:tblGrid>
      <w:tr>
        <w:trPr>
          <w:trHeight w:val="161" w:hRule="exact"/>
        </w:trPr>
        <w:tc>
          <w:tcPr>
            <w:tcW w:w="1994" w:type="dxa"/>
            <w:vMerge w:val="restart"/>
            <w:tcBorders>
              <w:top w:val="single" w:sz="4" w:space="0" w:color="000000"/>
              <w:left w:val="single" w:sz="4" w:space="0" w:color="000000"/>
              <w:right w:val="single" w:sz="4" w:space="0" w:color="000000"/>
            </w:tcBorders>
            <w:shd w:val="clear" w:color="auto" w:fill="D2D2D2"/>
          </w:tcPr>
          <w:p>
            <w:pPr/>
          </w:p>
        </w:tc>
        <w:tc>
          <w:tcPr>
            <w:tcW w:w="1564" w:type="dxa"/>
            <w:vMerge w:val="restart"/>
            <w:tcBorders>
              <w:top w:val="single" w:sz="4" w:space="0" w:color="000000"/>
              <w:left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2"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27" w:right="23"/>
              <w:jc w:val="center"/>
              <w:rPr>
                <w:rFonts w:ascii="宋体" w:hAnsi="宋体" w:cs="宋体" w:eastAsia="宋体" w:hint="default"/>
                <w:sz w:val="21"/>
                <w:szCs w:val="21"/>
              </w:rPr>
            </w:pPr>
            <w:r>
              <w:rPr>
                <w:rFonts w:ascii="宋体" w:hAnsi="宋体" w:cs="宋体" w:eastAsia="宋体" w:hint="default"/>
                <w:b/>
                <w:bCs/>
                <w:sz w:val="21"/>
                <w:szCs w:val="21"/>
              </w:rPr>
              <w:t>转回或收回前累计</w:t>
            </w:r>
            <w:r>
              <w:rPr>
                <w:rFonts w:ascii="宋体" w:hAnsi="宋体" w:cs="宋体" w:eastAsia="宋体" w:hint="default"/>
                <w:b/>
                <w:bCs/>
                <w:w w:val="100"/>
                <w:sz w:val="21"/>
                <w:szCs w:val="21"/>
              </w:rPr>
              <w:t> </w:t>
            </w:r>
            <w:r>
              <w:rPr>
                <w:rFonts w:ascii="宋体" w:hAnsi="宋体" w:cs="宋体" w:eastAsia="宋体" w:hint="default"/>
                <w:b/>
                <w:bCs/>
                <w:sz w:val="21"/>
                <w:szCs w:val="21"/>
              </w:rPr>
              <w:t>已计提坏账准备金</w:t>
            </w:r>
            <w:r>
              <w:rPr>
                <w:rFonts w:ascii="宋体" w:hAnsi="宋体" w:cs="宋体" w:eastAsia="宋体" w:hint="default"/>
                <w:b/>
                <w:bCs/>
                <w:w w:val="100"/>
                <w:sz w:val="21"/>
                <w:szCs w:val="21"/>
              </w:rPr>
              <w:t> </w:t>
            </w:r>
            <w:r>
              <w:rPr>
                <w:rFonts w:ascii="宋体" w:hAnsi="宋体" w:cs="宋体" w:eastAsia="宋体" w:hint="default"/>
                <w:b/>
                <w:bCs/>
                <w:sz w:val="21"/>
                <w:szCs w:val="21"/>
              </w:rPr>
              <w:t>额</w:t>
            </w:r>
            <w:r>
              <w:rPr>
                <w:rFonts w:ascii="宋体" w:hAnsi="宋体" w:cs="宋体" w:eastAsia="宋体" w:hint="default"/>
                <w:sz w:val="21"/>
                <w:szCs w:val="21"/>
              </w:rPr>
            </w:r>
          </w:p>
        </w:tc>
        <w:tc>
          <w:tcPr>
            <w:tcW w:w="171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994" w:type="dxa"/>
            <w:vMerge/>
            <w:tcBorders>
              <w:left w:val="single" w:sz="4" w:space="0" w:color="000000"/>
              <w:bottom w:val="nil" w:sz="6" w:space="0" w:color="auto"/>
              <w:right w:val="single" w:sz="4" w:space="0" w:color="000000"/>
            </w:tcBorders>
            <w:shd w:val="clear" w:color="auto" w:fill="D2D2D2"/>
          </w:tcPr>
          <w:p>
            <w:pPr/>
          </w:p>
        </w:tc>
        <w:tc>
          <w:tcPr>
            <w:tcW w:w="1564" w:type="dxa"/>
            <w:vMerge/>
            <w:tcBorders>
              <w:left w:val="single" w:sz="4" w:space="0" w:color="000000"/>
              <w:bottom w:val="nil" w:sz="6" w:space="0" w:color="auto"/>
              <w:right w:val="single" w:sz="4" w:space="0" w:color="000000"/>
            </w:tcBorders>
            <w:shd w:val="clear" w:color="auto" w:fill="D2D2D2"/>
          </w:tcPr>
          <w:p>
            <w:pP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73" w:lineRule="auto"/>
              <w:ind w:left="529" w:right="105" w:hanging="423"/>
              <w:jc w:val="left"/>
              <w:rPr>
                <w:rFonts w:ascii="宋体" w:hAnsi="宋体" w:cs="宋体" w:eastAsia="宋体" w:hint="default"/>
                <w:sz w:val="21"/>
                <w:szCs w:val="21"/>
              </w:rPr>
            </w:pPr>
            <w:r>
              <w:rPr>
                <w:rFonts w:ascii="宋体" w:hAnsi="宋体" w:cs="宋体" w:eastAsia="宋体" w:hint="default"/>
                <w:b/>
                <w:bCs/>
                <w:sz w:val="21"/>
                <w:szCs w:val="21"/>
              </w:rPr>
              <w:t>确定原坏账准备</w:t>
            </w:r>
            <w:r>
              <w:rPr>
                <w:rFonts w:ascii="宋体" w:hAnsi="宋体" w:cs="宋体" w:eastAsia="宋体" w:hint="default"/>
                <w:b/>
                <w:bCs/>
                <w:spacing w:val="-104"/>
                <w:sz w:val="21"/>
                <w:szCs w:val="21"/>
              </w:rPr>
              <w:t> </w:t>
            </w:r>
            <w:r>
              <w:rPr>
                <w:rFonts w:ascii="宋体" w:hAnsi="宋体" w:cs="宋体" w:eastAsia="宋体" w:hint="default"/>
                <w:b/>
                <w:bCs/>
                <w:sz w:val="21"/>
                <w:szCs w:val="21"/>
              </w:rPr>
              <w:t>的依据</w:t>
            </w:r>
            <w:r>
              <w:rPr>
                <w:rFonts w:ascii="宋体" w:hAnsi="宋体" w:cs="宋体" w:eastAsia="宋体" w:hint="default"/>
                <w:sz w:val="21"/>
                <w:szCs w:val="21"/>
              </w:rPr>
            </w:r>
          </w:p>
        </w:tc>
        <w:tc>
          <w:tcPr>
            <w:tcW w:w="1752" w:type="dxa"/>
            <w:vMerge/>
            <w:tcBorders>
              <w:left w:val="single" w:sz="4" w:space="0" w:color="000000"/>
              <w:right w:val="single" w:sz="4" w:space="0" w:color="000000"/>
            </w:tcBorders>
            <w:shd w:val="clear" w:color="auto" w:fill="D2D2D2"/>
          </w:tcPr>
          <w:p>
            <w:pPr/>
          </w:p>
        </w:tc>
        <w:tc>
          <w:tcPr>
            <w:tcW w:w="1713" w:type="dxa"/>
            <w:vMerge/>
            <w:tcBorders>
              <w:left w:val="single" w:sz="4" w:space="0" w:color="000000"/>
              <w:bottom w:val="nil" w:sz="6" w:space="0" w:color="auto"/>
              <w:right w:val="single" w:sz="4" w:space="0" w:color="000000"/>
            </w:tcBorders>
            <w:shd w:val="clear" w:color="auto" w:fill="D2D2D2"/>
          </w:tcPr>
          <w:p>
            <w:pPr/>
          </w:p>
        </w:tc>
      </w:tr>
      <w:tr>
        <w:trPr>
          <w:trHeight w:val="312" w:hRule="exact"/>
        </w:trPr>
        <w:tc>
          <w:tcPr>
            <w:tcW w:w="1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3" w:lineRule="exact"/>
              <w:ind w:left="247" w:right="0"/>
              <w:jc w:val="left"/>
              <w:rPr>
                <w:rFonts w:ascii="宋体" w:hAnsi="宋体" w:cs="宋体" w:eastAsia="宋体" w:hint="default"/>
                <w:sz w:val="21"/>
                <w:szCs w:val="21"/>
              </w:rPr>
            </w:pPr>
            <w:r>
              <w:rPr>
                <w:rFonts w:ascii="宋体" w:hAnsi="宋体" w:cs="宋体" w:eastAsia="宋体" w:hint="default"/>
                <w:b/>
                <w:bCs/>
                <w:sz w:val="21"/>
                <w:szCs w:val="21"/>
              </w:rPr>
              <w:t>其他应收款内容</w:t>
            </w:r>
            <w:r>
              <w:rPr>
                <w:rFonts w:ascii="宋体" w:hAnsi="宋体" w:cs="宋体" w:eastAsia="宋体" w:hint="default"/>
                <w:sz w:val="21"/>
                <w:szCs w:val="21"/>
              </w:rPr>
            </w:r>
          </w:p>
        </w:tc>
        <w:tc>
          <w:tcPr>
            <w:tcW w:w="15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3" w:lineRule="exact"/>
              <w:ind w:right="2"/>
              <w:jc w:val="center"/>
              <w:rPr>
                <w:rFonts w:ascii="宋体" w:hAnsi="宋体" w:cs="宋体" w:eastAsia="宋体" w:hint="default"/>
                <w:sz w:val="21"/>
                <w:szCs w:val="21"/>
              </w:rPr>
            </w:pPr>
            <w:r>
              <w:rPr>
                <w:rFonts w:ascii="宋体" w:hAnsi="宋体" w:cs="宋体" w:eastAsia="宋体" w:hint="default"/>
                <w:b/>
                <w:bCs/>
                <w:sz w:val="21"/>
                <w:szCs w:val="21"/>
              </w:rPr>
              <w:t>转回或收回原因</w:t>
            </w:r>
            <w:r>
              <w:rPr>
                <w:rFonts w:ascii="宋体" w:hAnsi="宋体" w:cs="宋体" w:eastAsia="宋体" w:hint="default"/>
                <w:sz w:val="21"/>
                <w:szCs w:val="21"/>
              </w:rPr>
            </w:r>
          </w:p>
        </w:tc>
        <w:tc>
          <w:tcPr>
            <w:tcW w:w="1702" w:type="dxa"/>
            <w:vMerge/>
            <w:tcBorders>
              <w:left w:val="single" w:sz="4" w:space="0" w:color="000000"/>
              <w:right w:val="single" w:sz="4" w:space="0" w:color="000000"/>
            </w:tcBorders>
            <w:shd w:val="clear" w:color="auto" w:fill="D2D2D2"/>
          </w:tcPr>
          <w:p>
            <w:pPr/>
          </w:p>
        </w:tc>
        <w:tc>
          <w:tcPr>
            <w:tcW w:w="1752" w:type="dxa"/>
            <w:vMerge/>
            <w:tcBorders>
              <w:left w:val="single" w:sz="4" w:space="0" w:color="000000"/>
              <w:right w:val="single" w:sz="4" w:space="0" w:color="000000"/>
            </w:tcBorders>
            <w:shd w:val="clear" w:color="auto" w:fill="D2D2D2"/>
          </w:tcPr>
          <w:p>
            <w:pPr/>
          </w:p>
        </w:tc>
        <w:tc>
          <w:tcPr>
            <w:tcW w:w="17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3" w:lineRule="exact"/>
              <w:ind w:left="13" w:right="0"/>
              <w:jc w:val="center"/>
              <w:rPr>
                <w:rFonts w:ascii="宋体" w:hAnsi="宋体" w:cs="宋体" w:eastAsia="宋体" w:hint="default"/>
                <w:sz w:val="21"/>
                <w:szCs w:val="21"/>
              </w:rPr>
            </w:pPr>
            <w:r>
              <w:rPr>
                <w:rFonts w:ascii="宋体" w:hAnsi="宋体" w:cs="宋体" w:eastAsia="宋体" w:hint="default"/>
                <w:b/>
                <w:bCs/>
                <w:sz w:val="21"/>
                <w:szCs w:val="21"/>
              </w:rPr>
              <w:t>转回或收回金额</w:t>
            </w:r>
            <w:r>
              <w:rPr>
                <w:rFonts w:ascii="宋体" w:hAnsi="宋体" w:cs="宋体" w:eastAsia="宋体" w:hint="default"/>
                <w:sz w:val="21"/>
                <w:szCs w:val="21"/>
              </w:rPr>
            </w:r>
          </w:p>
        </w:tc>
      </w:tr>
      <w:tr>
        <w:trPr>
          <w:trHeight w:val="156" w:hRule="exact"/>
        </w:trPr>
        <w:tc>
          <w:tcPr>
            <w:tcW w:w="1994" w:type="dxa"/>
            <w:vMerge w:val="restart"/>
            <w:tcBorders>
              <w:top w:val="nil" w:sz="6" w:space="0" w:color="auto"/>
              <w:left w:val="single" w:sz="4" w:space="0" w:color="000000"/>
              <w:right w:val="single" w:sz="4" w:space="0" w:color="000000"/>
            </w:tcBorders>
            <w:shd w:val="clear" w:color="auto" w:fill="D2D2D2"/>
          </w:tcPr>
          <w:p>
            <w:pPr/>
          </w:p>
        </w:tc>
        <w:tc>
          <w:tcPr>
            <w:tcW w:w="1564" w:type="dxa"/>
            <w:vMerge w:val="restart"/>
            <w:tcBorders>
              <w:top w:val="nil" w:sz="6" w:space="0" w:color="auto"/>
              <w:left w:val="single" w:sz="4" w:space="0" w:color="000000"/>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1752" w:type="dxa"/>
            <w:vMerge/>
            <w:tcBorders>
              <w:left w:val="single" w:sz="4" w:space="0" w:color="000000"/>
              <w:right w:val="single" w:sz="4" w:space="0" w:color="000000"/>
            </w:tcBorders>
            <w:shd w:val="clear" w:color="auto" w:fill="D2D2D2"/>
          </w:tcPr>
          <w:p>
            <w:pPr/>
          </w:p>
        </w:tc>
        <w:tc>
          <w:tcPr>
            <w:tcW w:w="1713" w:type="dxa"/>
            <w:vMerge w:val="restart"/>
            <w:tcBorders>
              <w:top w:val="nil" w:sz="6" w:space="0" w:color="auto"/>
              <w:left w:val="single" w:sz="4" w:space="0" w:color="000000"/>
              <w:right w:val="single" w:sz="4" w:space="0" w:color="000000"/>
            </w:tcBorders>
            <w:shd w:val="clear" w:color="auto" w:fill="D2D2D2"/>
          </w:tcPr>
          <w:p>
            <w:pPr/>
          </w:p>
        </w:tc>
      </w:tr>
      <w:tr>
        <w:trPr>
          <w:trHeight w:val="16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564"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52" w:type="dxa"/>
            <w:vMerge/>
            <w:tcBorders>
              <w:left w:val="single" w:sz="4" w:space="0" w:color="000000"/>
              <w:bottom w:val="single" w:sz="4" w:space="0" w:color="000000"/>
              <w:right w:val="single" w:sz="4" w:space="0" w:color="000000"/>
            </w:tcBorders>
            <w:shd w:val="clear" w:color="auto" w:fill="D2D2D2"/>
          </w:tcPr>
          <w:p>
            <w:pPr/>
          </w:p>
        </w:tc>
        <w:tc>
          <w:tcPr>
            <w:tcW w:w="1713" w:type="dxa"/>
            <w:vMerge/>
            <w:tcBorders>
              <w:left w:val="single" w:sz="4" w:space="0" w:color="000000"/>
              <w:bottom w:val="single" w:sz="4" w:space="0" w:color="000000"/>
              <w:right w:val="single" w:sz="4" w:space="0" w:color="000000"/>
            </w:tcBorders>
            <w:shd w:val="clear" w:color="auto" w:fill="D2D2D2"/>
          </w:tcPr>
          <w:p>
            <w:pPr/>
          </w:p>
        </w:tc>
      </w:tr>
      <w:tr>
        <w:trPr>
          <w:trHeight w:val="323"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2"/>
              <w:jc w:val="center"/>
              <w:rPr>
                <w:rFonts w:ascii="Calibri" w:hAnsi="Calibri" w:cs="Calibri" w:eastAsia="Calibri" w:hint="default"/>
                <w:sz w:val="21"/>
                <w:szCs w:val="21"/>
              </w:rPr>
            </w:pPr>
            <w:r>
              <w:rPr>
                <w:rFonts w:ascii="Calibri"/>
                <w:sz w:val="21"/>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right="0"/>
              <w:jc w:val="center"/>
              <w:rPr>
                <w:rFonts w:ascii="Calibri" w:hAnsi="Calibri" w:cs="Calibri" w:eastAsia="Calibri" w:hint="default"/>
                <w:sz w:val="21"/>
                <w:szCs w:val="21"/>
              </w:rPr>
            </w:pPr>
            <w:r>
              <w:rPr>
                <w:rFonts w:ascii="Calibri"/>
                <w:sz w:val="21"/>
              </w:rPr>
              <w:t>--</w:t>
            </w:r>
          </w:p>
        </w:tc>
        <w:tc>
          <w:tcPr>
            <w:tcW w:w="1752"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29"/>
              <w:ind w:right="13"/>
              <w:jc w:val="right"/>
              <w:rPr>
                <w:rFonts w:ascii="Calibri" w:hAnsi="Calibri" w:cs="Calibri" w:eastAsia="Calibri" w:hint="default"/>
                <w:sz w:val="21"/>
                <w:szCs w:val="21"/>
              </w:rPr>
            </w:pPr>
            <w:r>
              <w:rPr>
                <w:rFonts w:ascii="Calibri"/>
                <w:w w:val="100"/>
                <w:sz w:val="21"/>
              </w:rPr>
              <w:t>0</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9"/>
              <w:ind w:left="8" w:right="0"/>
              <w:jc w:val="center"/>
              <w:rPr>
                <w:rFonts w:ascii="Calibri" w:hAnsi="Calibri" w:cs="Calibri" w:eastAsia="Calibri" w:hint="default"/>
                <w:sz w:val="21"/>
                <w:szCs w:val="21"/>
              </w:rPr>
            </w:pPr>
            <w:r>
              <w:rPr>
                <w:rFonts w:ascii="Calibri"/>
                <w:sz w:val="21"/>
              </w:rPr>
              <w:t>--</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期末单项金额重大或虽不重大但单独进行减值测试的其他应收账款坏账准备计提</w:t>
      </w:r>
    </w:p>
    <w:p>
      <w:pPr>
        <w:spacing w:before="37"/>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1670"/>
        <w:gridCol w:w="1798"/>
        <w:gridCol w:w="1799"/>
        <w:gridCol w:w="1774"/>
        <w:gridCol w:w="1684"/>
      </w:tblGrid>
      <w:tr>
        <w:trPr>
          <w:trHeight w:val="322" w:hRule="exact"/>
        </w:trPr>
        <w:tc>
          <w:tcPr>
            <w:tcW w:w="1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96" w:right="0"/>
              <w:jc w:val="left"/>
              <w:rPr>
                <w:rFonts w:ascii="宋体" w:hAnsi="宋体" w:cs="宋体" w:eastAsia="宋体" w:hint="default"/>
                <w:sz w:val="21"/>
                <w:szCs w:val="21"/>
              </w:rPr>
            </w:pPr>
            <w:r>
              <w:rPr>
                <w:rFonts w:ascii="宋体" w:hAnsi="宋体" w:cs="宋体" w:eastAsia="宋体" w:hint="default"/>
                <w:b/>
                <w:bCs/>
                <w:sz w:val="21"/>
                <w:szCs w:val="21"/>
              </w:rPr>
              <w:t>应收账款内容</w:t>
            </w:r>
            <w:r>
              <w:rPr>
                <w:rFonts w:ascii="宋体" w:hAnsi="宋体" w:cs="宋体" w:eastAsia="宋体" w:hint="default"/>
                <w:sz w:val="21"/>
                <w:szCs w:val="21"/>
              </w:rPr>
            </w:r>
          </w:p>
        </w:tc>
        <w:tc>
          <w:tcPr>
            <w:tcW w:w="1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78"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68" w:right="0"/>
              <w:jc w:val="left"/>
              <w:rPr>
                <w:rFonts w:ascii="宋体" w:hAnsi="宋体" w:cs="宋体" w:eastAsia="宋体" w:hint="default"/>
                <w:sz w:val="21"/>
                <w:szCs w:val="21"/>
              </w:rPr>
            </w:pPr>
            <w:r>
              <w:rPr>
                <w:rFonts w:ascii="宋体" w:hAnsi="宋体" w:cs="宋体" w:eastAsia="宋体" w:hint="default"/>
                <w:b/>
                <w:bCs/>
                <w:sz w:val="21"/>
                <w:szCs w:val="21"/>
              </w:rPr>
              <w:t>坏账金额</w:t>
            </w:r>
            <w:r>
              <w:rPr>
                <w:rFonts w:ascii="宋体" w:hAnsi="宋体" w:cs="宋体" w:eastAsia="宋体" w:hint="default"/>
                <w:sz w:val="21"/>
                <w:szCs w:val="21"/>
              </w:rPr>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right="11"/>
              <w:jc w:val="center"/>
              <w:rPr>
                <w:rFonts w:ascii="宋体" w:hAnsi="宋体" w:cs="宋体" w:eastAsia="宋体" w:hint="default"/>
                <w:sz w:val="21"/>
                <w:szCs w:val="21"/>
              </w:rPr>
            </w:pPr>
            <w:r>
              <w:rPr>
                <w:rFonts w:ascii="宋体" w:hAnsi="宋体" w:cs="宋体" w:eastAsia="宋体" w:hint="default"/>
                <w:b/>
                <w:bCs/>
                <w:sz w:val="21"/>
                <w:szCs w:val="21"/>
              </w:rPr>
              <w:t>计提比例（</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8" w:right="0"/>
              <w:jc w:val="center"/>
              <w:rPr>
                <w:rFonts w:ascii="宋体" w:hAnsi="宋体" w:cs="宋体" w:eastAsia="宋体" w:hint="default"/>
                <w:sz w:val="21"/>
                <w:szCs w:val="21"/>
              </w:rPr>
            </w:pPr>
            <w:r>
              <w:rPr>
                <w:rFonts w:ascii="宋体" w:hAnsi="宋体" w:cs="宋体" w:eastAsia="宋体" w:hint="default"/>
                <w:b/>
                <w:bCs/>
                <w:sz w:val="21"/>
                <w:szCs w:val="21"/>
              </w:rPr>
              <w:t>理由</w:t>
            </w:r>
            <w:r>
              <w:rPr>
                <w:rFonts w:ascii="宋体" w:hAnsi="宋体" w:cs="宋体" w:eastAsia="宋体" w:hint="default"/>
                <w:sz w:val="21"/>
                <w:szCs w:val="21"/>
              </w:rPr>
            </w:r>
          </w:p>
        </w:tc>
      </w:tr>
      <w:tr>
        <w:trPr>
          <w:trHeight w:val="322" w:hRule="exact"/>
        </w:trPr>
        <w:tc>
          <w:tcPr>
            <w:tcW w:w="1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179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right="24"/>
              <w:jc w:val="right"/>
              <w:rPr>
                <w:rFonts w:ascii="Calibri" w:hAnsi="Calibri" w:cs="Calibri" w:eastAsia="Calibri" w:hint="default"/>
                <w:sz w:val="21"/>
                <w:szCs w:val="21"/>
              </w:rPr>
            </w:pPr>
            <w:r>
              <w:rPr>
                <w:rFonts w:ascii="Calibri"/>
                <w:w w:val="100"/>
                <w:sz w:val="21"/>
              </w:rPr>
              <w:t>0</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2"/>
              <w:jc w:val="center"/>
              <w:rPr>
                <w:rFonts w:ascii="Calibri" w:hAnsi="Calibri" w:cs="Calibri" w:eastAsia="Calibri" w:hint="default"/>
                <w:sz w:val="21"/>
                <w:szCs w:val="21"/>
              </w:rPr>
            </w:pPr>
            <w:r>
              <w:rPr>
                <w:rFonts w:ascii="Calibri"/>
                <w:sz w:val="21"/>
              </w:rPr>
              <w:t>--</w:t>
            </w:r>
          </w:p>
        </w:tc>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8" w:right="0"/>
              <w:jc w:val="center"/>
              <w:rPr>
                <w:rFonts w:ascii="Calibri" w:hAnsi="Calibri" w:cs="Calibri" w:eastAsia="Calibri" w:hint="default"/>
                <w:sz w:val="21"/>
                <w:szCs w:val="21"/>
              </w:rPr>
            </w:pPr>
            <w:r>
              <w:rPr>
                <w:rFonts w:ascii="Calibri"/>
                <w:sz w:val="21"/>
              </w:rPr>
              <w:t>--</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单项金额不重大但按信用风险特征组合后该组合的风险较大的其他应收款的说明：无</w:t>
      </w:r>
    </w:p>
    <w:p>
      <w:pPr>
        <w:spacing w:line="240" w:lineRule="auto" w:before="10"/>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）本报告期实际核销的其他应收款情况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471"/>
        <w:gridCol w:w="1436"/>
        <w:gridCol w:w="1469"/>
        <w:gridCol w:w="1337"/>
        <w:gridCol w:w="1401"/>
        <w:gridCol w:w="1624"/>
      </w:tblGrid>
      <w:tr>
        <w:trPr>
          <w:trHeight w:val="161" w:hRule="exact"/>
        </w:trPr>
        <w:tc>
          <w:tcPr>
            <w:tcW w:w="1471"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6"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607" w:right="75" w:hanging="527"/>
              <w:jc w:val="left"/>
              <w:rPr>
                <w:rFonts w:ascii="宋体" w:hAnsi="宋体" w:cs="宋体" w:eastAsia="宋体" w:hint="default"/>
                <w:sz w:val="21"/>
                <w:szCs w:val="21"/>
              </w:rPr>
            </w:pPr>
            <w:r>
              <w:rPr>
                <w:rFonts w:ascii="宋体" w:hAnsi="宋体" w:cs="宋体" w:eastAsia="宋体" w:hint="default"/>
                <w:b/>
                <w:bCs/>
                <w:sz w:val="21"/>
                <w:szCs w:val="21"/>
              </w:rPr>
              <w:t>其他应收款性</w:t>
            </w:r>
            <w:r>
              <w:rPr>
                <w:rFonts w:ascii="宋体" w:hAnsi="宋体" w:cs="宋体" w:eastAsia="宋体" w:hint="default"/>
                <w:b/>
                <w:bCs/>
                <w:spacing w:val="-104"/>
                <w:sz w:val="21"/>
                <w:szCs w:val="21"/>
              </w:rPr>
              <w:t> </w:t>
            </w:r>
            <w:r>
              <w:rPr>
                <w:rFonts w:ascii="宋体" w:hAnsi="宋体" w:cs="宋体" w:eastAsia="宋体" w:hint="default"/>
                <w:b/>
                <w:bCs/>
                <w:sz w:val="21"/>
                <w:szCs w:val="21"/>
              </w:rPr>
              <w:t>质</w:t>
            </w:r>
            <w:r>
              <w:rPr>
                <w:rFonts w:ascii="宋体" w:hAnsi="宋体" w:cs="宋体" w:eastAsia="宋体" w:hint="default"/>
                <w:sz w:val="21"/>
                <w:szCs w:val="21"/>
              </w:rPr>
            </w:r>
          </w:p>
        </w:tc>
        <w:tc>
          <w:tcPr>
            <w:tcW w:w="14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594" w:right="65" w:hanging="526"/>
              <w:jc w:val="left"/>
              <w:rPr>
                <w:rFonts w:ascii="宋体" w:hAnsi="宋体" w:cs="宋体" w:eastAsia="宋体" w:hint="default"/>
                <w:sz w:val="21"/>
                <w:szCs w:val="21"/>
              </w:rPr>
            </w:pPr>
            <w:r>
              <w:rPr>
                <w:rFonts w:ascii="宋体" w:hAnsi="宋体" w:cs="宋体" w:eastAsia="宋体" w:hint="default"/>
                <w:b/>
                <w:bCs/>
                <w:sz w:val="21"/>
                <w:szCs w:val="21"/>
              </w:rPr>
              <w:t>是否因关联交易</w:t>
            </w:r>
            <w:r>
              <w:rPr>
                <w:rFonts w:ascii="宋体" w:hAnsi="宋体" w:cs="宋体" w:eastAsia="宋体" w:hint="default"/>
                <w:b/>
                <w:bCs/>
                <w:spacing w:val="-104"/>
                <w:sz w:val="21"/>
                <w:szCs w:val="21"/>
              </w:rPr>
              <w:t> </w:t>
            </w:r>
            <w:r>
              <w:rPr>
                <w:rFonts w:ascii="宋体" w:hAnsi="宋体" w:cs="宋体" w:eastAsia="宋体" w:hint="default"/>
                <w:b/>
                <w:bCs/>
                <w:sz w:val="21"/>
                <w:szCs w:val="21"/>
              </w:rPr>
              <w:t>产生</w:t>
            </w:r>
            <w:r>
              <w:rPr>
                <w:rFonts w:ascii="宋体" w:hAnsi="宋体" w:cs="宋体" w:eastAsia="宋体" w:hint="default"/>
                <w:sz w:val="21"/>
                <w:szCs w:val="21"/>
              </w:rPr>
            </w:r>
          </w:p>
        </w:tc>
      </w:tr>
      <w:tr>
        <w:trPr>
          <w:trHeight w:val="312" w:hRule="exact"/>
        </w:trPr>
        <w:tc>
          <w:tcPr>
            <w:tcW w:w="14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436" w:type="dxa"/>
            <w:vMerge/>
            <w:tcBorders>
              <w:left w:val="single" w:sz="4" w:space="0" w:color="000000"/>
              <w:right w:val="single" w:sz="4" w:space="0" w:color="000000"/>
            </w:tcBorders>
            <w:shd w:val="clear" w:color="auto" w:fill="D2D2D2"/>
          </w:tcPr>
          <w:p>
            <w:pPr/>
          </w:p>
        </w:tc>
        <w:tc>
          <w:tcPr>
            <w:tcW w:w="14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14" w:right="0"/>
              <w:jc w:val="center"/>
              <w:rPr>
                <w:rFonts w:ascii="宋体" w:hAnsi="宋体" w:cs="宋体" w:eastAsia="宋体" w:hint="default"/>
                <w:sz w:val="21"/>
                <w:szCs w:val="21"/>
              </w:rPr>
            </w:pPr>
            <w:r>
              <w:rPr>
                <w:rFonts w:ascii="宋体" w:hAnsi="宋体" w:cs="宋体" w:eastAsia="宋体" w:hint="default"/>
                <w:b/>
                <w:bCs/>
                <w:sz w:val="21"/>
                <w:szCs w:val="21"/>
              </w:rPr>
              <w:t>核销时间</w:t>
            </w:r>
            <w:r>
              <w:rPr>
                <w:rFonts w:ascii="宋体" w:hAnsi="宋体" w:cs="宋体" w:eastAsia="宋体" w:hint="default"/>
                <w:sz w:val="21"/>
                <w:szCs w:val="21"/>
              </w:rPr>
            </w:r>
          </w:p>
        </w:tc>
        <w:tc>
          <w:tcPr>
            <w:tcW w:w="13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left="242" w:right="0"/>
              <w:jc w:val="left"/>
              <w:rPr>
                <w:rFonts w:ascii="宋体" w:hAnsi="宋体" w:cs="宋体" w:eastAsia="宋体" w:hint="default"/>
                <w:sz w:val="21"/>
                <w:szCs w:val="21"/>
              </w:rPr>
            </w:pPr>
            <w:r>
              <w:rPr>
                <w:rFonts w:ascii="宋体" w:hAnsi="宋体" w:cs="宋体" w:eastAsia="宋体" w:hint="default"/>
                <w:b/>
                <w:bCs/>
                <w:sz w:val="21"/>
                <w:szCs w:val="21"/>
              </w:rPr>
              <w:t>核销金额</w:t>
            </w:r>
            <w:r>
              <w:rPr>
                <w:rFonts w:ascii="宋体" w:hAnsi="宋体" w:cs="宋体" w:eastAsia="宋体" w:hint="default"/>
                <w:sz w:val="21"/>
                <w:szCs w:val="21"/>
              </w:rPr>
            </w:r>
          </w:p>
        </w:tc>
        <w:tc>
          <w:tcPr>
            <w:tcW w:w="14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2" w:lineRule="exact"/>
              <w:ind w:right="6"/>
              <w:jc w:val="center"/>
              <w:rPr>
                <w:rFonts w:ascii="宋体" w:hAnsi="宋体" w:cs="宋体" w:eastAsia="宋体" w:hint="default"/>
                <w:sz w:val="21"/>
                <w:szCs w:val="21"/>
              </w:rPr>
            </w:pPr>
            <w:r>
              <w:rPr>
                <w:rFonts w:ascii="宋体" w:hAnsi="宋体" w:cs="宋体" w:eastAsia="宋体" w:hint="default"/>
                <w:b/>
                <w:bCs/>
                <w:sz w:val="21"/>
                <w:szCs w:val="21"/>
              </w:rPr>
              <w:t>核销原因</w:t>
            </w:r>
            <w:r>
              <w:rPr>
                <w:rFonts w:ascii="宋体" w:hAnsi="宋体" w:cs="宋体" w:eastAsia="宋体" w:hint="default"/>
                <w:sz w:val="21"/>
                <w:szCs w:val="21"/>
              </w:rPr>
            </w:r>
          </w:p>
        </w:tc>
        <w:tc>
          <w:tcPr>
            <w:tcW w:w="1624" w:type="dxa"/>
            <w:vMerge/>
            <w:tcBorders>
              <w:left w:val="single" w:sz="4" w:space="0" w:color="000000"/>
              <w:right w:val="single" w:sz="4" w:space="0" w:color="000000"/>
            </w:tcBorders>
            <w:shd w:val="clear" w:color="auto" w:fill="D2D2D2"/>
          </w:tcPr>
          <w:p>
            <w:pPr/>
          </w:p>
        </w:tc>
      </w:tr>
      <w:tr>
        <w:trPr>
          <w:trHeight w:val="161" w:hRule="exact"/>
        </w:trPr>
        <w:tc>
          <w:tcPr>
            <w:tcW w:w="14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6" w:type="dxa"/>
            <w:vMerge/>
            <w:tcBorders>
              <w:left w:val="single" w:sz="4" w:space="0" w:color="000000"/>
              <w:bottom w:val="single" w:sz="4" w:space="0" w:color="000000"/>
              <w:right w:val="single" w:sz="4" w:space="0" w:color="000000"/>
            </w:tcBorders>
            <w:shd w:val="clear" w:color="auto" w:fill="D2D2D2"/>
          </w:tcPr>
          <w:p>
            <w:pPr/>
          </w:p>
        </w:tc>
        <w:tc>
          <w:tcPr>
            <w:tcW w:w="14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4"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0"/>
              <w:jc w:val="center"/>
              <w:rPr>
                <w:rFonts w:ascii="Calibri" w:hAnsi="Calibri" w:cs="Calibri" w:eastAsia="Calibri" w:hint="default"/>
                <w:sz w:val="21"/>
                <w:szCs w:val="21"/>
              </w:rPr>
            </w:pPr>
            <w:r>
              <w:rPr>
                <w:rFonts w:ascii="Calibri"/>
                <w:sz w:val="21"/>
              </w:rPr>
              <w:t>--</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4" w:right="0"/>
              <w:jc w:val="center"/>
              <w:rPr>
                <w:rFonts w:ascii="Calibri" w:hAnsi="Calibri" w:cs="Calibri" w:eastAsia="Calibri" w:hint="default"/>
                <w:sz w:val="21"/>
                <w:szCs w:val="21"/>
              </w:rPr>
            </w:pPr>
            <w:r>
              <w:rPr>
                <w:rFonts w:ascii="Calibri"/>
                <w:sz w:val="21"/>
              </w:rPr>
              <w:t>--</w:t>
            </w:r>
          </w:p>
        </w:tc>
        <w:tc>
          <w:tcPr>
            <w:tcW w:w="133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28"/>
              <w:ind w:right="6"/>
              <w:jc w:val="right"/>
              <w:rPr>
                <w:rFonts w:ascii="Calibri" w:hAnsi="Calibri" w:cs="Calibri" w:eastAsia="Calibri" w:hint="default"/>
                <w:sz w:val="21"/>
                <w:szCs w:val="21"/>
              </w:rPr>
            </w:pPr>
            <w:r>
              <w:rPr>
                <w:rFonts w:ascii="Calibri"/>
                <w:w w:val="100"/>
                <w:sz w:val="21"/>
              </w:rPr>
              <w:t>0</w:t>
            </w:r>
          </w:p>
        </w:tc>
        <w:tc>
          <w:tcPr>
            <w:tcW w:w="1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1"/>
              <w:jc w:val="center"/>
              <w:rPr>
                <w:rFonts w:ascii="Calibri" w:hAnsi="Calibri" w:cs="Calibri" w:eastAsia="Calibri" w:hint="default"/>
                <w:sz w:val="21"/>
                <w:szCs w:val="21"/>
              </w:rPr>
            </w:pPr>
            <w:r>
              <w:rPr>
                <w:rFonts w:ascii="Calibri"/>
                <w:sz w:val="21"/>
              </w:rPr>
              <w:t>--</w:t>
            </w:r>
          </w:p>
        </w:tc>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Calibri" w:hAnsi="Calibri" w:cs="Calibri" w:eastAsia="Calibri" w:hint="default"/>
                <w:sz w:val="21"/>
                <w:szCs w:val="21"/>
              </w:rPr>
            </w:pPr>
            <w:r>
              <w:rPr>
                <w:rFonts w:ascii="Calibri"/>
                <w:sz w:val="21"/>
              </w:rPr>
              <w:t>--</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其他应收款核销说明：无</w:t>
      </w:r>
    </w:p>
    <w:p>
      <w:pPr>
        <w:spacing w:line="240" w:lineRule="auto" w:before="10"/>
        <w:rPr>
          <w:rFonts w:ascii="宋体" w:hAnsi="宋体" w:cs="宋体" w:eastAsia="宋体" w:hint="default"/>
          <w:sz w:val="25"/>
          <w:szCs w:val="25"/>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）本报告期其他应收款中持有公司</w:t>
      </w:r>
      <w:r>
        <w:rPr>
          <w:rFonts w:ascii="宋体" w:hAnsi="宋体" w:cs="宋体" w:eastAsia="宋体" w:hint="default"/>
          <w:b/>
          <w:bCs/>
          <w:spacing w:val="-55"/>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％（含</w:t>
      </w:r>
      <w:r>
        <w:rPr>
          <w:rFonts w:ascii="宋体" w:hAnsi="宋体" w:cs="宋体" w:eastAsia="宋体" w:hint="default"/>
          <w:b/>
          <w:bCs/>
          <w:spacing w:val="-56"/>
          <w:sz w:val="21"/>
          <w:szCs w:val="21"/>
        </w:rPr>
        <w:t> </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％）以上表决权股份的股东单位情况</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2420"/>
        <w:gridCol w:w="1582"/>
        <w:gridCol w:w="1578"/>
        <w:gridCol w:w="1701"/>
        <w:gridCol w:w="1457"/>
      </w:tblGrid>
      <w:tr>
        <w:trPr>
          <w:trHeight w:val="166" w:hRule="exact"/>
        </w:trPr>
        <w:tc>
          <w:tcPr>
            <w:tcW w:w="242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315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151" w:hRule="exact"/>
        </w:trPr>
        <w:tc>
          <w:tcPr>
            <w:tcW w:w="2420" w:type="dxa"/>
            <w:vMerge w:val="restart"/>
            <w:tcBorders>
              <w:top w:val="nil" w:sz="6" w:space="0" w:color="auto"/>
              <w:left w:val="single" w:sz="4" w:space="0" w:color="000000"/>
              <w:right w:val="single" w:sz="4" w:space="0" w:color="000000"/>
            </w:tcBorders>
            <w:shd w:val="clear" w:color="auto" w:fill="D2D2D2"/>
          </w:tcPr>
          <w:p>
            <w:pPr>
              <w:pStyle w:val="TableParagraph"/>
              <w:spacing w:line="263" w:lineRule="exact"/>
              <w:ind w:left="777"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3160" w:type="dxa"/>
            <w:gridSpan w:val="2"/>
            <w:vMerge/>
            <w:tcBorders>
              <w:left w:val="single" w:sz="4" w:space="0" w:color="000000"/>
              <w:bottom w:val="single" w:sz="4" w:space="0" w:color="000000"/>
              <w:right w:val="single" w:sz="4" w:space="0" w:color="000000"/>
            </w:tcBorders>
            <w:shd w:val="clear" w:color="auto" w:fill="D2D2D2"/>
          </w:tcPr>
          <w:p>
            <w:pPr/>
          </w:p>
        </w:tc>
        <w:tc>
          <w:tcPr>
            <w:tcW w:w="3158" w:type="dxa"/>
            <w:gridSpan w:val="2"/>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20" w:type="dxa"/>
            <w:vMerge/>
            <w:tcBorders>
              <w:left w:val="single" w:sz="4" w:space="0" w:color="000000"/>
              <w:bottom w:val="nil" w:sz="6" w:space="0" w:color="auto"/>
              <w:right w:val="single" w:sz="4" w:space="0" w:color="000000"/>
            </w:tcBorders>
            <w:shd w:val="clear" w:color="auto" w:fill="D2D2D2"/>
          </w:tcPr>
          <w:p>
            <w:pPr/>
          </w:p>
        </w:tc>
        <w:tc>
          <w:tcPr>
            <w:tcW w:w="1582"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exact"/>
              <w:ind w:left="364"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578"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exact"/>
              <w:ind w:left="151" w:right="0"/>
              <w:jc w:val="left"/>
              <w:rPr>
                <w:rFonts w:ascii="宋体" w:hAnsi="宋体" w:cs="宋体" w:eastAsia="宋体" w:hint="default"/>
                <w:sz w:val="21"/>
                <w:szCs w:val="21"/>
              </w:rPr>
            </w:pPr>
            <w:r>
              <w:rPr>
                <w:rFonts w:ascii="宋体" w:hAnsi="宋体" w:cs="宋体" w:eastAsia="宋体" w:hint="default"/>
                <w:b/>
                <w:bCs/>
                <w:sz w:val="21"/>
                <w:szCs w:val="21"/>
              </w:rPr>
              <w:t>计提坏账金额</w:t>
            </w:r>
            <w:r>
              <w:rPr>
                <w:rFonts w:ascii="宋体" w:hAnsi="宋体" w:cs="宋体" w:eastAsia="宋体" w:hint="default"/>
                <w:sz w:val="21"/>
                <w:szCs w:val="21"/>
              </w:rPr>
            </w:r>
          </w:p>
        </w:tc>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exact"/>
              <w:ind w:left="423" w:right="0"/>
              <w:jc w:val="left"/>
              <w:rPr>
                <w:rFonts w:ascii="宋体" w:hAnsi="宋体" w:cs="宋体" w:eastAsia="宋体" w:hint="default"/>
                <w:sz w:val="21"/>
                <w:szCs w:val="21"/>
              </w:rPr>
            </w:pPr>
            <w:r>
              <w:rPr>
                <w:rFonts w:ascii="宋体" w:hAnsi="宋体" w:cs="宋体" w:eastAsia="宋体" w:hint="default"/>
                <w:b/>
                <w:bCs/>
                <w:sz w:val="21"/>
                <w:szCs w:val="21"/>
              </w:rPr>
              <w:t>账面余额</w:t>
            </w:r>
            <w:r>
              <w:rPr>
                <w:rFonts w:ascii="宋体" w:hAnsi="宋体" w:cs="宋体" w:eastAsia="宋体" w:hint="default"/>
                <w:sz w:val="21"/>
                <w:szCs w:val="21"/>
              </w:rPr>
            </w:r>
          </w:p>
        </w:tc>
        <w:tc>
          <w:tcPr>
            <w:tcW w:w="1457" w:type="dxa"/>
            <w:vMerge w:val="restart"/>
            <w:tcBorders>
              <w:top w:val="single" w:sz="4" w:space="0" w:color="000000"/>
              <w:left w:val="single" w:sz="4" w:space="0" w:color="000000"/>
              <w:right w:val="single" w:sz="4" w:space="0" w:color="000000"/>
            </w:tcBorders>
            <w:shd w:val="clear" w:color="auto" w:fill="D2D2D2"/>
          </w:tcPr>
          <w:p>
            <w:pPr>
              <w:pStyle w:val="TableParagraph"/>
              <w:spacing w:line="268" w:lineRule="exact"/>
              <w:ind w:left="91" w:right="0"/>
              <w:jc w:val="left"/>
              <w:rPr>
                <w:rFonts w:ascii="宋体" w:hAnsi="宋体" w:cs="宋体" w:eastAsia="宋体" w:hint="default"/>
                <w:sz w:val="21"/>
                <w:szCs w:val="21"/>
              </w:rPr>
            </w:pPr>
            <w:r>
              <w:rPr>
                <w:rFonts w:ascii="宋体" w:hAnsi="宋体" w:cs="宋体" w:eastAsia="宋体" w:hint="default"/>
                <w:b/>
                <w:bCs/>
                <w:sz w:val="21"/>
                <w:szCs w:val="21"/>
              </w:rPr>
              <w:t>计提坏账金额</w:t>
            </w:r>
            <w:r>
              <w:rPr>
                <w:rFonts w:ascii="宋体" w:hAnsi="宋体" w:cs="宋体" w:eastAsia="宋体" w:hint="default"/>
                <w:sz w:val="21"/>
                <w:szCs w:val="21"/>
              </w:rPr>
            </w:r>
          </w:p>
        </w:tc>
      </w:tr>
      <w:tr>
        <w:trPr>
          <w:trHeight w:val="166" w:hRule="exact"/>
        </w:trPr>
        <w:tc>
          <w:tcPr>
            <w:tcW w:w="24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2" w:type="dxa"/>
            <w:vMerge/>
            <w:tcBorders>
              <w:left w:val="single" w:sz="4" w:space="0" w:color="000000"/>
              <w:bottom w:val="single" w:sz="4" w:space="0" w:color="000000"/>
              <w:right w:val="single" w:sz="4" w:space="0" w:color="000000"/>
            </w:tcBorders>
            <w:shd w:val="clear" w:color="auto" w:fill="D2D2D2"/>
          </w:tcPr>
          <w:p>
            <w:pPr/>
          </w:p>
        </w:tc>
        <w:tc>
          <w:tcPr>
            <w:tcW w:w="1578" w:type="dxa"/>
            <w:vMerge/>
            <w:tcBorders>
              <w:left w:val="single" w:sz="4" w:space="0" w:color="000000"/>
              <w:bottom w:val="single" w:sz="4" w:space="0" w:color="000000"/>
              <w:right w:val="single" w:sz="4" w:space="0" w:color="000000"/>
            </w:tcBorders>
            <w:shd w:val="clear" w:color="auto" w:fill="D2D2D2"/>
          </w:tcPr>
          <w:p>
            <w:pPr/>
          </w:p>
        </w:tc>
        <w:tc>
          <w:tcPr>
            <w:tcW w:w="1701" w:type="dxa"/>
            <w:vMerge/>
            <w:tcBorders>
              <w:left w:val="single" w:sz="4" w:space="0" w:color="000000"/>
              <w:bottom w:val="single" w:sz="4" w:space="0" w:color="000000"/>
              <w:right w:val="single" w:sz="4" w:space="0" w:color="000000"/>
            </w:tcBorders>
            <w:shd w:val="clear" w:color="auto" w:fill="D2D2D2"/>
          </w:tcPr>
          <w:p>
            <w:pPr/>
          </w:p>
        </w:tc>
        <w:tc>
          <w:tcPr>
            <w:tcW w:w="1457"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8"/>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w w:val="100"/>
                <w:sz w:val="21"/>
              </w:rPr>
              <w:t>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bl>
    <w:p>
      <w:pPr>
        <w:spacing w:after="0" w:line="240" w:lineRule="auto"/>
        <w:jc w:val="right"/>
        <w:rPr>
          <w:rFonts w:ascii="Calibri" w:hAnsi="Calibri" w:cs="Calibri" w:eastAsia="Calibri" w:hint="default"/>
          <w:sz w:val="21"/>
          <w:szCs w:val="21"/>
        </w:rPr>
        <w:sectPr>
          <w:type w:val="continuous"/>
          <w:pgSz w:w="11910" w:h="16840"/>
          <w:pgMar w:top="440" w:bottom="280" w:left="1240" w:right="1260"/>
        </w:sectPr>
      </w:pPr>
    </w:p>
    <w:p>
      <w:pPr>
        <w:spacing w:line="240" w:lineRule="auto" w:before="4"/>
        <w:rPr>
          <w:rFonts w:ascii="宋体" w:hAnsi="宋体" w:cs="宋体" w:eastAsia="宋体" w:hint="default"/>
          <w:sz w:val="16"/>
          <w:szCs w:val="16"/>
        </w:rPr>
      </w:pPr>
    </w:p>
    <w:p>
      <w:pPr>
        <w:spacing w:line="506" w:lineRule="auto" w:before="36"/>
        <w:ind w:left="558" w:right="4777"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5</w:t>
      </w:r>
      <w:r>
        <w:rPr>
          <w:rFonts w:ascii="宋体" w:hAnsi="宋体" w:cs="宋体" w:eastAsia="宋体" w:hint="default"/>
          <w:b/>
          <w:bCs/>
          <w:spacing w:val="-1"/>
          <w:sz w:val="21"/>
          <w:szCs w:val="21"/>
        </w:rPr>
        <w:t>）金额较大的其他应收款的性质或内容</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无</w:t>
      </w:r>
    </w:p>
    <w:p>
      <w:pPr>
        <w:spacing w:before="104"/>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3149"/>
        <w:gridCol w:w="1560"/>
        <w:gridCol w:w="1274"/>
        <w:gridCol w:w="1018"/>
        <w:gridCol w:w="1748"/>
      </w:tblGrid>
      <w:tr>
        <w:trPr>
          <w:trHeight w:val="634" w:hRule="exact"/>
        </w:trPr>
        <w:tc>
          <w:tcPr>
            <w:tcW w:w="3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141" w:right="0"/>
              <w:jc w:val="left"/>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19" w:right="0"/>
              <w:jc w:val="left"/>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292" w:right="0"/>
              <w:jc w:val="left"/>
              <w:rPr>
                <w:rFonts w:ascii="宋体" w:hAnsi="宋体" w:cs="宋体" w:eastAsia="宋体" w:hint="default"/>
                <w:sz w:val="21"/>
                <w:szCs w:val="21"/>
              </w:rPr>
            </w:pPr>
            <w:r>
              <w:rPr>
                <w:rFonts w:ascii="宋体" w:hAnsi="宋体" w:cs="宋体" w:eastAsia="宋体" w:hint="default"/>
                <w:b/>
                <w:bCs/>
                <w:sz w:val="21"/>
                <w:szCs w:val="21"/>
              </w:rPr>
              <w:t>年限</w:t>
            </w:r>
            <w:r>
              <w:rPr>
                <w:rFonts w:ascii="宋体" w:hAnsi="宋体" w:cs="宋体" w:eastAsia="宋体" w:hint="default"/>
                <w:sz w:val="21"/>
                <w:szCs w:val="21"/>
              </w:rPr>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408" w:right="22" w:hanging="385"/>
              <w:jc w:val="left"/>
              <w:rPr>
                <w:rFonts w:ascii="Calibri" w:hAnsi="Calibri" w:cs="Calibri" w:eastAsia="Calibri" w:hint="default"/>
                <w:sz w:val="21"/>
                <w:szCs w:val="21"/>
              </w:rPr>
            </w:pPr>
            <w:r>
              <w:rPr>
                <w:rFonts w:ascii="宋体" w:hAnsi="宋体" w:cs="宋体" w:eastAsia="宋体" w:hint="default"/>
                <w:b/>
                <w:bCs/>
                <w:sz w:val="21"/>
                <w:szCs w:val="21"/>
              </w:rPr>
              <w:t>占其他应收款总额</w:t>
            </w:r>
            <w:r>
              <w:rPr>
                <w:rFonts w:ascii="宋体" w:hAnsi="宋体" w:cs="宋体" w:eastAsia="宋体" w:hint="default"/>
                <w:b/>
                <w:bCs/>
                <w:spacing w:val="-103"/>
                <w:sz w:val="21"/>
                <w:szCs w:val="21"/>
              </w:rPr>
              <w:t> </w:t>
            </w:r>
            <w:r>
              <w:rPr>
                <w:rFonts w:ascii="宋体" w:hAnsi="宋体" w:cs="宋体" w:eastAsia="宋体" w:hint="default"/>
                <w:b/>
                <w:bCs/>
                <w:sz w:val="21"/>
                <w:szCs w:val="21"/>
              </w:rPr>
              <w:t>的比例</w:t>
            </w:r>
            <w:r>
              <w:rPr>
                <w:rFonts w:ascii="Calibri" w:hAnsi="Calibri" w:cs="Calibri" w:eastAsia="Calibri" w:hint="default"/>
                <w:b/>
                <w:bCs/>
                <w:sz w:val="21"/>
                <w:szCs w:val="21"/>
              </w:rPr>
              <w:t>(%)</w:t>
            </w:r>
            <w:r>
              <w:rPr>
                <w:rFonts w:ascii="Calibri" w:hAnsi="Calibri" w:cs="Calibri" w:eastAsia="Calibri" w:hint="default"/>
                <w:sz w:val="21"/>
                <w:szCs w:val="21"/>
              </w:rPr>
            </w:r>
          </w:p>
        </w:tc>
      </w:tr>
      <w:tr>
        <w:trPr>
          <w:trHeight w:val="32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北京超图信息技术有限公司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917,176.84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年以内</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z w:val="21"/>
                <w:szCs w:val="21"/>
              </w:rPr>
              <w:t>往来款</w:t>
            </w:r>
          </w:p>
        </w:tc>
      </w:tr>
      <w:tr>
        <w:trPr>
          <w:trHeight w:val="324"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北京超图信息技术有限公司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1,901,584.73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hAnsi="宋体" w:cs="宋体" w:eastAsia="宋体" w:hint="default"/>
                <w:sz w:val="21"/>
                <w:szCs w:val="21"/>
              </w:rPr>
              <w:t>往来款</w:t>
            </w:r>
          </w:p>
        </w:tc>
      </w:tr>
      <w:tr>
        <w:trPr>
          <w:trHeight w:val="32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北京超图信息技术有限公司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left="2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3,292,942.32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23" w:right="0"/>
              <w:jc w:val="left"/>
              <w:rPr>
                <w:rFonts w:ascii="宋体" w:hAnsi="宋体" w:cs="宋体" w:eastAsia="宋体" w:hint="default"/>
                <w:sz w:val="21"/>
                <w:szCs w:val="21"/>
              </w:rPr>
            </w:pPr>
            <w:r>
              <w:rPr>
                <w:rFonts w:ascii="Calibri" w:hAnsi="Calibri" w:cs="Calibri" w:eastAsia="Calibri" w:hint="default"/>
                <w:sz w:val="21"/>
                <w:szCs w:val="21"/>
              </w:rPr>
              <w:t>2</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9"/>
              <w:jc w:val="right"/>
              <w:rPr>
                <w:rFonts w:ascii="宋体" w:hAnsi="宋体" w:cs="宋体" w:eastAsia="宋体" w:hint="default"/>
                <w:sz w:val="21"/>
                <w:szCs w:val="21"/>
              </w:rPr>
            </w:pPr>
            <w:r>
              <w:rPr>
                <w:rFonts w:ascii="宋体" w:hAnsi="宋体" w:cs="宋体" w:eastAsia="宋体" w:hint="default"/>
                <w:sz w:val="21"/>
                <w:szCs w:val="21"/>
              </w:rPr>
              <w:t>往来款</w:t>
            </w:r>
          </w:p>
        </w:tc>
      </w:tr>
      <w:tr>
        <w:trPr>
          <w:trHeight w:val="32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中科软科技股份有限公司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1,090,050.00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pacing w:val="-1"/>
                <w:sz w:val="21"/>
                <w:szCs w:val="21"/>
              </w:rPr>
              <w:t>投标保证金</w:t>
            </w:r>
          </w:p>
        </w:tc>
      </w:tr>
      <w:tr>
        <w:trPr>
          <w:trHeight w:val="32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广西鸿雁食品有限公司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540,000.00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3</w:t>
            </w:r>
            <w:r>
              <w:rPr>
                <w:rFonts w:ascii="Calibri" w:hAnsi="Calibri" w:cs="Calibri" w:eastAsia="Calibri" w:hint="default"/>
                <w:spacing w:val="7"/>
                <w:sz w:val="21"/>
                <w:szCs w:val="21"/>
              </w:rPr>
              <w:t> </w:t>
            </w:r>
            <w:r>
              <w:rPr>
                <w:rFonts w:ascii="宋体" w:hAnsi="宋体" w:cs="宋体" w:eastAsia="宋体" w:hint="default"/>
                <w:sz w:val="21"/>
                <w:szCs w:val="21"/>
              </w:rPr>
              <w:t>年以上</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z w:val="21"/>
                <w:szCs w:val="21"/>
              </w:rPr>
              <w:t>往来款</w:t>
            </w:r>
          </w:p>
        </w:tc>
      </w:tr>
      <w:tr>
        <w:trPr>
          <w:trHeight w:val="32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贵州阳光产权交易所有限公司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500,000.00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z w:val="21"/>
                <w:szCs w:val="21"/>
              </w:rPr>
              <w:t>往来款</w:t>
            </w:r>
          </w:p>
        </w:tc>
      </w:tr>
      <w:tr>
        <w:trPr>
          <w:trHeight w:val="322"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西安市市级单位政府采购中心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300,000.00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9"/>
              <w:jc w:val="right"/>
              <w:rPr>
                <w:rFonts w:ascii="宋体" w:hAnsi="宋体" w:cs="宋体" w:eastAsia="宋体" w:hint="default"/>
                <w:sz w:val="21"/>
                <w:szCs w:val="21"/>
              </w:rPr>
            </w:pPr>
            <w:r>
              <w:rPr>
                <w:rFonts w:ascii="宋体" w:hAnsi="宋体" w:cs="宋体" w:eastAsia="宋体" w:hint="default"/>
                <w:sz w:val="21"/>
                <w:szCs w:val="21"/>
              </w:rPr>
              <w:t>往来款</w:t>
            </w:r>
          </w:p>
        </w:tc>
      </w:tr>
      <w:tr>
        <w:trPr>
          <w:trHeight w:val="324" w:hRule="exact"/>
        </w:trPr>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北京电子城有限责任公司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1"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289,761.94</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3"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7"/>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Calibri" w:hAnsi="Calibri" w:cs="Calibri" w:eastAsia="Calibri" w:hint="default"/>
                <w:sz w:val="21"/>
                <w:szCs w:val="21"/>
              </w:rPr>
              <w:t>2</w:t>
            </w:r>
            <w:r>
              <w:rPr>
                <w:rFonts w:ascii="Calibri" w:hAnsi="Calibri" w:cs="Calibri" w:eastAsia="Calibri" w:hint="default"/>
                <w:spacing w:val="4"/>
                <w:sz w:val="21"/>
                <w:szCs w:val="21"/>
              </w:rPr>
              <w:t> </w:t>
            </w:r>
            <w:r>
              <w:rPr>
                <w:rFonts w:ascii="宋体" w:hAnsi="宋体" w:cs="宋体" w:eastAsia="宋体" w:hint="default"/>
                <w:sz w:val="21"/>
                <w:szCs w:val="21"/>
              </w:rPr>
              <w:t>年</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9"/>
              <w:jc w:val="right"/>
              <w:rPr>
                <w:rFonts w:ascii="宋体" w:hAnsi="宋体" w:cs="宋体" w:eastAsia="宋体" w:hint="default"/>
                <w:sz w:val="21"/>
                <w:szCs w:val="21"/>
              </w:rPr>
            </w:pPr>
            <w:r>
              <w:rPr>
                <w:rFonts w:ascii="宋体" w:hAnsi="宋体" w:cs="宋体" w:eastAsia="宋体" w:hint="default"/>
                <w:sz w:val="21"/>
                <w:szCs w:val="21"/>
              </w:rPr>
              <w:t>往来款</w:t>
            </w:r>
          </w:p>
        </w:tc>
      </w:tr>
      <w:tr>
        <w:trPr>
          <w:trHeight w:val="322" w:hRule="exact"/>
        </w:trPr>
        <w:tc>
          <w:tcPr>
            <w:tcW w:w="31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1" w:right="0"/>
              <w:jc w:val="left"/>
              <w:rPr>
                <w:rFonts w:ascii="Calibri" w:hAnsi="Calibri" w:cs="Calibri" w:eastAsia="Calibri" w:hint="default"/>
                <w:sz w:val="21"/>
                <w:szCs w:val="21"/>
              </w:rPr>
            </w:pPr>
            <w:r>
              <w:rPr>
                <w:rFonts w:ascii="Calibri"/>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Calibri" w:hAnsi="Calibri" w:cs="Calibri" w:eastAsia="Calibri" w:hint="default"/>
                <w:sz w:val="21"/>
                <w:szCs w:val="21"/>
              </w:rPr>
            </w:pPr>
            <w:r>
              <w:rPr>
                <w:rFonts w:ascii="Calibri"/>
                <w:sz w:val="21"/>
              </w:rPr>
              <w:t>8,831,515.83</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23" w:right="0"/>
              <w:jc w:val="left"/>
              <w:rPr>
                <w:rFonts w:ascii="Calibri" w:hAnsi="Calibri" w:cs="Calibri" w:eastAsia="Calibri" w:hint="default"/>
                <w:sz w:val="21"/>
                <w:szCs w:val="21"/>
              </w:rPr>
            </w:pPr>
            <w:r>
              <w:rPr>
                <w:rFonts w:ascii="Calibri"/>
                <w:sz w:val="21"/>
              </w:rPr>
              <w:t>--</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1" w:right="0"/>
              <w:jc w:val="left"/>
              <w:rPr>
                <w:rFonts w:ascii="Calibri" w:hAnsi="Calibri" w:cs="Calibri" w:eastAsia="Calibri" w:hint="default"/>
                <w:sz w:val="21"/>
                <w:szCs w:val="21"/>
              </w:rPr>
            </w:pPr>
            <w:r>
              <w:rPr>
                <w:rFonts w:ascii="Calibri"/>
                <w:sz w:val="21"/>
              </w:rPr>
              <w:t>34.09</w:t>
            </w:r>
          </w:p>
        </w:tc>
      </w:tr>
    </w:tbl>
    <w:p>
      <w:pPr>
        <w:spacing w:line="289"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Calibri" w:hAnsi="Calibri" w:cs="Calibri" w:eastAsia="Calibri" w:hint="default"/>
          <w:sz w:val="21"/>
          <w:szCs w:val="21"/>
        </w:rPr>
        <w:t>“</w:t>
      </w:r>
      <w:r>
        <w:rPr>
          <w:rFonts w:ascii="宋体" w:hAnsi="宋体" w:cs="宋体" w:eastAsia="宋体" w:hint="default"/>
          <w:sz w:val="21"/>
          <w:szCs w:val="21"/>
        </w:rPr>
        <w:t>单位名称</w:t>
      </w:r>
      <w:r>
        <w:rPr>
          <w:rFonts w:ascii="Calibri" w:hAnsi="Calibri" w:cs="Calibri" w:eastAsia="Calibri" w:hint="default"/>
          <w:sz w:val="21"/>
          <w:szCs w:val="21"/>
        </w:rPr>
        <w:t>”</w:t>
      </w:r>
      <w:r>
        <w:rPr>
          <w:rFonts w:ascii="宋体" w:hAnsi="宋体" w:cs="宋体" w:eastAsia="宋体" w:hint="default"/>
          <w:sz w:val="21"/>
          <w:szCs w:val="21"/>
        </w:rPr>
        <w:t>和</w:t>
      </w:r>
      <w:r>
        <w:rPr>
          <w:rFonts w:ascii="Calibri" w:hAnsi="Calibri" w:cs="Calibri" w:eastAsia="Calibri" w:hint="default"/>
          <w:sz w:val="21"/>
          <w:szCs w:val="21"/>
        </w:rPr>
        <w:t>“</w:t>
      </w:r>
      <w:r>
        <w:rPr>
          <w:rFonts w:ascii="宋体" w:hAnsi="宋体" w:cs="宋体" w:eastAsia="宋体" w:hint="default"/>
          <w:sz w:val="21"/>
          <w:szCs w:val="21"/>
        </w:rPr>
        <w:t>与本公司关系</w:t>
      </w:r>
      <w:r>
        <w:rPr>
          <w:rFonts w:ascii="Calibri" w:hAnsi="Calibri" w:cs="Calibri" w:eastAsia="Calibri" w:hint="default"/>
          <w:sz w:val="21"/>
          <w:szCs w:val="21"/>
        </w:rPr>
        <w:t>”</w:t>
      </w:r>
      <w:r>
        <w:rPr>
          <w:rFonts w:ascii="宋体" w:hAnsi="宋体" w:cs="宋体" w:eastAsia="宋体" w:hint="default"/>
          <w:sz w:val="21"/>
          <w:szCs w:val="21"/>
        </w:rPr>
        <w:t>公司根据实际需要填写。</w:t>
      </w:r>
    </w:p>
    <w:p>
      <w:pPr>
        <w:spacing w:line="240" w:lineRule="auto" w:before="9"/>
        <w:rPr>
          <w:rFonts w:ascii="宋体" w:hAnsi="宋体" w:cs="宋体" w:eastAsia="宋体" w:hint="default"/>
          <w:sz w:val="23"/>
          <w:szCs w:val="23"/>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）其他应收关联方账款情况</w:t>
      </w:r>
      <w:r>
        <w:rPr>
          <w:rFonts w:ascii="宋体" w:hAnsi="宋体" w:cs="宋体" w:eastAsia="宋体" w:hint="default"/>
          <w:sz w:val="21"/>
          <w:szCs w:val="21"/>
        </w:rPr>
      </w:r>
    </w:p>
    <w:p>
      <w:pPr>
        <w:spacing w:line="240" w:lineRule="auto" w:before="11"/>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2071"/>
        <w:gridCol w:w="2209"/>
        <w:gridCol w:w="1548"/>
        <w:gridCol w:w="2909"/>
      </w:tblGrid>
      <w:tr>
        <w:trPr>
          <w:trHeight w:val="324" w:hRule="exact"/>
        </w:trPr>
        <w:tc>
          <w:tcPr>
            <w:tcW w:w="2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9"/>
              <w:jc w:val="center"/>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5" w:right="0"/>
              <w:jc w:val="center"/>
              <w:rPr>
                <w:rFonts w:ascii="宋体" w:hAnsi="宋体" w:cs="宋体" w:eastAsia="宋体" w:hint="default"/>
                <w:sz w:val="21"/>
                <w:szCs w:val="21"/>
              </w:rPr>
            </w:pPr>
            <w:r>
              <w:rPr>
                <w:rFonts w:ascii="宋体" w:hAnsi="宋体" w:cs="宋体" w:eastAsia="宋体" w:hint="default"/>
                <w:b/>
                <w:bCs/>
                <w:sz w:val="21"/>
                <w:szCs w:val="21"/>
              </w:rPr>
              <w:t>与本公司关系</w:t>
            </w:r>
            <w:r>
              <w:rPr>
                <w:rFonts w:ascii="宋体" w:hAnsi="宋体" w:cs="宋体" w:eastAsia="宋体" w:hint="default"/>
                <w:sz w:val="21"/>
                <w:szCs w:val="21"/>
              </w:rPr>
            </w:r>
          </w:p>
        </w:tc>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2" w:right="0"/>
              <w:jc w:val="center"/>
              <w:rPr>
                <w:rFonts w:ascii="宋体" w:hAnsi="宋体" w:cs="宋体" w:eastAsia="宋体" w:hint="default"/>
                <w:sz w:val="21"/>
                <w:szCs w:val="21"/>
              </w:rPr>
            </w:pPr>
            <w:r>
              <w:rPr>
                <w:rFonts w:ascii="宋体" w:hAnsi="宋体" w:cs="宋体" w:eastAsia="宋体" w:hint="default"/>
                <w:b/>
                <w:bCs/>
                <w:sz w:val="21"/>
                <w:szCs w:val="21"/>
              </w:rPr>
              <w:t>金额</w:t>
            </w:r>
            <w:r>
              <w:rPr>
                <w:rFonts w:ascii="宋体" w:hAnsi="宋体" w:cs="宋体" w:eastAsia="宋体" w:hint="default"/>
                <w:sz w:val="21"/>
                <w:szCs w:val="21"/>
              </w:rPr>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2" w:lineRule="exact"/>
              <w:ind w:left="146" w:right="0"/>
              <w:jc w:val="left"/>
              <w:rPr>
                <w:rFonts w:ascii="Calibri" w:hAnsi="Calibri" w:cs="Calibri" w:eastAsia="Calibri" w:hint="default"/>
                <w:sz w:val="21"/>
                <w:szCs w:val="21"/>
              </w:rPr>
            </w:pPr>
            <w:r>
              <w:rPr>
                <w:rFonts w:ascii="宋体" w:hAnsi="宋体" w:cs="宋体" w:eastAsia="宋体" w:hint="default"/>
                <w:b/>
                <w:bCs/>
                <w:sz w:val="21"/>
                <w:szCs w:val="21"/>
              </w:rPr>
              <w:t>占其他应收款总额的比例</w:t>
            </w:r>
            <w:r>
              <w:rPr>
                <w:rFonts w:ascii="Calibri" w:hAnsi="Calibri" w:cs="Calibri" w:eastAsia="Calibri" w:hint="default"/>
                <w:b/>
                <w:bCs/>
                <w:sz w:val="21"/>
                <w:szCs w:val="21"/>
              </w:rPr>
              <w:t>(%)</w:t>
            </w:r>
            <w:r>
              <w:rPr>
                <w:rFonts w:ascii="Calibri" w:hAnsi="Calibri" w:cs="Calibri" w:eastAsia="Calibri" w:hint="default"/>
                <w:sz w:val="21"/>
                <w:szCs w:val="21"/>
              </w:rPr>
            </w:r>
          </w:p>
        </w:tc>
      </w:tr>
      <w:tr>
        <w:trPr>
          <w:trHeight w:val="322" w:hRule="exact"/>
        </w:trPr>
        <w:tc>
          <w:tcPr>
            <w:tcW w:w="2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9"/>
              <w:jc w:val="center"/>
              <w:rPr>
                <w:rFonts w:ascii="宋体" w:hAnsi="宋体" w:cs="宋体" w:eastAsia="宋体" w:hint="default"/>
                <w:sz w:val="21"/>
                <w:szCs w:val="21"/>
              </w:rPr>
            </w:pPr>
            <w:r>
              <w:rPr>
                <w:rFonts w:ascii="宋体" w:hAnsi="宋体" w:cs="宋体" w:eastAsia="宋体" w:hint="default"/>
                <w:sz w:val="21"/>
                <w:szCs w:val="21"/>
              </w:rPr>
              <w:t>合计</w:t>
            </w:r>
          </w:p>
        </w:tc>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10" w:right="0"/>
              <w:jc w:val="center"/>
              <w:rPr>
                <w:rFonts w:ascii="Calibri" w:hAnsi="Calibri" w:cs="Calibri" w:eastAsia="Calibri" w:hint="default"/>
                <w:sz w:val="21"/>
                <w:szCs w:val="21"/>
              </w:rPr>
            </w:pPr>
            <w:r>
              <w:rPr>
                <w:rFonts w:ascii="Calibri"/>
                <w:sz w:val="21"/>
              </w:rPr>
              <w:t>--</w:t>
            </w:r>
          </w:p>
        </w:tc>
        <w:tc>
          <w:tcPr>
            <w:tcW w:w="154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8"/>
              <w:jc w:val="right"/>
              <w:rPr>
                <w:rFonts w:ascii="Calibri" w:hAnsi="Calibri" w:cs="Calibri" w:eastAsia="Calibri" w:hint="default"/>
                <w:sz w:val="21"/>
                <w:szCs w:val="21"/>
              </w:rPr>
            </w:pPr>
            <w:r>
              <w:rPr>
                <w:rFonts w:ascii="Calibri"/>
                <w:w w:val="100"/>
                <w:sz w:val="21"/>
              </w:rPr>
              <w:t>0</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r>
    </w:tbl>
    <w:p>
      <w:pPr>
        <w:spacing w:line="289"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不符合终止确认条件的其他应收款项的转移金额为</w:t>
      </w:r>
      <w:r>
        <w:rPr>
          <w:rFonts w:ascii="宋体" w:hAnsi="宋体" w:cs="宋体" w:eastAsia="宋体" w:hint="default"/>
          <w:spacing w:val="-56"/>
          <w:sz w:val="21"/>
          <w:szCs w:val="21"/>
        </w:rPr>
        <w:t> </w:t>
      </w:r>
      <w:r>
        <w:rPr>
          <w:rFonts w:ascii="Calibri" w:hAnsi="Calibri" w:cs="Calibri" w:eastAsia="Calibri" w:hint="default"/>
          <w:sz w:val="21"/>
          <w:szCs w:val="21"/>
        </w:rPr>
        <w:t>0</w:t>
      </w:r>
      <w:r>
        <w:rPr>
          <w:rFonts w:ascii="Calibri" w:hAnsi="Calibri" w:cs="Calibri" w:eastAsia="Calibri" w:hint="default"/>
          <w:spacing w:val="5"/>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r>
    </w:p>
    <w:p>
      <w:pPr>
        <w:spacing w:line="240" w:lineRule="auto" w:before="9"/>
        <w:rPr>
          <w:rFonts w:ascii="宋体" w:hAnsi="宋体" w:cs="宋体" w:eastAsia="宋体" w:hint="default"/>
          <w:sz w:val="23"/>
          <w:szCs w:val="23"/>
        </w:rPr>
      </w:pPr>
    </w:p>
    <w:p>
      <w:pPr>
        <w:spacing w:line="506" w:lineRule="auto" w:before="0"/>
        <w:ind w:left="558" w:right="1210"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8</w:t>
      </w:r>
      <w:r>
        <w:rPr>
          <w:rFonts w:ascii="宋体" w:hAnsi="宋体" w:cs="宋体" w:eastAsia="宋体" w:hint="default"/>
          <w:b/>
          <w:bCs/>
          <w:spacing w:val="-1"/>
          <w:sz w:val="21"/>
          <w:szCs w:val="21"/>
        </w:rPr>
        <w:t>）以其他应收款项为标的资产进行资产证券化的，需简要说明相关交易安排</w:t>
      </w:r>
      <w:r>
        <w:rPr>
          <w:rFonts w:ascii="宋体" w:hAnsi="宋体" w:cs="宋体" w:eastAsia="宋体" w:hint="default"/>
          <w:b/>
          <w:bCs/>
          <w:spacing w:val="-77"/>
          <w:sz w:val="21"/>
          <w:szCs w:val="21"/>
        </w:rPr>
        <w:t> </w:t>
      </w:r>
      <w:r>
        <w:rPr>
          <w:rFonts w:ascii="宋体" w:hAnsi="宋体" w:cs="宋体" w:eastAsia="宋体" w:hint="default"/>
          <w:b/>
          <w:bCs/>
          <w:spacing w:val="-77"/>
          <w:sz w:val="21"/>
          <w:szCs w:val="21"/>
        </w:rPr>
      </w:r>
      <w:r>
        <w:rPr>
          <w:rFonts w:ascii="宋体" w:hAnsi="宋体" w:cs="宋体" w:eastAsia="宋体" w:hint="default"/>
          <w:sz w:val="21"/>
          <w:szCs w:val="21"/>
        </w:rPr>
        <w:t>无此情况</w:t>
      </w:r>
    </w:p>
    <w:p>
      <w:pPr>
        <w:spacing w:after="0" w:line="506" w:lineRule="auto"/>
        <w:jc w:val="left"/>
        <w:rPr>
          <w:rFonts w:ascii="宋体" w:hAnsi="宋体" w:cs="宋体" w:eastAsia="宋体" w:hint="default"/>
          <w:sz w:val="21"/>
          <w:szCs w:val="21"/>
        </w:rPr>
        <w:sectPr>
          <w:pgSz w:w="11910" w:h="16840"/>
          <w:pgMar w:header="0" w:footer="1007" w:top="1160" w:bottom="1200" w:left="1240" w:right="1260"/>
        </w:sectPr>
      </w:pPr>
    </w:p>
    <w:p>
      <w:pPr>
        <w:tabs>
          <w:tab w:pos="4392" w:val="left" w:leader="none"/>
          <w:tab w:pos="7548" w:val="left" w:leader="none"/>
        </w:tabs>
        <w:spacing w:before="14"/>
        <w:ind w:left="138" w:right="0" w:firstLine="0"/>
        <w:jc w:val="left"/>
        <w:rPr>
          <w:rFonts w:ascii="宋体" w:hAnsi="宋体" w:cs="宋体" w:eastAsia="宋体" w:hint="default"/>
          <w:sz w:val="21"/>
          <w:szCs w:val="21"/>
        </w:rPr>
      </w:pPr>
      <w:r>
        <w:rPr>
          <w:rFonts w:ascii="宋体" w:hAnsi="宋体" w:cs="宋体" w:eastAsia="宋体" w:hint="default"/>
          <w:spacing w:val="-2"/>
          <w:sz w:val="21"/>
          <w:szCs w:val="21"/>
        </w:rPr>
        <w:t>北京超图软件股份有限公司</w:t>
        <w:tab/>
      </w:r>
      <w:r>
        <w:rPr>
          <w:rFonts w:ascii="Calibri" w:hAnsi="Calibri" w:cs="Calibri" w:eastAsia="Calibri" w:hint="default"/>
          <w:spacing w:val="-1"/>
          <w:sz w:val="21"/>
          <w:szCs w:val="21"/>
        </w:rPr>
        <w:t>300036</w:t>
        <w:tab/>
        <w:t>2012</w:t>
      </w:r>
      <w:r>
        <w:rPr>
          <w:rFonts w:ascii="Calibri" w:hAnsi="Calibri" w:cs="Calibri" w:eastAsia="Calibri" w:hint="default"/>
          <w:spacing w:val="15"/>
          <w:sz w:val="21"/>
          <w:szCs w:val="21"/>
        </w:rPr>
        <w:t> </w:t>
      </w:r>
      <w:r>
        <w:rPr>
          <w:rFonts w:ascii="宋体" w:hAnsi="宋体" w:cs="宋体" w:eastAsia="宋体" w:hint="default"/>
          <w:spacing w:val="-2"/>
          <w:sz w:val="21"/>
          <w:szCs w:val="21"/>
        </w:rPr>
        <w:t>年度报告</w:t>
      </w:r>
    </w:p>
    <w:p>
      <w:pPr>
        <w:spacing w:line="240" w:lineRule="auto" w:before="3"/>
        <w:rPr>
          <w:rFonts w:ascii="宋体" w:hAnsi="宋体" w:cs="宋体" w:eastAsia="宋体" w:hint="default"/>
          <w:sz w:val="3"/>
          <w:szCs w:val="3"/>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23.75pt;height:.75pt;mso-position-horizontal-relative:char;mso-position-vertical-relative:line" coordorigin="0,0" coordsize="14475,15">
            <v:group style="position:absolute;left:7;top:7;width:14460;height:2" coordorigin="7,7" coordsize="14460,2">
              <v:shape style="position:absolute;left:7;top:7;width:14460;height:2" coordorigin="7,7" coordsize="14460,0" path="m7,7l1446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3"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1121"/>
        <w:gridCol w:w="1126"/>
        <w:gridCol w:w="1270"/>
        <w:gridCol w:w="1280"/>
        <w:gridCol w:w="1171"/>
        <w:gridCol w:w="1275"/>
        <w:gridCol w:w="1126"/>
        <w:gridCol w:w="1126"/>
        <w:gridCol w:w="1129"/>
        <w:gridCol w:w="1171"/>
        <w:gridCol w:w="1126"/>
        <w:gridCol w:w="1121"/>
      </w:tblGrid>
      <w:tr>
        <w:trPr>
          <w:trHeight w:val="1570" w:hRule="exact"/>
        </w:trPr>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被投资单位</w:t>
            </w:r>
            <w:r>
              <w:rPr>
                <w:rFonts w:ascii="宋体" w:hAnsi="宋体" w:cs="宋体" w:eastAsia="宋体" w:hint="default"/>
                <w:sz w:val="21"/>
                <w:szCs w:val="21"/>
              </w:rPr>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核算方法</w:t>
            </w:r>
            <w:r>
              <w:rPr>
                <w:rFonts w:ascii="宋体" w:hAnsi="宋体" w:cs="宋体" w:eastAsia="宋体" w:hint="default"/>
                <w:sz w:val="21"/>
                <w:szCs w:val="21"/>
              </w:rPr>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投资成本</w:t>
            </w:r>
            <w:r>
              <w:rPr>
                <w:rFonts w:ascii="宋体" w:hAnsi="宋体" w:cs="宋体" w:eastAsia="宋体" w:hint="default"/>
                <w:sz w:val="21"/>
                <w:szCs w:val="21"/>
              </w:rPr>
            </w:r>
          </w:p>
        </w:tc>
        <w:tc>
          <w:tcPr>
            <w:tcW w:w="1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增减变动</w:t>
            </w:r>
            <w:r>
              <w:rPr>
                <w:rFonts w:ascii="宋体" w:hAnsi="宋体" w:cs="宋体" w:eastAsia="宋体" w:hint="default"/>
                <w:sz w:val="21"/>
                <w:szCs w:val="21"/>
              </w:rPr>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90" w:lineRule="auto"/>
              <w:ind w:left="28" w:right="29"/>
              <w:jc w:val="center"/>
              <w:rPr>
                <w:rFonts w:ascii="Calibri" w:hAnsi="Calibri" w:cs="Calibri" w:eastAsia="Calibri" w:hint="default"/>
                <w:sz w:val="21"/>
                <w:szCs w:val="21"/>
              </w:rPr>
            </w:pPr>
            <w:r>
              <w:rPr>
                <w:rFonts w:ascii="宋体" w:hAnsi="宋体" w:cs="宋体" w:eastAsia="宋体" w:hint="default"/>
                <w:b/>
                <w:bCs/>
                <w:sz w:val="21"/>
                <w:szCs w:val="21"/>
              </w:rPr>
              <w:t>在被投资单</w:t>
            </w:r>
            <w:r>
              <w:rPr>
                <w:rFonts w:ascii="宋体" w:hAnsi="宋体" w:cs="宋体" w:eastAsia="宋体" w:hint="default"/>
                <w:b/>
                <w:bCs/>
                <w:w w:val="100"/>
                <w:sz w:val="21"/>
                <w:szCs w:val="21"/>
              </w:rPr>
              <w:t> </w:t>
            </w:r>
            <w:r>
              <w:rPr>
                <w:rFonts w:ascii="宋体" w:hAnsi="宋体" w:cs="宋体" w:eastAsia="宋体" w:hint="default"/>
                <w:b/>
                <w:bCs/>
                <w:sz w:val="21"/>
                <w:szCs w:val="21"/>
              </w:rPr>
              <w:t>位持股比例</w:t>
            </w:r>
            <w:r>
              <w:rPr>
                <w:rFonts w:ascii="宋体" w:hAnsi="宋体" w:cs="宋体" w:eastAsia="宋体" w:hint="default"/>
                <w:b/>
                <w:bCs/>
                <w:w w:val="100"/>
                <w:sz w:val="21"/>
                <w:szCs w:val="21"/>
              </w:rPr>
              <w:t> </w:t>
            </w:r>
            <w:r>
              <w:rPr>
                <w:rFonts w:ascii="Calibri" w:hAnsi="Calibri" w:cs="Calibri" w:eastAsia="Calibri" w:hint="default"/>
                <w:b/>
                <w:bCs/>
                <w:sz w:val="21"/>
                <w:szCs w:val="21"/>
              </w:rPr>
              <w:t>(%)</w:t>
            </w:r>
            <w:r>
              <w:rPr>
                <w:rFonts w:ascii="Calibri" w:hAnsi="Calibri" w:cs="Calibri" w:eastAsia="Calibri" w:hint="default"/>
                <w:sz w:val="21"/>
                <w:szCs w:val="21"/>
              </w:rPr>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31" w:right="26"/>
              <w:jc w:val="center"/>
              <w:rPr>
                <w:rFonts w:ascii="Calibri" w:hAnsi="Calibri" w:cs="Calibri" w:eastAsia="Calibri" w:hint="default"/>
                <w:sz w:val="21"/>
                <w:szCs w:val="21"/>
              </w:rPr>
            </w:pPr>
            <w:r>
              <w:rPr>
                <w:rFonts w:ascii="宋体" w:hAnsi="宋体" w:cs="宋体" w:eastAsia="宋体" w:hint="default"/>
                <w:b/>
                <w:bCs/>
                <w:sz w:val="21"/>
                <w:szCs w:val="21"/>
              </w:rPr>
              <w:t>在被投资单</w:t>
            </w:r>
            <w:r>
              <w:rPr>
                <w:rFonts w:ascii="宋体" w:hAnsi="宋体" w:cs="宋体" w:eastAsia="宋体" w:hint="default"/>
                <w:b/>
                <w:bCs/>
                <w:w w:val="100"/>
                <w:sz w:val="21"/>
                <w:szCs w:val="21"/>
              </w:rPr>
              <w:t> </w:t>
            </w:r>
            <w:r>
              <w:rPr>
                <w:rFonts w:ascii="宋体" w:hAnsi="宋体" w:cs="宋体" w:eastAsia="宋体" w:hint="default"/>
                <w:b/>
                <w:bCs/>
                <w:sz w:val="21"/>
                <w:szCs w:val="21"/>
              </w:rPr>
              <w:t>位表决权比</w:t>
            </w:r>
            <w:r>
              <w:rPr>
                <w:rFonts w:ascii="宋体" w:hAnsi="宋体" w:cs="宋体" w:eastAsia="宋体" w:hint="default"/>
                <w:b/>
                <w:bCs/>
                <w:w w:val="100"/>
                <w:sz w:val="21"/>
                <w:szCs w:val="21"/>
              </w:rPr>
              <w:t> </w:t>
            </w:r>
            <w:r>
              <w:rPr>
                <w:rFonts w:ascii="宋体" w:hAnsi="宋体" w:cs="宋体" w:eastAsia="宋体" w:hint="default"/>
                <w:b/>
                <w:bCs/>
                <w:sz w:val="21"/>
                <w:szCs w:val="21"/>
              </w:rPr>
              <w:t>例</w:t>
            </w:r>
            <w:r>
              <w:rPr>
                <w:rFonts w:ascii="Calibri" w:hAnsi="Calibri" w:cs="Calibri" w:eastAsia="Calibri" w:hint="default"/>
                <w:b/>
                <w:bCs/>
                <w:sz w:val="21"/>
                <w:szCs w:val="21"/>
              </w:rPr>
              <w:t>(%)</w:t>
            </w:r>
            <w:r>
              <w:rPr>
                <w:rFonts w:ascii="Calibri" w:hAnsi="Calibri" w:cs="Calibri" w:eastAsia="Calibri" w:hint="default"/>
                <w:sz w:val="21"/>
                <w:szCs w:val="21"/>
              </w:rPr>
            </w: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31" w:right="29"/>
              <w:jc w:val="center"/>
              <w:rPr>
                <w:rFonts w:ascii="宋体" w:hAnsi="宋体" w:cs="宋体" w:eastAsia="宋体" w:hint="default"/>
                <w:sz w:val="21"/>
                <w:szCs w:val="21"/>
              </w:rPr>
            </w:pPr>
            <w:r>
              <w:rPr>
                <w:rFonts w:ascii="宋体" w:hAnsi="宋体" w:cs="宋体" w:eastAsia="宋体" w:hint="default"/>
                <w:b/>
                <w:bCs/>
                <w:sz w:val="21"/>
                <w:szCs w:val="21"/>
              </w:rPr>
              <w:t>在被投资单</w:t>
            </w:r>
            <w:r>
              <w:rPr>
                <w:rFonts w:ascii="宋体" w:hAnsi="宋体" w:cs="宋体" w:eastAsia="宋体" w:hint="default"/>
                <w:b/>
                <w:bCs/>
                <w:w w:val="100"/>
                <w:sz w:val="21"/>
                <w:szCs w:val="21"/>
              </w:rPr>
              <w:t> </w:t>
            </w:r>
            <w:r>
              <w:rPr>
                <w:rFonts w:ascii="宋体" w:hAnsi="宋体" w:cs="宋体" w:eastAsia="宋体" w:hint="default"/>
                <w:b/>
                <w:bCs/>
                <w:sz w:val="21"/>
                <w:szCs w:val="21"/>
              </w:rPr>
              <w:t>位持股比例</w:t>
            </w:r>
            <w:r>
              <w:rPr>
                <w:rFonts w:ascii="宋体" w:hAnsi="宋体" w:cs="宋体" w:eastAsia="宋体" w:hint="default"/>
                <w:b/>
                <w:bCs/>
                <w:w w:val="100"/>
                <w:sz w:val="21"/>
                <w:szCs w:val="21"/>
              </w:rPr>
              <w:t> </w:t>
            </w:r>
            <w:r>
              <w:rPr>
                <w:rFonts w:ascii="宋体" w:hAnsi="宋体" w:cs="宋体" w:eastAsia="宋体" w:hint="default"/>
                <w:b/>
                <w:bCs/>
                <w:sz w:val="21"/>
                <w:szCs w:val="21"/>
              </w:rPr>
              <w:t>与表决权比</w:t>
            </w:r>
            <w:r>
              <w:rPr>
                <w:rFonts w:ascii="宋体" w:hAnsi="宋体" w:cs="宋体" w:eastAsia="宋体" w:hint="default"/>
                <w:b/>
                <w:bCs/>
                <w:w w:val="100"/>
                <w:sz w:val="21"/>
                <w:szCs w:val="21"/>
              </w:rPr>
              <w:t> </w:t>
            </w:r>
            <w:r>
              <w:rPr>
                <w:rFonts w:ascii="宋体" w:hAnsi="宋体" w:cs="宋体" w:eastAsia="宋体" w:hint="default"/>
                <w:b/>
                <w:bCs/>
                <w:sz w:val="21"/>
                <w:szCs w:val="21"/>
              </w:rPr>
              <w:t>例不一致的</w:t>
            </w:r>
            <w:r>
              <w:rPr>
                <w:rFonts w:ascii="宋体" w:hAnsi="宋体" w:cs="宋体" w:eastAsia="宋体" w:hint="default"/>
                <w:b/>
                <w:bCs/>
                <w:w w:val="100"/>
                <w:sz w:val="21"/>
                <w:szCs w:val="21"/>
              </w:rPr>
              <w:t> </w:t>
            </w:r>
            <w:r>
              <w:rPr>
                <w:rFonts w:ascii="宋体" w:hAnsi="宋体" w:cs="宋体" w:eastAsia="宋体" w:hint="default"/>
                <w:b/>
                <w:bCs/>
                <w:sz w:val="21"/>
                <w:szCs w:val="21"/>
              </w:rPr>
              <w:t>说明</w:t>
            </w:r>
            <w:r>
              <w:rPr>
                <w:rFonts w:ascii="宋体" w:hAnsi="宋体" w:cs="宋体" w:eastAsia="宋体" w:hint="default"/>
                <w:sz w:val="21"/>
                <w:szCs w:val="21"/>
              </w:rPr>
            </w:r>
          </w:p>
        </w:tc>
        <w:tc>
          <w:tcPr>
            <w:tcW w:w="1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减值准备</w:t>
            </w:r>
            <w:r>
              <w:rPr>
                <w:rFonts w:ascii="宋体" w:hAnsi="宋体" w:cs="宋体" w:eastAsia="宋体" w:hint="default"/>
                <w:sz w:val="21"/>
                <w:szCs w:val="21"/>
              </w:rPr>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240" w:right="29" w:hanging="212"/>
              <w:jc w:val="left"/>
              <w:rPr>
                <w:rFonts w:ascii="宋体" w:hAnsi="宋体" w:cs="宋体" w:eastAsia="宋体" w:hint="default"/>
                <w:sz w:val="21"/>
                <w:szCs w:val="21"/>
              </w:rPr>
            </w:pPr>
            <w:r>
              <w:rPr>
                <w:rFonts w:ascii="宋体" w:hAnsi="宋体" w:cs="宋体" w:eastAsia="宋体" w:hint="default"/>
                <w:b/>
                <w:bCs/>
                <w:sz w:val="21"/>
                <w:szCs w:val="21"/>
              </w:rPr>
              <w:t>本期计提减</w:t>
            </w:r>
            <w:r>
              <w:rPr>
                <w:rFonts w:ascii="宋体" w:hAnsi="宋体" w:cs="宋体" w:eastAsia="宋体" w:hint="default"/>
                <w:b/>
                <w:bCs/>
                <w:w w:val="100"/>
                <w:sz w:val="21"/>
                <w:szCs w:val="21"/>
              </w:rPr>
              <w:t> </w:t>
            </w:r>
            <w:r>
              <w:rPr>
                <w:rFonts w:ascii="宋体" w:hAnsi="宋体" w:cs="宋体" w:eastAsia="宋体" w:hint="default"/>
                <w:b/>
                <w:bCs/>
                <w:sz w:val="21"/>
                <w:szCs w:val="21"/>
              </w:rPr>
              <w:t>值准备</w:t>
            </w:r>
            <w:r>
              <w:rPr>
                <w:rFonts w:ascii="宋体" w:hAnsi="宋体" w:cs="宋体" w:eastAsia="宋体" w:hint="default"/>
                <w:sz w:val="21"/>
                <w:szCs w:val="21"/>
              </w:rPr>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73" w:lineRule="auto"/>
              <w:ind w:left="446" w:right="27" w:hanging="421"/>
              <w:jc w:val="left"/>
              <w:rPr>
                <w:rFonts w:ascii="宋体" w:hAnsi="宋体" w:cs="宋体" w:eastAsia="宋体" w:hint="default"/>
                <w:sz w:val="21"/>
                <w:szCs w:val="21"/>
              </w:rPr>
            </w:pPr>
            <w:r>
              <w:rPr>
                <w:rFonts w:ascii="宋体" w:hAnsi="宋体" w:cs="宋体" w:eastAsia="宋体" w:hint="default"/>
                <w:b/>
                <w:bCs/>
                <w:sz w:val="21"/>
                <w:szCs w:val="21"/>
              </w:rPr>
              <w:t>本期现金红</w:t>
            </w:r>
            <w:r>
              <w:rPr>
                <w:rFonts w:ascii="宋体" w:hAnsi="宋体" w:cs="宋体" w:eastAsia="宋体" w:hint="default"/>
                <w:b/>
                <w:bCs/>
                <w:w w:val="100"/>
                <w:sz w:val="21"/>
                <w:szCs w:val="21"/>
              </w:rPr>
              <w:t> </w:t>
            </w:r>
            <w:r>
              <w:rPr>
                <w:rFonts w:ascii="宋体" w:hAnsi="宋体" w:cs="宋体" w:eastAsia="宋体" w:hint="default"/>
                <w:b/>
                <w:bCs/>
                <w:sz w:val="21"/>
                <w:szCs w:val="21"/>
              </w:rPr>
              <w:t>利</w:t>
            </w:r>
            <w:r>
              <w:rPr>
                <w:rFonts w:ascii="宋体" w:hAnsi="宋体" w:cs="宋体" w:eastAsia="宋体" w:hint="default"/>
                <w:sz w:val="21"/>
                <w:szCs w:val="21"/>
              </w:rPr>
            </w:r>
          </w:p>
        </w:tc>
      </w:tr>
      <w:tr>
        <w:trPr>
          <w:trHeight w:val="948"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1"/>
              <w:jc w:val="both"/>
              <w:rPr>
                <w:rFonts w:ascii="宋体" w:hAnsi="宋体" w:cs="宋体" w:eastAsia="宋体" w:hint="default"/>
                <w:sz w:val="21"/>
                <w:szCs w:val="21"/>
              </w:rPr>
            </w:pPr>
            <w:r>
              <w:rPr>
                <w:rFonts w:ascii="宋体" w:hAnsi="宋体" w:cs="宋体" w:eastAsia="宋体" w:hint="default"/>
                <w:sz w:val="21"/>
                <w:szCs w:val="21"/>
              </w:rPr>
              <w:t>北京超图信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息技术有限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
              <w:jc w:val="center"/>
              <w:rPr>
                <w:rFonts w:ascii="Calibri" w:hAnsi="Calibri" w:cs="Calibri" w:eastAsia="Calibri" w:hint="default"/>
                <w:sz w:val="21"/>
                <w:szCs w:val="21"/>
              </w:rPr>
            </w:pPr>
            <w:r>
              <w:rPr>
                <w:rFonts w:ascii="Calibri"/>
                <w:sz w:val="21"/>
              </w:rPr>
              <w:t>5,000,000.00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Calibri" w:hAnsi="Calibri" w:cs="Calibri" w:eastAsia="Calibri" w:hint="default"/>
                <w:sz w:val="21"/>
                <w:szCs w:val="21"/>
              </w:rPr>
            </w:pPr>
            <w:r>
              <w:rPr>
                <w:rFonts w:ascii="Calibri"/>
                <w:sz w:val="21"/>
              </w:rPr>
              <w:t>5,000,000.00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Calibri" w:hAnsi="Calibri" w:cs="Calibri" w:eastAsia="Calibri" w:hint="default"/>
                <w:sz w:val="21"/>
                <w:szCs w:val="21"/>
              </w:rPr>
            </w:pPr>
            <w:r>
              <w:rPr>
                <w:rFonts w:ascii="Calibri"/>
                <w:sz w:val="21"/>
              </w:rPr>
              <w:t>5,000,000.00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1"/>
              <w:jc w:val="center"/>
              <w:rPr>
                <w:rFonts w:ascii="Calibri" w:hAnsi="Calibri" w:cs="Calibri" w:eastAsia="Calibri" w:hint="default"/>
                <w:sz w:val="21"/>
                <w:szCs w:val="21"/>
              </w:rPr>
            </w:pPr>
            <w:r>
              <w:rPr>
                <w:rFonts w:ascii="Calibri"/>
                <w:sz w:val="21"/>
              </w:rPr>
              <w:t>100.00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61"/>
              <w:jc w:val="right"/>
              <w:rPr>
                <w:rFonts w:ascii="Calibri" w:hAnsi="Calibri" w:cs="Calibri" w:eastAsia="Calibri" w:hint="default"/>
                <w:sz w:val="21"/>
                <w:szCs w:val="21"/>
              </w:rPr>
            </w:pPr>
            <w:r>
              <w:rPr>
                <w:rFonts w:ascii="Calibri"/>
                <w:spacing w:val="-1"/>
                <w:sz w:val="21"/>
              </w:rPr>
              <w:t>100.00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525" w:right="0"/>
              <w:jc w:val="left"/>
              <w:rPr>
                <w:rFonts w:ascii="Calibri" w:hAnsi="Calibri" w:cs="Calibri" w:eastAsia="Calibri" w:hint="default"/>
                <w:sz w:val="21"/>
                <w:szCs w:val="21"/>
              </w:rPr>
            </w:pPr>
            <w:r>
              <w:rPr>
                <w:rFonts w:ascii="Calibri"/>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Calibri" w:hAnsi="Calibri" w:cs="Calibri" w:eastAsia="Calibri" w:hint="default"/>
                <w:sz w:val="21"/>
                <w:szCs w:val="21"/>
              </w:rPr>
            </w:pPr>
            <w:r>
              <w:rPr>
                <w:rFonts w:ascii="Calibri"/>
                <w:sz w:val="21"/>
              </w:rPr>
              <w:t>1,000,000.00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523" w:right="0"/>
              <w:jc w:val="left"/>
              <w:rPr>
                <w:rFonts w:ascii="Calibri" w:hAnsi="Calibri" w:cs="Calibri" w:eastAsia="Calibri" w:hint="default"/>
                <w:sz w:val="21"/>
                <w:szCs w:val="21"/>
              </w:rPr>
            </w:pPr>
            <w:r>
              <w:rPr>
                <w:rFonts w:ascii="Calibri"/>
                <w:w w:val="100"/>
                <w:sz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521" w:right="0"/>
              <w:jc w:val="left"/>
              <w:rPr>
                <w:rFonts w:ascii="Calibri" w:hAnsi="Calibri" w:cs="Calibri" w:eastAsia="Calibri" w:hint="default"/>
                <w:sz w:val="21"/>
                <w:szCs w:val="21"/>
              </w:rPr>
            </w:pPr>
            <w:r>
              <w:rPr>
                <w:rFonts w:ascii="Calibri"/>
                <w:w w:val="100"/>
                <w:sz w:val="21"/>
              </w:rPr>
              <w:t>-</w:t>
            </w:r>
          </w:p>
        </w:tc>
      </w:tr>
      <w:tr>
        <w:trPr>
          <w:trHeight w:val="63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1"/>
              <w:jc w:val="left"/>
              <w:rPr>
                <w:rFonts w:ascii="宋体" w:hAnsi="宋体" w:cs="宋体" w:eastAsia="宋体" w:hint="default"/>
                <w:sz w:val="21"/>
                <w:szCs w:val="21"/>
              </w:rPr>
            </w:pPr>
            <w:r>
              <w:rPr>
                <w:rFonts w:ascii="宋体" w:hAnsi="宋体" w:cs="宋体" w:eastAsia="宋体" w:hint="default"/>
                <w:sz w:val="21"/>
                <w:szCs w:val="21"/>
              </w:rPr>
              <w:t>超图国际有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
              <w:jc w:val="center"/>
              <w:rPr>
                <w:rFonts w:ascii="Calibri" w:hAnsi="Calibri" w:cs="Calibri" w:eastAsia="Calibri" w:hint="default"/>
                <w:sz w:val="21"/>
                <w:szCs w:val="21"/>
              </w:rPr>
            </w:pPr>
            <w:r>
              <w:rPr>
                <w:rFonts w:ascii="Calibri"/>
                <w:sz w:val="21"/>
              </w:rPr>
              <w:t>4,303,090.00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4,303,090.00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4,303,090.00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100.00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61"/>
              <w:jc w:val="right"/>
              <w:rPr>
                <w:rFonts w:ascii="Calibri" w:hAnsi="Calibri" w:cs="Calibri" w:eastAsia="Calibri" w:hint="default"/>
                <w:sz w:val="21"/>
                <w:szCs w:val="21"/>
              </w:rPr>
            </w:pPr>
            <w:r>
              <w:rPr>
                <w:rFonts w:ascii="Calibri"/>
                <w:spacing w:val="-1"/>
                <w:sz w:val="21"/>
              </w:rPr>
              <w:t>100.00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5" w:right="0"/>
              <w:jc w:val="left"/>
              <w:rPr>
                <w:rFonts w:ascii="Calibri" w:hAnsi="Calibri" w:cs="Calibri" w:eastAsia="Calibri" w:hint="default"/>
                <w:sz w:val="21"/>
                <w:szCs w:val="21"/>
              </w:rPr>
            </w:pPr>
            <w:r>
              <w:rPr>
                <w:rFonts w:ascii="Calibri"/>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3" w:right="0"/>
              <w:jc w:val="left"/>
              <w:rPr>
                <w:rFonts w:ascii="Calibri" w:hAnsi="Calibri" w:cs="Calibri" w:eastAsia="Calibri" w:hint="default"/>
                <w:sz w:val="21"/>
                <w:szCs w:val="21"/>
              </w:rPr>
            </w:pPr>
            <w:r>
              <w:rPr>
                <w:rFonts w:ascii="Calibri"/>
                <w:w w:val="100"/>
                <w:sz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1" w:right="0"/>
              <w:jc w:val="left"/>
              <w:rPr>
                <w:rFonts w:ascii="Calibri" w:hAnsi="Calibri" w:cs="Calibri" w:eastAsia="Calibri" w:hint="default"/>
                <w:sz w:val="21"/>
                <w:szCs w:val="21"/>
              </w:rPr>
            </w:pPr>
            <w:r>
              <w:rPr>
                <w:rFonts w:ascii="Calibri"/>
                <w:w w:val="100"/>
                <w:sz w:val="21"/>
              </w:rPr>
              <w:t>-</w:t>
            </w:r>
          </w:p>
        </w:tc>
      </w:tr>
      <w:tr>
        <w:trPr>
          <w:trHeight w:val="634"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1"/>
              <w:jc w:val="left"/>
              <w:rPr>
                <w:rFonts w:ascii="宋体" w:hAnsi="宋体" w:cs="宋体" w:eastAsia="宋体" w:hint="default"/>
                <w:sz w:val="21"/>
                <w:szCs w:val="21"/>
              </w:rPr>
            </w:pPr>
            <w:r>
              <w:rPr>
                <w:rFonts w:ascii="宋体" w:hAnsi="宋体" w:cs="宋体" w:eastAsia="宋体" w:hint="default"/>
                <w:sz w:val="21"/>
                <w:szCs w:val="21"/>
              </w:rPr>
              <w:t>日本超图株</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式会社</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成本法</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pacing w:val="-2"/>
                <w:sz w:val="21"/>
              </w:rPr>
              <w:t>17,090,761.78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17,090,761.78</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17,090,761.78</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center"/>
              <w:rPr>
                <w:rFonts w:ascii="Calibri" w:hAnsi="Calibri" w:cs="Calibri" w:eastAsia="Calibri" w:hint="default"/>
                <w:sz w:val="21"/>
                <w:szCs w:val="21"/>
              </w:rPr>
            </w:pPr>
            <w:r>
              <w:rPr>
                <w:rFonts w:ascii="Calibri"/>
                <w:sz w:val="21"/>
              </w:rPr>
              <w:t>36.60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14"/>
              <w:jc w:val="right"/>
              <w:rPr>
                <w:rFonts w:ascii="Calibri" w:hAnsi="Calibri" w:cs="Calibri" w:eastAsia="Calibri" w:hint="default"/>
                <w:sz w:val="21"/>
                <w:szCs w:val="21"/>
              </w:rPr>
            </w:pPr>
            <w:r>
              <w:rPr>
                <w:rFonts w:ascii="Calibri"/>
                <w:spacing w:val="-1"/>
                <w:sz w:val="21"/>
              </w:rPr>
              <w:t>36.60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5" w:right="0"/>
              <w:jc w:val="left"/>
              <w:rPr>
                <w:rFonts w:ascii="Calibri" w:hAnsi="Calibri" w:cs="Calibri" w:eastAsia="Calibri" w:hint="default"/>
                <w:sz w:val="21"/>
                <w:szCs w:val="21"/>
              </w:rPr>
            </w:pPr>
            <w:r>
              <w:rPr>
                <w:rFonts w:ascii="Calibri"/>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3" w:right="0"/>
              <w:jc w:val="left"/>
              <w:rPr>
                <w:rFonts w:ascii="Calibri" w:hAnsi="Calibri" w:cs="Calibri" w:eastAsia="Calibri" w:hint="default"/>
                <w:sz w:val="21"/>
                <w:szCs w:val="21"/>
              </w:rPr>
            </w:pPr>
            <w:r>
              <w:rPr>
                <w:rFonts w:ascii="Calibri"/>
                <w:w w:val="100"/>
                <w:sz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1" w:right="0"/>
              <w:jc w:val="left"/>
              <w:rPr>
                <w:rFonts w:ascii="Calibri" w:hAnsi="Calibri" w:cs="Calibri" w:eastAsia="Calibri" w:hint="default"/>
                <w:sz w:val="21"/>
                <w:szCs w:val="21"/>
              </w:rPr>
            </w:pPr>
            <w:r>
              <w:rPr>
                <w:rFonts w:ascii="Calibri"/>
                <w:w w:val="100"/>
                <w:sz w:val="21"/>
              </w:rPr>
              <w:t>-</w:t>
            </w:r>
          </w:p>
        </w:tc>
      </w:tr>
      <w:tr>
        <w:trPr>
          <w:trHeight w:val="946"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1"/>
              <w:jc w:val="both"/>
              <w:rPr>
                <w:rFonts w:ascii="宋体" w:hAnsi="宋体" w:cs="宋体" w:eastAsia="宋体" w:hint="default"/>
                <w:sz w:val="21"/>
                <w:szCs w:val="21"/>
              </w:rPr>
            </w:pPr>
            <w:r>
              <w:rPr>
                <w:rFonts w:ascii="宋体" w:hAnsi="宋体" w:cs="宋体" w:eastAsia="宋体" w:hint="default"/>
                <w:sz w:val="21"/>
                <w:szCs w:val="21"/>
              </w:rPr>
              <w:t>浙江中科数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城软件有限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权益法</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
              <w:jc w:val="center"/>
              <w:rPr>
                <w:rFonts w:ascii="Calibri" w:hAnsi="Calibri" w:cs="Calibri" w:eastAsia="Calibri" w:hint="default"/>
                <w:sz w:val="21"/>
                <w:szCs w:val="21"/>
              </w:rPr>
            </w:pPr>
            <w:r>
              <w:rPr>
                <w:rFonts w:ascii="Calibri"/>
                <w:sz w:val="21"/>
              </w:rPr>
              <w:t>2,336,000.00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Calibri" w:hAnsi="Calibri" w:cs="Calibri" w:eastAsia="Calibri" w:hint="default"/>
                <w:sz w:val="21"/>
                <w:szCs w:val="21"/>
              </w:rPr>
            </w:pPr>
            <w:r>
              <w:rPr>
                <w:rFonts w:ascii="Calibri"/>
                <w:sz w:val="21"/>
              </w:rPr>
              <w:t>2,337,697.35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
              <w:jc w:val="center"/>
              <w:rPr>
                <w:rFonts w:ascii="Calibri" w:hAnsi="Calibri" w:cs="Calibri" w:eastAsia="Calibri" w:hint="default"/>
                <w:sz w:val="21"/>
                <w:szCs w:val="21"/>
              </w:rPr>
            </w:pPr>
            <w:r>
              <w:rPr>
                <w:rFonts w:ascii="Calibri"/>
                <w:sz w:val="21"/>
              </w:rPr>
              <w:t>-114,988.64</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Calibri" w:hAnsi="Calibri" w:cs="Calibri" w:eastAsia="Calibri" w:hint="default"/>
                <w:sz w:val="21"/>
                <w:szCs w:val="21"/>
              </w:rPr>
            </w:pPr>
            <w:r>
              <w:rPr>
                <w:rFonts w:ascii="Calibri"/>
                <w:sz w:val="21"/>
              </w:rPr>
              <w:t>2,222,708.71</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Calibri" w:hAnsi="Calibri" w:cs="Calibri" w:eastAsia="Calibri" w:hint="default"/>
                <w:sz w:val="21"/>
                <w:szCs w:val="21"/>
              </w:rPr>
            </w:pPr>
            <w:r>
              <w:rPr>
                <w:rFonts w:ascii="Calibri"/>
                <w:sz w:val="21"/>
              </w:rPr>
              <w:t>23.36</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316"/>
              <w:jc w:val="right"/>
              <w:rPr>
                <w:rFonts w:ascii="Calibri" w:hAnsi="Calibri" w:cs="Calibri" w:eastAsia="Calibri" w:hint="default"/>
                <w:sz w:val="21"/>
                <w:szCs w:val="21"/>
              </w:rPr>
            </w:pPr>
            <w:r>
              <w:rPr>
                <w:rFonts w:ascii="Calibri"/>
                <w:spacing w:val="-1"/>
                <w:sz w:val="21"/>
              </w:rPr>
              <w:t>23.36</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525" w:right="0"/>
              <w:jc w:val="left"/>
              <w:rPr>
                <w:rFonts w:ascii="Calibri" w:hAnsi="Calibri" w:cs="Calibri" w:eastAsia="Calibri" w:hint="default"/>
                <w:sz w:val="21"/>
                <w:szCs w:val="21"/>
              </w:rPr>
            </w:pPr>
            <w:r>
              <w:rPr>
                <w:rFonts w:ascii="Calibri"/>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523" w:right="0"/>
              <w:jc w:val="left"/>
              <w:rPr>
                <w:rFonts w:ascii="Calibri" w:hAnsi="Calibri" w:cs="Calibri" w:eastAsia="Calibri" w:hint="default"/>
                <w:sz w:val="21"/>
                <w:szCs w:val="21"/>
              </w:rPr>
            </w:pPr>
            <w:r>
              <w:rPr>
                <w:rFonts w:ascii="Calibri"/>
                <w:w w:val="100"/>
                <w:sz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521" w:right="0"/>
              <w:jc w:val="left"/>
              <w:rPr>
                <w:rFonts w:ascii="Calibri" w:hAnsi="Calibri" w:cs="Calibri" w:eastAsia="Calibri" w:hint="default"/>
                <w:sz w:val="21"/>
                <w:szCs w:val="21"/>
              </w:rPr>
            </w:pPr>
            <w:r>
              <w:rPr>
                <w:rFonts w:ascii="Calibri"/>
                <w:w w:val="100"/>
                <w:sz w:val="21"/>
              </w:rPr>
              <w:t>-</w:t>
            </w:r>
          </w:p>
        </w:tc>
      </w:tr>
      <w:tr>
        <w:trPr>
          <w:trHeight w:val="946" w:hRule="exact"/>
        </w:trPr>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31"/>
              <w:jc w:val="both"/>
              <w:rPr>
                <w:rFonts w:ascii="宋体" w:hAnsi="宋体" w:cs="宋体" w:eastAsia="宋体" w:hint="default"/>
                <w:sz w:val="21"/>
                <w:szCs w:val="21"/>
              </w:rPr>
            </w:pPr>
            <w:r>
              <w:rPr>
                <w:rFonts w:ascii="宋体" w:hAnsi="宋体" w:cs="宋体" w:eastAsia="宋体" w:hint="default"/>
                <w:sz w:val="21"/>
                <w:szCs w:val="21"/>
              </w:rPr>
              <w:t>北京国遥新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天地信息技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术有限公司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权益法</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2"/>
              <w:jc w:val="center"/>
              <w:rPr>
                <w:rFonts w:ascii="Calibri" w:hAnsi="Calibri" w:cs="Calibri" w:eastAsia="Calibri" w:hint="default"/>
                <w:sz w:val="21"/>
                <w:szCs w:val="21"/>
              </w:rPr>
            </w:pPr>
            <w:r>
              <w:rPr>
                <w:rFonts w:ascii="Calibri"/>
                <w:sz w:val="21"/>
              </w:rPr>
              <w:t>2,000,000.00</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Calibri" w:hAnsi="Calibri" w:cs="Calibri" w:eastAsia="Calibri" w:hint="default"/>
                <w:sz w:val="21"/>
                <w:szCs w:val="21"/>
              </w:rPr>
            </w:pPr>
            <w:r>
              <w:rPr>
                <w:rFonts w:ascii="Calibri"/>
                <w:sz w:val="21"/>
              </w:rPr>
              <w:t>11,414,208.32</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Calibri" w:hAnsi="Calibri" w:cs="Calibri" w:eastAsia="Calibri" w:hint="default"/>
                <w:sz w:val="21"/>
                <w:szCs w:val="21"/>
              </w:rPr>
            </w:pPr>
            <w:r>
              <w:rPr>
                <w:rFonts w:ascii="Calibri"/>
                <w:sz w:val="21"/>
              </w:rPr>
              <w:t>4,556,260.52</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Calibri" w:hAnsi="Calibri" w:cs="Calibri" w:eastAsia="Calibri" w:hint="default"/>
                <w:sz w:val="21"/>
                <w:szCs w:val="21"/>
              </w:rPr>
            </w:pPr>
            <w:r>
              <w:rPr>
                <w:rFonts w:ascii="Calibri"/>
                <w:sz w:val="21"/>
              </w:rPr>
              <w:t>15,970,468.84</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Calibri" w:hAnsi="Calibri" w:cs="Calibri" w:eastAsia="Calibri" w:hint="default"/>
                <w:sz w:val="21"/>
                <w:szCs w:val="21"/>
              </w:rPr>
            </w:pPr>
            <w:r>
              <w:rPr>
                <w:rFonts w:ascii="Calibri"/>
                <w:sz w:val="21"/>
              </w:rPr>
              <w:t>20.00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316"/>
              <w:jc w:val="right"/>
              <w:rPr>
                <w:rFonts w:ascii="Calibri" w:hAnsi="Calibri" w:cs="Calibri" w:eastAsia="Calibri" w:hint="default"/>
                <w:sz w:val="21"/>
                <w:szCs w:val="21"/>
              </w:rPr>
            </w:pPr>
            <w:r>
              <w:rPr>
                <w:rFonts w:ascii="Calibri"/>
                <w:spacing w:val="-1"/>
                <w:sz w:val="21"/>
              </w:rPr>
              <w:t>20.00</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525" w:right="0"/>
              <w:jc w:val="left"/>
              <w:rPr>
                <w:rFonts w:ascii="Calibri" w:hAnsi="Calibri" w:cs="Calibri" w:eastAsia="Calibri" w:hint="default"/>
                <w:sz w:val="21"/>
                <w:szCs w:val="21"/>
              </w:rPr>
            </w:pPr>
            <w:r>
              <w:rPr>
                <w:rFonts w:ascii="Calibri"/>
                <w:w w:val="100"/>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Calibri" w:hAnsi="Calibri" w:cs="Calibri" w:eastAsia="Calibri" w:hint="default"/>
                <w:sz w:val="21"/>
                <w:szCs w:val="21"/>
              </w:rPr>
            </w:pPr>
            <w:r>
              <w:rPr>
                <w:rFonts w:ascii="Calibri"/>
                <w:w w:val="100"/>
                <w:sz w:val="21"/>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523" w:right="0"/>
              <w:jc w:val="left"/>
              <w:rPr>
                <w:rFonts w:ascii="Calibri" w:hAnsi="Calibri" w:cs="Calibri" w:eastAsia="Calibri" w:hint="default"/>
                <w:sz w:val="21"/>
                <w:szCs w:val="21"/>
              </w:rPr>
            </w:pPr>
            <w:r>
              <w:rPr>
                <w:rFonts w:ascii="Calibri"/>
                <w:w w:val="100"/>
                <w:sz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521" w:right="0"/>
              <w:jc w:val="left"/>
              <w:rPr>
                <w:rFonts w:ascii="Calibri" w:hAnsi="Calibri" w:cs="Calibri" w:eastAsia="Calibri" w:hint="default"/>
                <w:sz w:val="21"/>
                <w:szCs w:val="21"/>
              </w:rPr>
            </w:pPr>
            <w:r>
              <w:rPr>
                <w:rFonts w:ascii="Calibri"/>
                <w:w w:val="100"/>
                <w:sz w:val="21"/>
              </w:rPr>
              <w:t>-</w:t>
            </w:r>
          </w:p>
        </w:tc>
      </w:tr>
      <w:tr>
        <w:trPr>
          <w:trHeight w:val="637" w:hRule="exact"/>
        </w:trPr>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4"/>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Calibri" w:hAnsi="Calibri" w:cs="Calibri" w:eastAsia="Calibri" w:hint="default"/>
                <w:sz w:val="21"/>
                <w:szCs w:val="21"/>
              </w:rPr>
            </w:pPr>
            <w:r>
              <w:rPr>
                <w:rFonts w:ascii="Calibri"/>
                <w:spacing w:val="-2"/>
                <w:sz w:val="21"/>
              </w:rPr>
              <w:t>30,729,851.78</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40,145,757.45</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4,441,271.88</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44,587,029.33</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 w:right="0"/>
              <w:jc w:val="center"/>
              <w:rPr>
                <w:rFonts w:ascii="Calibri" w:hAnsi="Calibri" w:cs="Calibri" w:eastAsia="Calibri" w:hint="default"/>
                <w:sz w:val="21"/>
                <w:szCs w:val="21"/>
              </w:rPr>
            </w:pPr>
            <w:r>
              <w:rPr>
                <w:rFonts w:ascii="Calibri"/>
                <w:sz w:val="21"/>
              </w:rPr>
              <w:t>--</w:t>
            </w: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494" w:right="0"/>
              <w:jc w:val="left"/>
              <w:rPr>
                <w:rFonts w:ascii="Calibri" w:hAnsi="Calibri" w:cs="Calibri" w:eastAsia="Calibri" w:hint="default"/>
                <w:sz w:val="21"/>
                <w:szCs w:val="21"/>
              </w:rPr>
            </w:pPr>
            <w:r>
              <w:rPr>
                <w:rFonts w:ascii="Calibri"/>
                <w:sz w:val="21"/>
              </w:rPr>
              <w:t>--</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Calibri" w:hAnsi="Calibri" w:cs="Calibri" w:eastAsia="Calibri" w:hint="default"/>
                <w:sz w:val="21"/>
                <w:szCs w:val="21"/>
              </w:rPr>
            </w:pPr>
            <w:r>
              <w:rPr>
                <w:rFonts w:ascii="Calibri"/>
                <w:sz w:val="21"/>
              </w:rPr>
              <w:t>1,000,000.00</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3" w:right="0"/>
              <w:jc w:val="left"/>
              <w:rPr>
                <w:rFonts w:ascii="Calibri" w:hAnsi="Calibri" w:cs="Calibri" w:eastAsia="Calibri" w:hint="default"/>
                <w:sz w:val="21"/>
                <w:szCs w:val="21"/>
              </w:rPr>
            </w:pPr>
            <w:r>
              <w:rPr>
                <w:rFonts w:ascii="Calibri"/>
                <w:w w:val="100"/>
                <w:sz w:val="21"/>
              </w:rPr>
              <w:t>-</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521" w:right="0"/>
              <w:jc w:val="left"/>
              <w:rPr>
                <w:rFonts w:ascii="Calibri" w:hAnsi="Calibri" w:cs="Calibri" w:eastAsia="Calibri" w:hint="default"/>
                <w:sz w:val="21"/>
                <w:szCs w:val="21"/>
              </w:rPr>
            </w:pPr>
            <w:r>
              <w:rPr>
                <w:rFonts w:ascii="Calibri"/>
                <w:w w:val="100"/>
                <w:sz w:val="21"/>
              </w:rPr>
              <w:t>-</w:t>
            </w:r>
          </w:p>
        </w:tc>
      </w:tr>
    </w:tbl>
    <w:p>
      <w:pPr>
        <w:spacing w:line="262" w:lineRule="exact" w:before="0"/>
        <w:ind w:left="558" w:right="0" w:firstLine="0"/>
        <w:jc w:val="left"/>
        <w:rPr>
          <w:rFonts w:ascii="宋体" w:hAnsi="宋体" w:cs="宋体" w:eastAsia="宋体" w:hint="default"/>
          <w:sz w:val="21"/>
          <w:szCs w:val="21"/>
        </w:rPr>
      </w:pPr>
      <w:r>
        <w:rPr>
          <w:rFonts w:ascii="宋体" w:hAnsi="宋体" w:cs="宋体" w:eastAsia="宋体" w:hint="default"/>
          <w:sz w:val="21"/>
          <w:szCs w:val="21"/>
        </w:rPr>
        <w:t>长期股权投资的说明：无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58"/>
        <w:ind w:left="7370" w:right="6968" w:firstLine="0"/>
        <w:jc w:val="center"/>
        <w:rPr>
          <w:rFonts w:ascii="Calibri" w:hAnsi="Calibri" w:cs="Calibri" w:eastAsia="Calibri" w:hint="default"/>
          <w:sz w:val="21"/>
          <w:szCs w:val="21"/>
        </w:rPr>
      </w:pPr>
      <w:r>
        <w:rPr>
          <w:rFonts w:ascii="Calibri"/>
          <w:sz w:val="21"/>
        </w:rPr>
        <w:t>174</w:t>
      </w:r>
    </w:p>
    <w:p>
      <w:pPr>
        <w:spacing w:after="0"/>
        <w:jc w:val="center"/>
        <w:rPr>
          <w:rFonts w:ascii="Calibri" w:hAnsi="Calibri" w:cs="Calibri" w:eastAsia="Calibri" w:hint="default"/>
          <w:sz w:val="21"/>
          <w:szCs w:val="21"/>
        </w:rPr>
        <w:sectPr>
          <w:headerReference w:type="default" r:id="rId61"/>
          <w:footerReference w:type="default" r:id="rId62"/>
          <w:pgSz w:w="16840" w:h="11910" w:orient="landscape"/>
          <w:pgMar w:header="0" w:footer="0" w:top="800" w:bottom="280" w:left="860" w:right="1280"/>
        </w:sectPr>
      </w:pPr>
    </w:p>
    <w:p>
      <w:pPr>
        <w:spacing w:line="240" w:lineRule="auto" w:before="0"/>
        <w:rPr>
          <w:rFonts w:ascii="Calibri" w:hAnsi="Calibri" w:cs="Calibri" w:eastAsia="Calibri" w:hint="default"/>
          <w:sz w:val="20"/>
          <w:szCs w:val="20"/>
        </w:rPr>
      </w:pPr>
    </w:p>
    <w:p>
      <w:pPr>
        <w:spacing w:line="240" w:lineRule="auto" w:before="1"/>
        <w:rPr>
          <w:rFonts w:ascii="Calibri" w:hAnsi="Calibri" w:cs="Calibri" w:eastAsia="Calibri" w:hint="default"/>
          <w:sz w:val="22"/>
          <w:szCs w:val="22"/>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298"/>
        <w:gridCol w:w="3170"/>
        <w:gridCol w:w="3281"/>
      </w:tblGrid>
      <w:tr>
        <w:trPr>
          <w:trHeight w:val="322" w:hRule="exact"/>
        </w:trPr>
        <w:tc>
          <w:tcPr>
            <w:tcW w:w="2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59"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2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2" w:hRule="exact"/>
        </w:trPr>
        <w:tc>
          <w:tcPr>
            <w:tcW w:w="2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7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3"/>
              <w:ind w:right="18"/>
              <w:jc w:val="right"/>
              <w:rPr>
                <w:rFonts w:ascii="Arial Narrow" w:hAnsi="Arial Narrow" w:cs="Arial Narrow" w:eastAsia="Arial Narrow" w:hint="default"/>
                <w:sz w:val="21"/>
                <w:szCs w:val="21"/>
              </w:rPr>
            </w:pPr>
            <w:r>
              <w:rPr>
                <w:rFonts w:ascii="Arial Narrow"/>
                <w:spacing w:val="-1"/>
                <w:sz w:val="21"/>
              </w:rPr>
              <w:t>247,961,137.57</w:t>
            </w:r>
            <w:r>
              <w:rPr>
                <w:rFonts w:ascii="Arial Narrow"/>
                <w:sz w:val="21"/>
              </w:rPr>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261,084,007.47</w:t>
            </w:r>
            <w:r>
              <w:rPr>
                <w:rFonts w:ascii="Arial Narrow"/>
                <w:sz w:val="21"/>
              </w:rPr>
            </w:r>
          </w:p>
        </w:tc>
      </w:tr>
      <w:tr>
        <w:trPr>
          <w:trHeight w:val="324" w:hRule="exact"/>
        </w:trPr>
        <w:tc>
          <w:tcPr>
            <w:tcW w:w="2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7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6"/>
              <w:ind w:right="18"/>
              <w:jc w:val="right"/>
              <w:rPr>
                <w:rFonts w:ascii="Arial Narrow" w:hAnsi="Arial Narrow" w:cs="Arial Narrow" w:eastAsia="Arial Narrow" w:hint="default"/>
                <w:sz w:val="21"/>
                <w:szCs w:val="21"/>
              </w:rPr>
            </w:pPr>
            <w:r>
              <w:rPr>
                <w:rFonts w:ascii="Arial Narrow"/>
                <w:spacing w:val="-1"/>
                <w:sz w:val="21"/>
              </w:rPr>
              <w:t>1,617,720.00</w:t>
            </w:r>
            <w:r>
              <w:rPr>
                <w:rFonts w:ascii="Arial Narrow"/>
                <w:sz w:val="21"/>
              </w:rPr>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20"/>
              <w:jc w:val="right"/>
              <w:rPr>
                <w:rFonts w:ascii="Arial Narrow" w:hAnsi="Arial Narrow" w:cs="Arial Narrow" w:eastAsia="Arial Narrow" w:hint="default"/>
                <w:sz w:val="21"/>
                <w:szCs w:val="21"/>
              </w:rPr>
            </w:pPr>
            <w:r>
              <w:rPr>
                <w:rFonts w:ascii="Arial Narrow"/>
                <w:spacing w:val="-1"/>
                <w:sz w:val="21"/>
              </w:rPr>
              <w:t>1,215,500.00</w:t>
            </w:r>
            <w:r>
              <w:rPr>
                <w:rFonts w:ascii="Arial Narrow"/>
                <w:sz w:val="21"/>
              </w:rPr>
            </w:r>
          </w:p>
        </w:tc>
      </w:tr>
      <w:tr>
        <w:trPr>
          <w:trHeight w:val="322" w:hRule="exact"/>
        </w:trPr>
        <w:tc>
          <w:tcPr>
            <w:tcW w:w="2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7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3"/>
              <w:ind w:right="18"/>
              <w:jc w:val="right"/>
              <w:rPr>
                <w:rFonts w:ascii="Arial Narrow" w:hAnsi="Arial Narrow" w:cs="Arial Narrow" w:eastAsia="Arial Narrow" w:hint="default"/>
                <w:sz w:val="21"/>
                <w:szCs w:val="21"/>
              </w:rPr>
            </w:pPr>
            <w:r>
              <w:rPr>
                <w:rFonts w:ascii="Arial Narrow"/>
                <w:spacing w:val="-1"/>
                <w:sz w:val="21"/>
              </w:rPr>
              <w:t>88,025,253.52</w:t>
            </w:r>
            <w:r>
              <w:rPr>
                <w:rFonts w:ascii="Arial Narrow"/>
                <w:sz w:val="21"/>
              </w:rPr>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64,585,381.78</w:t>
            </w:r>
            <w:r>
              <w:rPr>
                <w:rFonts w:ascii="Arial Narrow"/>
                <w:sz w:val="21"/>
              </w:rPr>
            </w:r>
          </w:p>
        </w:tc>
      </w:tr>
      <w:tr>
        <w:trPr>
          <w:trHeight w:val="322" w:hRule="exact"/>
        </w:trPr>
        <w:tc>
          <w:tcPr>
            <w:tcW w:w="2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7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88,025,253.52</w:t>
            </w:r>
          </w:p>
        </w:tc>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64,585,381.78</w:t>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069"/>
        <w:gridCol w:w="1699"/>
        <w:gridCol w:w="1702"/>
        <w:gridCol w:w="1700"/>
        <w:gridCol w:w="1579"/>
      </w:tblGrid>
      <w:tr>
        <w:trPr>
          <w:trHeight w:val="322" w:hRule="exact"/>
        </w:trPr>
        <w:tc>
          <w:tcPr>
            <w:tcW w:w="2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left="607" w:right="0"/>
              <w:jc w:val="left"/>
              <w:rPr>
                <w:rFonts w:ascii="宋体" w:hAnsi="宋体" w:cs="宋体" w:eastAsia="宋体" w:hint="default"/>
                <w:sz w:val="21"/>
                <w:szCs w:val="21"/>
              </w:rPr>
            </w:pPr>
            <w:r>
              <w:rPr>
                <w:rFonts w:ascii="宋体" w:hAnsi="宋体" w:cs="宋体" w:eastAsia="宋体" w:hint="default"/>
                <w:b/>
                <w:bCs/>
                <w:sz w:val="21"/>
                <w:szCs w:val="21"/>
              </w:rPr>
              <w:t>行业名称</w:t>
            </w:r>
            <w:r>
              <w:rPr>
                <w:rFonts w:ascii="宋体" w:hAnsi="宋体" w:cs="宋体" w:eastAsia="宋体" w:hint="default"/>
                <w:sz w:val="21"/>
                <w:szCs w:val="21"/>
              </w:rPr>
            </w:r>
          </w:p>
        </w:tc>
        <w:tc>
          <w:tcPr>
            <w:tcW w:w="34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2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2" w:hRule="exact"/>
        </w:trPr>
        <w:tc>
          <w:tcPr>
            <w:tcW w:w="2069" w:type="dxa"/>
            <w:vMerge/>
            <w:tcBorders>
              <w:left w:val="single" w:sz="4" w:space="0" w:color="000000"/>
              <w:bottom w:val="single" w:sz="4" w:space="0" w:color="000000"/>
              <w:right w:val="single" w:sz="4" w:space="0" w:color="000000"/>
            </w:tcBorders>
            <w:shd w:val="clear" w:color="auto" w:fill="D2D2D2"/>
          </w:tcPr>
          <w:p>
            <w:pP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22"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3"/>
                <w:sz w:val="21"/>
              </w:rPr>
              <w:t>247,961,137.57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56" w:right="0"/>
              <w:jc w:val="left"/>
              <w:rPr>
                <w:rFonts w:ascii="Calibri" w:hAnsi="Calibri" w:cs="Calibri" w:eastAsia="Calibri" w:hint="default"/>
                <w:sz w:val="21"/>
                <w:szCs w:val="21"/>
              </w:rPr>
            </w:pPr>
            <w:r>
              <w:rPr>
                <w:rFonts w:ascii="Calibri"/>
                <w:sz w:val="21"/>
              </w:rPr>
              <w:t>87,520,224.74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261,084,007.47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3" w:right="0"/>
              <w:jc w:val="left"/>
              <w:rPr>
                <w:rFonts w:ascii="Calibri" w:hAnsi="Calibri" w:cs="Calibri" w:eastAsia="Calibri" w:hint="default"/>
                <w:sz w:val="21"/>
                <w:szCs w:val="21"/>
              </w:rPr>
            </w:pPr>
            <w:r>
              <w:rPr>
                <w:rFonts w:ascii="Calibri"/>
                <w:sz w:val="21"/>
              </w:rPr>
              <w:t>63,695,404.09</w:t>
            </w:r>
          </w:p>
        </w:tc>
      </w:tr>
      <w:tr>
        <w:trPr>
          <w:trHeight w:val="322" w:hRule="exact"/>
        </w:trPr>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3"/>
                <w:sz w:val="21"/>
              </w:rPr>
              <w:t>247,961,137.57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56" w:right="0"/>
              <w:jc w:val="left"/>
              <w:rPr>
                <w:rFonts w:ascii="Calibri" w:hAnsi="Calibri" w:cs="Calibri" w:eastAsia="Calibri" w:hint="default"/>
                <w:sz w:val="21"/>
                <w:szCs w:val="21"/>
              </w:rPr>
            </w:pPr>
            <w:r>
              <w:rPr>
                <w:rFonts w:ascii="Calibri"/>
                <w:sz w:val="21"/>
              </w:rPr>
              <w:t>87,520,224.74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261,084,007.47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3" w:right="0"/>
              <w:jc w:val="left"/>
              <w:rPr>
                <w:rFonts w:ascii="Calibri" w:hAnsi="Calibri" w:cs="Calibri" w:eastAsia="Calibri" w:hint="default"/>
                <w:sz w:val="21"/>
                <w:szCs w:val="21"/>
              </w:rPr>
            </w:pPr>
            <w:r>
              <w:rPr>
                <w:rFonts w:ascii="Calibri"/>
                <w:sz w:val="21"/>
              </w:rPr>
              <w:t>63,695,404.09</w:t>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069"/>
        <w:gridCol w:w="1699"/>
        <w:gridCol w:w="1702"/>
        <w:gridCol w:w="1700"/>
        <w:gridCol w:w="1579"/>
      </w:tblGrid>
      <w:tr>
        <w:trPr>
          <w:trHeight w:val="322" w:hRule="exact"/>
        </w:trPr>
        <w:tc>
          <w:tcPr>
            <w:tcW w:w="2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left="607"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34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2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2" w:hRule="exact"/>
        </w:trPr>
        <w:tc>
          <w:tcPr>
            <w:tcW w:w="2069" w:type="dxa"/>
            <w:vMerge/>
            <w:tcBorders>
              <w:left w:val="single" w:sz="4" w:space="0" w:color="000000"/>
              <w:bottom w:val="single" w:sz="4" w:space="0" w:color="000000"/>
              <w:right w:val="single" w:sz="4" w:space="0" w:color="000000"/>
            </w:tcBorders>
            <w:shd w:val="clear" w:color="auto" w:fill="D2D2D2"/>
          </w:tcPr>
          <w:p>
            <w:pP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22"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23" w:right="0"/>
              <w:jc w:val="left"/>
              <w:rPr>
                <w:rFonts w:ascii="宋体" w:hAnsi="宋体" w:cs="宋体" w:eastAsia="宋体" w:hint="default"/>
                <w:sz w:val="21"/>
                <w:szCs w:val="21"/>
              </w:rPr>
            </w:pPr>
            <w:r>
              <w:rPr>
                <w:rFonts w:ascii="Calibri" w:hAnsi="Calibri" w:cs="Calibri" w:eastAsia="Calibri" w:hint="default"/>
                <w:sz w:val="21"/>
                <w:szCs w:val="21"/>
              </w:rPr>
              <w:t>GIS</w:t>
            </w:r>
            <w:r>
              <w:rPr>
                <w:rFonts w:ascii="Calibri" w:hAnsi="Calibri" w:cs="Calibri" w:eastAsia="Calibri" w:hint="default"/>
                <w:spacing w:val="8"/>
                <w:sz w:val="21"/>
                <w:szCs w:val="21"/>
              </w:rPr>
              <w:t> </w:t>
            </w:r>
            <w:r>
              <w:rPr>
                <w:rFonts w:ascii="宋体" w:hAnsi="宋体" w:cs="宋体" w:eastAsia="宋体" w:hint="default"/>
                <w:spacing w:val="-3"/>
                <w:sz w:val="21"/>
                <w:szCs w:val="21"/>
              </w:rPr>
              <w:t>软件</w:t>
            </w:r>
            <w:r>
              <w:rPr>
                <w:rFonts w:ascii="宋体" w:hAnsi="宋体" w:cs="宋体" w:eastAsia="宋体" w:hint="default"/>
                <w:sz w:val="21"/>
                <w:szCs w:val="21"/>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222,354,332.97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44" w:right="0"/>
              <w:jc w:val="left"/>
              <w:rPr>
                <w:rFonts w:ascii="Calibri" w:hAnsi="Calibri" w:cs="Calibri" w:eastAsia="Calibri" w:hint="default"/>
                <w:sz w:val="21"/>
                <w:szCs w:val="21"/>
              </w:rPr>
            </w:pPr>
            <w:r>
              <w:rPr>
                <w:rFonts w:ascii="Calibri"/>
                <w:sz w:val="21"/>
              </w:rPr>
              <w:t>65,563,899.77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246,432,939.91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3" w:right="0"/>
              <w:jc w:val="left"/>
              <w:rPr>
                <w:rFonts w:ascii="Calibri" w:hAnsi="Calibri" w:cs="Calibri" w:eastAsia="Calibri" w:hint="default"/>
                <w:sz w:val="21"/>
                <w:szCs w:val="21"/>
              </w:rPr>
            </w:pPr>
            <w:r>
              <w:rPr>
                <w:rFonts w:ascii="Calibri"/>
                <w:sz w:val="21"/>
              </w:rPr>
              <w:t>53,101,930.41</w:t>
            </w:r>
          </w:p>
        </w:tc>
      </w:tr>
      <w:tr>
        <w:trPr>
          <w:trHeight w:val="324"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23" w:right="0"/>
              <w:jc w:val="left"/>
              <w:rPr>
                <w:rFonts w:ascii="宋体" w:hAnsi="宋体" w:cs="宋体" w:eastAsia="宋体" w:hint="default"/>
                <w:sz w:val="21"/>
                <w:szCs w:val="21"/>
              </w:rPr>
            </w:pPr>
            <w:r>
              <w:rPr>
                <w:rFonts w:ascii="Calibri" w:hAnsi="Calibri" w:cs="Calibri" w:eastAsia="Calibri" w:hint="default"/>
                <w:sz w:val="21"/>
                <w:szCs w:val="21"/>
              </w:rPr>
              <w:t>GIS</w:t>
            </w:r>
            <w:r>
              <w:rPr>
                <w:rFonts w:ascii="Calibri" w:hAnsi="Calibri" w:cs="Calibri" w:eastAsia="Calibri" w:hint="default"/>
                <w:spacing w:val="3"/>
                <w:sz w:val="21"/>
                <w:szCs w:val="21"/>
              </w:rPr>
              <w:t> </w:t>
            </w:r>
            <w:r>
              <w:rPr>
                <w:rFonts w:ascii="宋体" w:hAnsi="宋体" w:cs="宋体" w:eastAsia="宋体" w:hint="default"/>
                <w:sz w:val="21"/>
                <w:szCs w:val="21"/>
              </w:rPr>
              <w:t>软件配套产品</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25,606,804.60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51" w:right="0"/>
              <w:jc w:val="left"/>
              <w:rPr>
                <w:rFonts w:ascii="Calibri" w:hAnsi="Calibri" w:cs="Calibri" w:eastAsia="Calibri" w:hint="default"/>
                <w:sz w:val="21"/>
                <w:szCs w:val="21"/>
              </w:rPr>
            </w:pPr>
            <w:r>
              <w:rPr>
                <w:rFonts w:ascii="Calibri"/>
                <w:sz w:val="21"/>
              </w:rPr>
              <w:t>21,956,324.97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Calibri" w:hAnsi="Calibri" w:cs="Calibri" w:eastAsia="Calibri" w:hint="default"/>
                <w:sz w:val="21"/>
                <w:szCs w:val="21"/>
              </w:rPr>
            </w:pPr>
            <w:r>
              <w:rPr>
                <w:rFonts w:ascii="Calibri"/>
                <w:spacing w:val="-2"/>
                <w:sz w:val="21"/>
              </w:rPr>
              <w:t>14,651,067.56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28" w:right="0"/>
              <w:jc w:val="left"/>
              <w:rPr>
                <w:rFonts w:ascii="Calibri" w:hAnsi="Calibri" w:cs="Calibri" w:eastAsia="Calibri" w:hint="default"/>
                <w:sz w:val="21"/>
                <w:szCs w:val="21"/>
              </w:rPr>
            </w:pPr>
            <w:r>
              <w:rPr>
                <w:rFonts w:ascii="Calibri"/>
                <w:sz w:val="21"/>
              </w:rPr>
              <w:t>10,593,473.68</w:t>
            </w:r>
          </w:p>
        </w:tc>
      </w:tr>
      <w:tr>
        <w:trPr>
          <w:trHeight w:val="322" w:hRule="exact"/>
        </w:trPr>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247,961,137.57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56" w:right="0"/>
              <w:jc w:val="left"/>
              <w:rPr>
                <w:rFonts w:ascii="Calibri" w:hAnsi="Calibri" w:cs="Calibri" w:eastAsia="Calibri" w:hint="default"/>
                <w:sz w:val="21"/>
                <w:szCs w:val="21"/>
              </w:rPr>
            </w:pPr>
            <w:r>
              <w:rPr>
                <w:rFonts w:ascii="Calibri"/>
                <w:sz w:val="21"/>
              </w:rPr>
              <w:t>87,520,224.74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261,084,007.47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23" w:right="0"/>
              <w:jc w:val="left"/>
              <w:rPr>
                <w:rFonts w:ascii="Calibri" w:hAnsi="Calibri" w:cs="Calibri" w:eastAsia="Calibri" w:hint="default"/>
                <w:sz w:val="21"/>
                <w:szCs w:val="21"/>
              </w:rPr>
            </w:pPr>
            <w:r>
              <w:rPr>
                <w:rFonts w:ascii="Calibri"/>
                <w:sz w:val="21"/>
              </w:rPr>
              <w:t>63,695,404.09</w:t>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1"/>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2069"/>
        <w:gridCol w:w="1699"/>
        <w:gridCol w:w="1702"/>
        <w:gridCol w:w="1700"/>
        <w:gridCol w:w="1579"/>
      </w:tblGrid>
      <w:tr>
        <w:trPr>
          <w:trHeight w:val="322" w:hRule="exact"/>
        </w:trPr>
        <w:tc>
          <w:tcPr>
            <w:tcW w:w="2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48"/>
              <w:ind w:left="607" w:right="0"/>
              <w:jc w:val="left"/>
              <w:rPr>
                <w:rFonts w:ascii="宋体" w:hAnsi="宋体" w:cs="宋体" w:eastAsia="宋体" w:hint="default"/>
                <w:sz w:val="21"/>
                <w:szCs w:val="21"/>
              </w:rPr>
            </w:pPr>
            <w:r>
              <w:rPr>
                <w:rFonts w:ascii="宋体" w:hAnsi="宋体" w:cs="宋体" w:eastAsia="宋体" w:hint="default"/>
                <w:b/>
                <w:bCs/>
                <w:sz w:val="21"/>
                <w:szCs w:val="21"/>
              </w:rPr>
              <w:t>地区名称</w:t>
            </w:r>
            <w:r>
              <w:rPr>
                <w:rFonts w:ascii="宋体" w:hAnsi="宋体" w:cs="宋体" w:eastAsia="宋体" w:hint="default"/>
                <w:sz w:val="21"/>
                <w:szCs w:val="21"/>
              </w:rPr>
            </w:r>
          </w:p>
        </w:tc>
        <w:tc>
          <w:tcPr>
            <w:tcW w:w="340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32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2" w:hRule="exact"/>
        </w:trPr>
        <w:tc>
          <w:tcPr>
            <w:tcW w:w="2069" w:type="dxa"/>
            <w:vMerge/>
            <w:tcBorders>
              <w:left w:val="single" w:sz="4" w:space="0" w:color="000000"/>
              <w:bottom w:val="single" w:sz="4" w:space="0" w:color="000000"/>
              <w:right w:val="single" w:sz="4" w:space="0" w:color="000000"/>
            </w:tcBorders>
            <w:shd w:val="clear" w:color="auto" w:fill="D2D2D2"/>
          </w:tcPr>
          <w:p>
            <w:pPr/>
          </w:p>
        </w:tc>
        <w:tc>
          <w:tcPr>
            <w:tcW w:w="1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2"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424" w:right="0"/>
              <w:jc w:val="left"/>
              <w:rPr>
                <w:rFonts w:ascii="宋体" w:hAnsi="宋体" w:cs="宋体" w:eastAsia="宋体" w:hint="default"/>
                <w:sz w:val="21"/>
                <w:szCs w:val="21"/>
              </w:rPr>
            </w:pPr>
            <w:r>
              <w:rPr>
                <w:rFonts w:ascii="宋体" w:hAnsi="宋体" w:cs="宋体" w:eastAsia="宋体" w:hint="default"/>
                <w:b/>
                <w:bCs/>
                <w:sz w:val="21"/>
                <w:szCs w:val="21"/>
              </w:rPr>
              <w:t>营业收入</w:t>
            </w:r>
            <w:r>
              <w:rPr>
                <w:rFonts w:ascii="宋体" w:hAnsi="宋体" w:cs="宋体" w:eastAsia="宋体" w:hint="default"/>
                <w:sz w:val="21"/>
                <w:szCs w:val="21"/>
              </w:rPr>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362" w:right="0"/>
              <w:jc w:val="left"/>
              <w:rPr>
                <w:rFonts w:ascii="宋体" w:hAnsi="宋体" w:cs="宋体" w:eastAsia="宋体" w:hint="default"/>
                <w:sz w:val="21"/>
                <w:szCs w:val="21"/>
              </w:rPr>
            </w:pPr>
            <w:r>
              <w:rPr>
                <w:rFonts w:ascii="宋体" w:hAnsi="宋体" w:cs="宋体" w:eastAsia="宋体" w:hint="default"/>
                <w:b/>
                <w:bCs/>
                <w:sz w:val="21"/>
                <w:szCs w:val="21"/>
              </w:rPr>
              <w:t>营业成本</w:t>
            </w:r>
            <w:r>
              <w:rPr>
                <w:rFonts w:ascii="宋体" w:hAnsi="宋体" w:cs="宋体" w:eastAsia="宋体" w:hint="default"/>
                <w:sz w:val="21"/>
                <w:szCs w:val="21"/>
              </w:rPr>
            </w:r>
          </w:p>
        </w:tc>
      </w:tr>
      <w:tr>
        <w:trPr>
          <w:trHeight w:val="322"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86,060,830.10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14,987,029.78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spacing w:val="-2"/>
                <w:sz w:val="21"/>
              </w:rPr>
              <w:t>76,310,886.64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9,269,231.82</w:t>
            </w:r>
          </w:p>
        </w:tc>
      </w:tr>
      <w:tr>
        <w:trPr>
          <w:trHeight w:val="322"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39,298,990.86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21,869,042.77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33,960,155.53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11,346,630.05</w:t>
            </w:r>
          </w:p>
        </w:tc>
      </w:tr>
      <w:tr>
        <w:trPr>
          <w:trHeight w:val="322"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28,038,613.48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2,784,018.20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w:t>
            </w:r>
          </w:p>
        </w:tc>
      </w:tr>
      <w:tr>
        <w:trPr>
          <w:trHeight w:val="324"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24,877,246.59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17,311,137.78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Calibri" w:hAnsi="Calibri" w:cs="Calibri" w:eastAsia="Calibri" w:hint="default"/>
                <w:sz w:val="21"/>
                <w:szCs w:val="21"/>
              </w:rPr>
            </w:pPr>
            <w:r>
              <w:rPr>
                <w:rFonts w:ascii="Calibri"/>
                <w:spacing w:val="-2"/>
                <w:sz w:val="21"/>
              </w:rPr>
              <w:t>33,803,293.34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12,543,654.02</w:t>
            </w:r>
          </w:p>
        </w:tc>
      </w:tr>
      <w:tr>
        <w:trPr>
          <w:trHeight w:val="322"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20,230,628.64</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10,441,421.11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42,358,402.82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4,113,820.62</w:t>
            </w:r>
          </w:p>
        </w:tc>
      </w:tr>
      <w:tr>
        <w:trPr>
          <w:trHeight w:val="322"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17,770,097.82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11,740,838.73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52,990,768.63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21,087,562.58</w:t>
            </w:r>
          </w:p>
        </w:tc>
      </w:tr>
      <w:tr>
        <w:trPr>
          <w:trHeight w:val="322"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13,311,154.36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4,902,037.42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10,401,481.16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3,842,179.29</w:t>
            </w:r>
          </w:p>
        </w:tc>
      </w:tr>
      <w:tr>
        <w:trPr>
          <w:trHeight w:val="322"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11,352,782.55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6,268,717.15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3"/>
                <w:sz w:val="21"/>
              </w:rPr>
              <w:t>7,657,707.76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1,492,325.71</w:t>
            </w:r>
            <w:r>
              <w:rPr>
                <w:rFonts w:ascii="Calibri"/>
                <w:sz w:val="21"/>
              </w:rPr>
            </w:r>
          </w:p>
        </w:tc>
      </w:tr>
      <w:tr>
        <w:trPr>
          <w:trHeight w:val="322" w:hRule="exact"/>
        </w:trPr>
        <w:tc>
          <w:tcPr>
            <w:tcW w:w="2069"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国际</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7,020,793.17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817,293.39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w:t>
            </w:r>
          </w:p>
        </w:tc>
      </w:tr>
      <w:tr>
        <w:trPr>
          <w:trHeight w:val="324" w:hRule="exact"/>
        </w:trPr>
        <w:tc>
          <w:tcPr>
            <w:tcW w:w="2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3"/>
                <w:sz w:val="21"/>
              </w:rPr>
              <w:t>247,961,137.57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87,520,224.74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261,084,007.47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63,695,404.09</w:t>
            </w:r>
          </w:p>
        </w:tc>
      </w:tr>
    </w:tbl>
    <w:p>
      <w:pPr>
        <w:spacing w:after="0" w:line="240" w:lineRule="auto"/>
        <w:jc w:val="right"/>
        <w:rPr>
          <w:rFonts w:ascii="Calibri" w:hAnsi="Calibri" w:cs="Calibri" w:eastAsia="Calibri" w:hint="default"/>
          <w:sz w:val="21"/>
          <w:szCs w:val="21"/>
        </w:rPr>
        <w:sectPr>
          <w:footerReference w:type="default" r:id="rId63"/>
          <w:pgSz w:w="11910" w:h="16840"/>
          <w:pgMar w:footer="1007" w:header="0" w:top="1160" w:bottom="1200" w:left="1240" w:right="1260"/>
          <w:pgNumType w:start="175"/>
        </w:sectPr>
      </w:pPr>
    </w:p>
    <w:p>
      <w:pPr>
        <w:spacing w:line="240" w:lineRule="auto" w:before="4"/>
        <w:rPr>
          <w:rFonts w:ascii="宋体" w:hAnsi="宋体" w:cs="宋体" w:eastAsia="宋体" w:hint="default"/>
          <w:sz w:val="16"/>
          <w:szCs w:val="16"/>
        </w:rPr>
      </w:pPr>
    </w:p>
    <w:p>
      <w:pPr>
        <w:spacing w:before="36"/>
        <w:ind w:left="558" w:right="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2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24" w:type="dxa"/>
        <w:tblLayout w:type="fixed"/>
        <w:tblCellMar>
          <w:top w:w="0" w:type="dxa"/>
          <w:left w:w="0" w:type="dxa"/>
          <w:bottom w:w="0" w:type="dxa"/>
          <w:right w:w="0" w:type="dxa"/>
        </w:tblCellMar>
        <w:tblLook w:val="01E0"/>
      </w:tblPr>
      <w:tblGrid>
        <w:gridCol w:w="4373"/>
        <w:gridCol w:w="2672"/>
        <w:gridCol w:w="1705"/>
      </w:tblGrid>
      <w:tr>
        <w:trPr>
          <w:trHeight w:val="634"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4" w:right="0"/>
              <w:jc w:val="center"/>
              <w:rPr>
                <w:rFonts w:ascii="宋体" w:hAnsi="宋体" w:cs="宋体" w:eastAsia="宋体" w:hint="default"/>
                <w:sz w:val="21"/>
                <w:szCs w:val="21"/>
              </w:rPr>
            </w:pPr>
            <w:r>
              <w:rPr>
                <w:rFonts w:ascii="宋体" w:hAnsi="宋体" w:cs="宋体" w:eastAsia="宋体" w:hint="default"/>
                <w:b/>
                <w:bCs/>
                <w:sz w:val="21"/>
                <w:szCs w:val="21"/>
              </w:rPr>
              <w:t>客户名称</w:t>
            </w:r>
            <w:r>
              <w:rPr>
                <w:rFonts w:ascii="宋体" w:hAnsi="宋体" w:cs="宋体" w:eastAsia="宋体" w:hint="default"/>
                <w:sz w:val="21"/>
                <w:szCs w:val="21"/>
              </w:rPr>
            </w:r>
          </w:p>
        </w:tc>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3"/>
              <w:ind w:left="698" w:right="0"/>
              <w:jc w:val="left"/>
              <w:rPr>
                <w:rFonts w:ascii="宋体" w:hAnsi="宋体" w:cs="宋体" w:eastAsia="宋体" w:hint="default"/>
                <w:sz w:val="21"/>
                <w:szCs w:val="21"/>
              </w:rPr>
            </w:pPr>
            <w:r>
              <w:rPr>
                <w:rFonts w:ascii="宋体" w:hAnsi="宋体" w:cs="宋体" w:eastAsia="宋体" w:hint="default"/>
                <w:b/>
                <w:bCs/>
                <w:sz w:val="21"/>
                <w:szCs w:val="21"/>
              </w:rPr>
              <w:t>营业收入总额</w:t>
            </w:r>
            <w:r>
              <w:rPr>
                <w:rFonts w:ascii="宋体" w:hAnsi="宋体" w:cs="宋体" w:eastAsia="宋体" w:hint="default"/>
                <w:sz w:val="21"/>
                <w:szCs w:val="21"/>
              </w:rPr>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75" w:right="107" w:hanging="68"/>
              <w:jc w:val="left"/>
              <w:rPr>
                <w:rFonts w:ascii="Calibri" w:hAnsi="Calibri" w:cs="Calibri" w:eastAsia="Calibri" w:hint="default"/>
                <w:sz w:val="21"/>
                <w:szCs w:val="21"/>
              </w:rPr>
            </w:pPr>
            <w:r>
              <w:rPr>
                <w:rFonts w:ascii="宋体" w:hAnsi="宋体" w:cs="宋体" w:eastAsia="宋体" w:hint="default"/>
                <w:b/>
                <w:bCs/>
                <w:sz w:val="21"/>
                <w:szCs w:val="21"/>
              </w:rPr>
              <w:t>占公司全部营业</w:t>
            </w:r>
            <w:r>
              <w:rPr>
                <w:rFonts w:ascii="宋体" w:hAnsi="宋体" w:cs="宋体" w:eastAsia="宋体" w:hint="default"/>
                <w:b/>
                <w:bCs/>
                <w:spacing w:val="-104"/>
                <w:sz w:val="21"/>
                <w:szCs w:val="21"/>
              </w:rPr>
              <w:t> </w:t>
            </w:r>
            <w:r>
              <w:rPr>
                <w:rFonts w:ascii="宋体" w:hAnsi="宋体" w:cs="宋体" w:eastAsia="宋体" w:hint="default"/>
                <w:b/>
                <w:bCs/>
                <w:sz w:val="21"/>
                <w:szCs w:val="21"/>
              </w:rPr>
              <w:t>收入的比例</w:t>
            </w:r>
            <w:r>
              <w:rPr>
                <w:rFonts w:ascii="Calibri" w:hAnsi="Calibri" w:cs="Calibri" w:eastAsia="Calibri" w:hint="default"/>
                <w:b/>
                <w:bCs/>
                <w:sz w:val="21"/>
                <w:szCs w:val="21"/>
              </w:rPr>
              <w:t>(%)</w:t>
            </w:r>
            <w:r>
              <w:rPr>
                <w:rFonts w:ascii="Calibri" w:hAnsi="Calibri" w:cs="Calibri" w:eastAsia="Calibri" w:hint="default"/>
                <w:sz w:val="21"/>
                <w:szCs w:val="21"/>
              </w:rPr>
            </w:r>
          </w:p>
        </w:tc>
      </w:tr>
      <w:tr>
        <w:trPr>
          <w:trHeight w:val="322"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马鞍山市城市管理行政执法局</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9,636,778.02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3.86</w:t>
            </w:r>
          </w:p>
        </w:tc>
      </w:tr>
      <w:tr>
        <w:trPr>
          <w:trHeight w:val="322"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华为技术有限公司</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8,304,415.15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3.33</w:t>
            </w:r>
          </w:p>
        </w:tc>
      </w:tr>
      <w:tr>
        <w:trPr>
          <w:trHeight w:val="322"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中关村科技园区管理委员会</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6,492,400.00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2.60</w:t>
            </w:r>
          </w:p>
        </w:tc>
      </w:tr>
      <w:tr>
        <w:trPr>
          <w:trHeight w:val="322"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益阳市房地产管理局</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4,421,700.00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3"/>
              <w:jc w:val="right"/>
              <w:rPr>
                <w:rFonts w:ascii="Calibri" w:hAnsi="Calibri" w:cs="Calibri" w:eastAsia="Calibri" w:hint="default"/>
                <w:sz w:val="21"/>
                <w:szCs w:val="21"/>
              </w:rPr>
            </w:pPr>
            <w:r>
              <w:rPr>
                <w:rFonts w:ascii="Calibri"/>
                <w:spacing w:val="-1"/>
                <w:sz w:val="21"/>
              </w:rPr>
              <w:t>1.77</w:t>
            </w:r>
          </w:p>
        </w:tc>
      </w:tr>
      <w:tr>
        <w:trPr>
          <w:trHeight w:val="324" w:hRule="exact"/>
        </w:trPr>
        <w:tc>
          <w:tcPr>
            <w:tcW w:w="437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芜湖市人民政府信息化办公室</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1"/>
                <w:sz w:val="21"/>
              </w:rPr>
              <w:t>4,338,661.20</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Calibri" w:hAnsi="Calibri" w:cs="Calibri" w:eastAsia="Calibri" w:hint="default"/>
                <w:sz w:val="21"/>
                <w:szCs w:val="21"/>
              </w:rPr>
            </w:pPr>
            <w:r>
              <w:rPr>
                <w:rFonts w:ascii="Calibri"/>
                <w:spacing w:val="-2"/>
                <w:sz w:val="21"/>
              </w:rPr>
              <w:t>1.74</w:t>
            </w:r>
          </w:p>
        </w:tc>
      </w:tr>
      <w:tr>
        <w:trPr>
          <w:trHeight w:val="322"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33,193,954.37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13.30</w:t>
            </w:r>
          </w:p>
        </w:tc>
      </w:tr>
    </w:tbl>
    <w:p>
      <w:pPr>
        <w:spacing w:line="262" w:lineRule="exact" w:before="0"/>
        <w:ind w:left="558" w:right="82" w:firstLine="0"/>
        <w:jc w:val="left"/>
        <w:rPr>
          <w:rFonts w:ascii="宋体" w:hAnsi="宋体" w:cs="宋体" w:eastAsia="宋体" w:hint="default"/>
          <w:sz w:val="21"/>
          <w:szCs w:val="21"/>
        </w:rPr>
      </w:pPr>
      <w:r>
        <w:rPr>
          <w:rFonts w:ascii="宋体" w:hAnsi="宋体" w:cs="宋体" w:eastAsia="宋体" w:hint="default"/>
          <w:sz w:val="21"/>
          <w:szCs w:val="21"/>
        </w:rPr>
        <w:t>营业收入的说明：无</w:t>
      </w:r>
    </w:p>
    <w:p>
      <w:pPr>
        <w:spacing w:line="240" w:lineRule="auto" w:before="10"/>
        <w:rPr>
          <w:rFonts w:ascii="宋体" w:hAnsi="宋体" w:cs="宋体" w:eastAsia="宋体" w:hint="default"/>
          <w:sz w:val="25"/>
          <w:szCs w:val="25"/>
        </w:rPr>
      </w:pPr>
    </w:p>
    <w:p>
      <w:pPr>
        <w:spacing w:before="0"/>
        <w:ind w:left="558" w:right="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、投资收益</w:t>
      </w:r>
      <w:r>
        <w:rPr>
          <w:rFonts w:ascii="宋体" w:hAnsi="宋体" w:cs="宋体" w:eastAsia="宋体" w:hint="default"/>
          <w:sz w:val="21"/>
          <w:szCs w:val="21"/>
        </w:rPr>
      </w:r>
    </w:p>
    <w:p>
      <w:pPr>
        <w:spacing w:line="240" w:lineRule="auto" w:before="7"/>
        <w:rPr>
          <w:rFonts w:ascii="宋体" w:hAnsi="宋体" w:cs="宋体" w:eastAsia="宋体" w:hint="default"/>
          <w:b/>
          <w:bCs/>
          <w:sz w:val="24"/>
          <w:szCs w:val="24"/>
        </w:rPr>
      </w:pPr>
    </w:p>
    <w:p>
      <w:pPr>
        <w:spacing w:before="0"/>
        <w:ind w:left="558" w:right="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2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4112"/>
        <w:gridCol w:w="2319"/>
        <w:gridCol w:w="2307"/>
      </w:tblGrid>
      <w:tr>
        <w:trPr>
          <w:trHeight w:val="32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23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3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619"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2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319" w:type="dxa"/>
            <w:tcBorders>
              <w:top w:val="single" w:sz="4" w:space="0" w:color="000000"/>
              <w:left w:val="single" w:sz="13" w:space="0" w:color="D2D2D2"/>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3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7"/>
              <w:jc w:val="right"/>
              <w:rPr>
                <w:rFonts w:ascii="Arial Narrow" w:hAnsi="Arial Narrow" w:cs="Arial Narrow" w:eastAsia="Arial Narrow" w:hint="default"/>
                <w:sz w:val="21"/>
                <w:szCs w:val="21"/>
              </w:rPr>
            </w:pPr>
            <w:r>
              <w:rPr>
                <w:rFonts w:ascii="Arial Narrow"/>
                <w:spacing w:val="-1"/>
                <w:sz w:val="21"/>
              </w:rPr>
              <w:t>3,719,977.82</w:t>
            </w:r>
            <w:r>
              <w:rPr>
                <w:rFonts w:ascii="Arial Narrow"/>
                <w:sz w:val="21"/>
              </w:rPr>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1,382,565.19</w:t>
            </w:r>
            <w:r>
              <w:rPr>
                <w:rFonts w:ascii="Arial Narrow"/>
                <w:sz w:val="21"/>
              </w:rPr>
            </w:r>
          </w:p>
        </w:tc>
      </w:tr>
      <w:tr>
        <w:trPr>
          <w:trHeight w:val="32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3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17"/>
              <w:jc w:val="right"/>
              <w:rPr>
                <w:rFonts w:ascii="Arial Narrow" w:hAnsi="Arial Narrow" w:cs="Arial Narrow" w:eastAsia="Arial Narrow" w:hint="default"/>
                <w:sz w:val="21"/>
                <w:szCs w:val="21"/>
              </w:rPr>
            </w:pPr>
            <w:r>
              <w:rPr>
                <w:rFonts w:ascii="Arial Narrow"/>
                <w:spacing w:val="-1"/>
                <w:sz w:val="21"/>
              </w:rPr>
              <w:t>1,012,174.06</w:t>
            </w:r>
            <w:r>
              <w:rPr>
                <w:rFonts w:ascii="Arial Narrow"/>
                <w:sz w:val="21"/>
              </w:rPr>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1"/>
              <w:jc w:val="right"/>
              <w:rPr>
                <w:rFonts w:ascii="Arial Narrow" w:hAnsi="Arial Narrow" w:cs="Arial Narrow" w:eastAsia="Arial Narrow" w:hint="default"/>
                <w:sz w:val="21"/>
                <w:szCs w:val="21"/>
              </w:rPr>
            </w:pPr>
            <w:r>
              <w:rPr>
                <w:rFonts w:ascii="Arial Narrow"/>
                <w:w w:val="100"/>
                <w:sz w:val="21"/>
              </w:rPr>
              <w:t>-</w:t>
            </w:r>
          </w:p>
        </w:tc>
      </w:tr>
      <w:tr>
        <w:trPr>
          <w:trHeight w:val="32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持有交易性金融资产期间取得的投资收益</w:t>
            </w:r>
          </w:p>
        </w:tc>
        <w:tc>
          <w:tcPr>
            <w:tcW w:w="2319" w:type="dxa"/>
            <w:tcBorders>
              <w:top w:val="single" w:sz="4" w:space="0" w:color="000000"/>
              <w:left w:val="single" w:sz="13" w:space="0" w:color="D2D2D2"/>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93"/>
              <w:jc w:val="left"/>
              <w:rPr>
                <w:rFonts w:ascii="宋体" w:hAnsi="宋体" w:cs="宋体" w:eastAsia="宋体" w:hint="default"/>
                <w:sz w:val="21"/>
                <w:szCs w:val="21"/>
              </w:rPr>
            </w:pPr>
            <w:r>
              <w:rPr>
                <w:rFonts w:ascii="宋体" w:hAnsi="宋体" w:cs="宋体" w:eastAsia="宋体" w:hint="default"/>
                <w:spacing w:val="-2"/>
                <w:sz w:val="21"/>
                <w:szCs w:val="21"/>
              </w:rPr>
              <w:t>持有至到期投资取得的投资收益期间取得的</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投资收益</w:t>
            </w:r>
          </w:p>
        </w:tc>
        <w:tc>
          <w:tcPr>
            <w:tcW w:w="2319" w:type="dxa"/>
            <w:tcBorders>
              <w:top w:val="single" w:sz="4" w:space="0" w:color="000000"/>
              <w:left w:val="single" w:sz="13" w:space="0" w:color="D2D2D2"/>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93"/>
              <w:jc w:val="left"/>
              <w:rPr>
                <w:rFonts w:ascii="宋体" w:hAnsi="宋体" w:cs="宋体" w:eastAsia="宋体" w:hint="default"/>
                <w:sz w:val="21"/>
                <w:szCs w:val="21"/>
              </w:rPr>
            </w:pPr>
            <w:r>
              <w:rPr>
                <w:rFonts w:ascii="宋体" w:hAnsi="宋体" w:cs="宋体" w:eastAsia="宋体" w:hint="default"/>
                <w:spacing w:val="-2"/>
                <w:sz w:val="21"/>
                <w:szCs w:val="21"/>
              </w:rPr>
              <w:t>持有可供出售金融资产等期间取得的投资收</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益</w:t>
            </w:r>
          </w:p>
        </w:tc>
        <w:tc>
          <w:tcPr>
            <w:tcW w:w="2319" w:type="dxa"/>
            <w:tcBorders>
              <w:top w:val="single" w:sz="4" w:space="0" w:color="000000"/>
              <w:left w:val="single" w:sz="13" w:space="0" w:color="D2D2D2"/>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p>
        </w:tc>
        <w:tc>
          <w:tcPr>
            <w:tcW w:w="2319" w:type="dxa"/>
            <w:tcBorders>
              <w:top w:val="single" w:sz="4" w:space="0" w:color="000000"/>
              <w:left w:val="single" w:sz="13" w:space="0" w:color="D2D2D2"/>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持有至到期投资取得的投资收益</w:t>
            </w:r>
          </w:p>
        </w:tc>
        <w:tc>
          <w:tcPr>
            <w:tcW w:w="2319" w:type="dxa"/>
            <w:tcBorders>
              <w:top w:val="single" w:sz="4" w:space="0" w:color="000000"/>
              <w:left w:val="single" w:sz="13" w:space="0" w:color="D2D2D2"/>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可供出售金融资产等取得的投资收益</w:t>
            </w:r>
          </w:p>
        </w:tc>
        <w:tc>
          <w:tcPr>
            <w:tcW w:w="2319" w:type="dxa"/>
            <w:tcBorders>
              <w:top w:val="single" w:sz="4" w:space="0" w:color="000000"/>
              <w:left w:val="single" w:sz="13" w:space="0" w:color="D2D2D2"/>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19" w:type="dxa"/>
            <w:tcBorders>
              <w:top w:val="single" w:sz="4" w:space="0" w:color="000000"/>
              <w:left w:val="single" w:sz="13" w:space="0" w:color="D2D2D2"/>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19"/>
              <w:jc w:val="right"/>
              <w:rPr>
                <w:rFonts w:ascii="Calibri" w:hAnsi="Calibri" w:cs="Calibri" w:eastAsia="Calibri" w:hint="default"/>
                <w:sz w:val="21"/>
                <w:szCs w:val="21"/>
              </w:rPr>
            </w:pPr>
            <w:r>
              <w:rPr>
                <w:rFonts w:ascii="Calibri"/>
                <w:spacing w:val="-2"/>
                <w:sz w:val="21"/>
              </w:rPr>
              <w:t>4,732,151.88</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1,382,565.19</w:t>
            </w:r>
          </w:p>
        </w:tc>
      </w:tr>
    </w:tbl>
    <w:p>
      <w:pPr>
        <w:spacing w:line="240" w:lineRule="auto" w:before="3"/>
        <w:rPr>
          <w:rFonts w:ascii="宋体" w:hAnsi="宋体" w:cs="宋体" w:eastAsia="宋体" w:hint="default"/>
          <w:sz w:val="19"/>
          <w:szCs w:val="19"/>
        </w:rPr>
      </w:pPr>
    </w:p>
    <w:p>
      <w:pPr>
        <w:spacing w:before="36"/>
        <w:ind w:left="558" w:right="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）按成本法核算的长期股权投资收益</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2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3017"/>
        <w:gridCol w:w="1592"/>
        <w:gridCol w:w="1469"/>
        <w:gridCol w:w="2648"/>
      </w:tblGrid>
      <w:tr>
        <w:trPr>
          <w:trHeight w:val="322" w:hRule="exact"/>
        </w:trPr>
        <w:tc>
          <w:tcPr>
            <w:tcW w:w="3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976" w:right="0"/>
              <w:jc w:val="left"/>
              <w:rPr>
                <w:rFonts w:ascii="宋体" w:hAnsi="宋体" w:cs="宋体" w:eastAsia="宋体" w:hint="default"/>
                <w:sz w:val="21"/>
                <w:szCs w:val="21"/>
              </w:rPr>
            </w:pPr>
            <w:r>
              <w:rPr>
                <w:rFonts w:ascii="宋体" w:hAnsi="宋体" w:cs="宋体" w:eastAsia="宋体" w:hint="default"/>
                <w:b/>
                <w:bCs/>
                <w:sz w:val="21"/>
                <w:szCs w:val="21"/>
              </w:rPr>
              <w:t>被投资单位</w:t>
            </w:r>
            <w:r>
              <w:rPr>
                <w:rFonts w:ascii="宋体" w:hAnsi="宋体" w:cs="宋体" w:eastAsia="宋体" w:hint="default"/>
                <w:sz w:val="21"/>
                <w:szCs w:val="21"/>
              </w:rPr>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9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本期比上期增减变动的原因</w:t>
            </w:r>
            <w:r>
              <w:rPr>
                <w:rFonts w:ascii="宋体" w:hAnsi="宋体" w:cs="宋体" w:eastAsia="宋体" w:hint="default"/>
                <w:sz w:val="21"/>
                <w:szCs w:val="21"/>
              </w:rPr>
            </w:r>
          </w:p>
        </w:tc>
      </w:tr>
      <w:tr>
        <w:trPr>
          <w:trHeight w:val="322" w:hRule="exact"/>
        </w:trPr>
        <w:tc>
          <w:tcPr>
            <w:tcW w:w="3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8"/>
              <w:ind w:right="20"/>
              <w:jc w:val="right"/>
              <w:rPr>
                <w:rFonts w:ascii="Calibri" w:hAnsi="Calibri" w:cs="Calibri" w:eastAsia="Calibri" w:hint="default"/>
                <w:sz w:val="21"/>
                <w:szCs w:val="21"/>
              </w:rPr>
            </w:pPr>
            <w:r>
              <w:rPr>
                <w:rFonts w:ascii="Calibri"/>
                <w:w w:val="100"/>
                <w:sz w:val="21"/>
              </w:rPr>
              <w:t>0</w:t>
            </w:r>
          </w:p>
        </w:tc>
        <w:tc>
          <w:tcPr>
            <w:tcW w:w="14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28"/>
              <w:ind w:right="22"/>
              <w:jc w:val="right"/>
              <w:rPr>
                <w:rFonts w:ascii="Calibri" w:hAnsi="Calibri" w:cs="Calibri" w:eastAsia="Calibri" w:hint="default"/>
                <w:sz w:val="21"/>
                <w:szCs w:val="21"/>
              </w:rPr>
            </w:pPr>
            <w:r>
              <w:rPr>
                <w:rFonts w:ascii="Calibri"/>
                <w:w w:val="100"/>
                <w:sz w:val="21"/>
              </w:rPr>
              <w:t>0</w:t>
            </w:r>
          </w:p>
        </w:tc>
        <w:tc>
          <w:tcPr>
            <w:tcW w:w="2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1"/>
              <w:jc w:val="center"/>
              <w:rPr>
                <w:rFonts w:ascii="Calibri" w:hAnsi="Calibri" w:cs="Calibri" w:eastAsia="Calibri" w:hint="default"/>
                <w:sz w:val="21"/>
                <w:szCs w:val="21"/>
              </w:rPr>
            </w:pPr>
            <w:r>
              <w:rPr>
                <w:rFonts w:ascii="Calibri"/>
                <w:sz w:val="21"/>
              </w:rPr>
              <w:t>--</w:t>
            </w:r>
          </w:p>
        </w:tc>
      </w:tr>
    </w:tbl>
    <w:p>
      <w:pPr>
        <w:spacing w:line="289" w:lineRule="exact" w:before="0"/>
        <w:ind w:left="558" w:right="82"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Calibri" w:hAnsi="Calibri" w:cs="Calibri" w:eastAsia="Calibri" w:hint="default"/>
          <w:sz w:val="21"/>
          <w:szCs w:val="21"/>
        </w:rPr>
        <w:t>1</w:t>
      </w:r>
      <w:r>
        <w:rPr>
          <w:rFonts w:ascii="宋体" w:hAnsi="宋体" w:cs="宋体" w:eastAsia="宋体" w:hint="default"/>
          <w:sz w:val="21"/>
          <w:szCs w:val="21"/>
        </w:rPr>
        <w:t>、本期未取得投资收益的，不在本表填列；</w:t>
      </w:r>
    </w:p>
    <w:p>
      <w:pPr>
        <w:spacing w:before="10"/>
        <w:ind w:left="558" w:right="82" w:firstLine="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、仅列示投资收益占利润总额</w:t>
      </w:r>
      <w:r>
        <w:rPr>
          <w:rFonts w:ascii="宋体" w:hAnsi="宋体" w:cs="宋体" w:eastAsia="宋体" w:hint="default"/>
          <w:spacing w:val="-65"/>
          <w:sz w:val="21"/>
          <w:szCs w:val="21"/>
        </w:rPr>
        <w:t> </w:t>
      </w:r>
      <w:r>
        <w:rPr>
          <w:rFonts w:ascii="Calibri" w:hAnsi="Calibri" w:cs="Calibri" w:eastAsia="Calibri" w:hint="default"/>
          <w:sz w:val="21"/>
          <w:szCs w:val="21"/>
        </w:rPr>
        <w:t>5%</w:t>
      </w:r>
      <w:r>
        <w:rPr>
          <w:rFonts w:ascii="宋体" w:hAnsi="宋体" w:cs="宋体" w:eastAsia="宋体" w:hint="default"/>
          <w:sz w:val="21"/>
          <w:szCs w:val="21"/>
        </w:rPr>
        <w:t>以上的投资单位，或占利润总额比例最高的前</w:t>
      </w:r>
      <w:r>
        <w:rPr>
          <w:rFonts w:ascii="宋体" w:hAnsi="宋体" w:cs="宋体" w:eastAsia="宋体" w:hint="default"/>
          <w:spacing w:val="-63"/>
          <w:sz w:val="21"/>
          <w:szCs w:val="21"/>
        </w:rPr>
        <w:t> </w:t>
      </w:r>
      <w:r>
        <w:rPr>
          <w:rFonts w:ascii="Calibri" w:hAnsi="Calibri" w:cs="Calibri" w:eastAsia="Calibri" w:hint="default"/>
          <w:sz w:val="21"/>
          <w:szCs w:val="21"/>
        </w:rPr>
        <w:t>5</w:t>
      </w:r>
      <w:r>
        <w:rPr>
          <w:rFonts w:ascii="Calibri" w:hAnsi="Calibri" w:cs="Calibri" w:eastAsia="Calibri" w:hint="default"/>
          <w:spacing w:val="-7"/>
          <w:sz w:val="21"/>
          <w:szCs w:val="21"/>
        </w:rPr>
        <w:t> </w:t>
      </w:r>
      <w:r>
        <w:rPr>
          <w:rFonts w:ascii="宋体" w:hAnsi="宋体" w:cs="宋体" w:eastAsia="宋体" w:hint="default"/>
          <w:sz w:val="21"/>
          <w:szCs w:val="21"/>
        </w:rPr>
        <w:t>家投资单位。</w:t>
      </w:r>
    </w:p>
    <w:p>
      <w:pPr>
        <w:spacing w:line="240" w:lineRule="auto" w:before="9"/>
        <w:rPr>
          <w:rFonts w:ascii="宋体" w:hAnsi="宋体" w:cs="宋体" w:eastAsia="宋体" w:hint="default"/>
          <w:sz w:val="23"/>
          <w:szCs w:val="23"/>
        </w:rPr>
      </w:pPr>
    </w:p>
    <w:p>
      <w:pPr>
        <w:spacing w:before="0"/>
        <w:ind w:left="558" w:right="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）按权益法核算的长期股权投资收益</w:t>
      </w:r>
      <w:r>
        <w:rPr>
          <w:rFonts w:ascii="宋体" w:hAnsi="宋体" w:cs="宋体" w:eastAsia="宋体" w:hint="default"/>
          <w:sz w:val="21"/>
          <w:szCs w:val="21"/>
        </w:rPr>
      </w:r>
    </w:p>
    <w:p>
      <w:pPr>
        <w:spacing w:line="240" w:lineRule="auto" w:before="10"/>
        <w:rPr>
          <w:rFonts w:ascii="宋体" w:hAnsi="宋体" w:cs="宋体" w:eastAsia="宋体" w:hint="default"/>
          <w:b/>
          <w:bCs/>
          <w:sz w:val="24"/>
          <w:szCs w:val="24"/>
        </w:rPr>
      </w:pPr>
    </w:p>
    <w:p>
      <w:pPr>
        <w:spacing w:before="0"/>
        <w:ind w:left="0" w:right="2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after="0"/>
        <w:jc w:val="right"/>
        <w:rPr>
          <w:rFonts w:ascii="宋体" w:hAnsi="宋体" w:cs="宋体" w:eastAsia="宋体" w:hint="default"/>
          <w:sz w:val="21"/>
          <w:szCs w:val="21"/>
        </w:rPr>
        <w:sectPr>
          <w:pgSz w:w="11910" w:h="16840"/>
          <w:pgMar w:header="0" w:footer="1007" w:top="1160" w:bottom="1200" w:left="1240" w:right="1200"/>
        </w:sectPr>
      </w:pPr>
    </w:p>
    <w:p>
      <w:pPr>
        <w:spacing w:line="240" w:lineRule="auto" w:before="13"/>
        <w:rPr>
          <w:rFonts w:ascii="宋体" w:hAnsi="宋体" w:cs="宋体" w:eastAsia="宋体" w:hint="default"/>
          <w:sz w:val="19"/>
          <w:szCs w:val="19"/>
        </w:rPr>
      </w:pPr>
    </w:p>
    <w:tbl>
      <w:tblPr>
        <w:tblW w:w="0" w:type="auto"/>
        <w:jc w:val="left"/>
        <w:tblInd w:w="524" w:type="dxa"/>
        <w:tblLayout w:type="fixed"/>
        <w:tblCellMar>
          <w:top w:w="0" w:type="dxa"/>
          <w:left w:w="0" w:type="dxa"/>
          <w:bottom w:w="0" w:type="dxa"/>
          <w:right w:w="0" w:type="dxa"/>
        </w:tblCellMar>
        <w:tblLook w:val="01E0"/>
      </w:tblPr>
      <w:tblGrid>
        <w:gridCol w:w="2725"/>
        <w:gridCol w:w="1277"/>
        <w:gridCol w:w="1558"/>
        <w:gridCol w:w="3190"/>
      </w:tblGrid>
      <w:tr>
        <w:trPr>
          <w:trHeight w:val="322" w:hRule="exact"/>
        </w:trPr>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830" w:right="0"/>
              <w:jc w:val="left"/>
              <w:rPr>
                <w:rFonts w:ascii="宋体" w:hAnsi="宋体" w:cs="宋体" w:eastAsia="宋体" w:hint="default"/>
                <w:sz w:val="21"/>
                <w:szCs w:val="21"/>
              </w:rPr>
            </w:pPr>
            <w:r>
              <w:rPr>
                <w:rFonts w:ascii="宋体" w:hAnsi="宋体" w:cs="宋体" w:eastAsia="宋体" w:hint="default"/>
                <w:b/>
                <w:bCs/>
                <w:sz w:val="21"/>
                <w:szCs w:val="21"/>
              </w:rPr>
              <w:t>被投资单位</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24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324" w:right="0"/>
              <w:jc w:val="left"/>
              <w:rPr>
                <w:rFonts w:ascii="宋体" w:hAnsi="宋体" w:cs="宋体" w:eastAsia="宋体" w:hint="default"/>
                <w:sz w:val="21"/>
                <w:szCs w:val="21"/>
              </w:rPr>
            </w:pPr>
            <w:r>
              <w:rPr>
                <w:rFonts w:ascii="宋体" w:hAnsi="宋体" w:cs="宋体" w:eastAsia="宋体" w:hint="default"/>
                <w:b/>
                <w:bCs/>
                <w:sz w:val="21"/>
                <w:szCs w:val="21"/>
              </w:rPr>
              <w:t>本期比上期增减变动的原因</w:t>
            </w:r>
            <w:r>
              <w:rPr>
                <w:rFonts w:ascii="宋体" w:hAnsi="宋体" w:cs="宋体" w:eastAsia="宋体" w:hint="default"/>
                <w:sz w:val="21"/>
                <w:szCs w:val="21"/>
              </w:rPr>
            </w:r>
          </w:p>
        </w:tc>
      </w:tr>
      <w:tr>
        <w:trPr>
          <w:trHeight w:val="322"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浙江中科数城软件有限公司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1"/>
                <w:sz w:val="21"/>
              </w:rPr>
              <w:t>-114,988.64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-327,418.55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被投资单位净利润变化</w:t>
            </w:r>
          </w:p>
        </w:tc>
      </w:tr>
      <w:tr>
        <w:trPr>
          <w:trHeight w:val="634" w:hRule="exact"/>
        </w:trPr>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3" w:right="166"/>
              <w:jc w:val="left"/>
              <w:rPr>
                <w:rFonts w:ascii="宋体" w:hAnsi="宋体" w:cs="宋体" w:eastAsia="宋体" w:hint="default"/>
                <w:sz w:val="21"/>
                <w:szCs w:val="21"/>
              </w:rPr>
            </w:pPr>
            <w:r>
              <w:rPr>
                <w:rFonts w:ascii="宋体" w:hAnsi="宋体" w:cs="宋体" w:eastAsia="宋体" w:hint="default"/>
                <w:spacing w:val="-2"/>
                <w:sz w:val="21"/>
                <w:szCs w:val="21"/>
              </w:rPr>
              <w:t>北京国遥新天地信息技术有</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4,847,140.52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21"/>
              <w:jc w:val="right"/>
              <w:rPr>
                <w:rFonts w:ascii="Calibri" w:hAnsi="Calibri" w:cs="Calibri" w:eastAsia="Calibri" w:hint="default"/>
                <w:sz w:val="21"/>
                <w:szCs w:val="21"/>
              </w:rPr>
            </w:pPr>
            <w:r>
              <w:rPr>
                <w:rFonts w:ascii="Calibri"/>
                <w:spacing w:val="-2"/>
                <w:sz w:val="21"/>
              </w:rPr>
              <w:t>1,709,983.74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ind w:left="24" w:right="209"/>
              <w:jc w:val="left"/>
              <w:rPr>
                <w:rFonts w:ascii="宋体" w:hAnsi="宋体" w:cs="宋体" w:eastAsia="宋体" w:hint="default"/>
                <w:sz w:val="21"/>
                <w:szCs w:val="21"/>
              </w:rPr>
            </w:pPr>
            <w:r>
              <w:rPr>
                <w:rFonts w:ascii="宋体" w:hAnsi="宋体" w:cs="宋体" w:eastAsia="宋体" w:hint="default"/>
                <w:spacing w:val="-2"/>
                <w:sz w:val="21"/>
                <w:szCs w:val="21"/>
              </w:rPr>
              <w:t>被投资单位净利润变化及处置被</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投资单位股权确认的当期损益</w:t>
            </w:r>
          </w:p>
        </w:tc>
      </w:tr>
      <w:tr>
        <w:trPr>
          <w:trHeight w:val="324" w:hRule="exact"/>
        </w:trPr>
        <w:tc>
          <w:tcPr>
            <w:tcW w:w="2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4,732,151.88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Calibri" w:hAnsi="Calibri" w:cs="Calibri" w:eastAsia="Calibri" w:hint="default"/>
                <w:sz w:val="21"/>
                <w:szCs w:val="21"/>
              </w:rPr>
            </w:pPr>
            <w:r>
              <w:rPr>
                <w:rFonts w:ascii="Calibri"/>
                <w:spacing w:val="-2"/>
                <w:sz w:val="21"/>
              </w:rPr>
              <w:t>1,382,565.19</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right="2"/>
              <w:jc w:val="center"/>
              <w:rPr>
                <w:rFonts w:ascii="Calibri" w:hAnsi="Calibri" w:cs="Calibri" w:eastAsia="Calibri" w:hint="default"/>
                <w:sz w:val="21"/>
                <w:szCs w:val="21"/>
              </w:rPr>
            </w:pPr>
            <w:r>
              <w:rPr>
                <w:rFonts w:ascii="Calibri"/>
                <w:sz w:val="21"/>
              </w:rPr>
              <w:t>--</w:t>
            </w:r>
          </w:p>
        </w:tc>
      </w:tr>
    </w:tbl>
    <w:p>
      <w:pPr>
        <w:spacing w:line="289" w:lineRule="exact" w:before="0"/>
        <w:ind w:left="558" w:right="82" w:firstLine="0"/>
        <w:jc w:val="left"/>
        <w:rPr>
          <w:rFonts w:ascii="宋体" w:hAnsi="宋体" w:cs="宋体" w:eastAsia="宋体" w:hint="default"/>
          <w:sz w:val="21"/>
          <w:szCs w:val="21"/>
        </w:rPr>
      </w:pPr>
      <w:r>
        <w:rPr>
          <w:rFonts w:ascii="宋体" w:hAnsi="宋体" w:cs="宋体" w:eastAsia="宋体" w:hint="default"/>
          <w:sz w:val="21"/>
          <w:szCs w:val="21"/>
        </w:rPr>
        <w:t>注：</w:t>
      </w:r>
      <w:r>
        <w:rPr>
          <w:rFonts w:ascii="Calibri" w:hAnsi="Calibri" w:cs="Calibri" w:eastAsia="Calibri" w:hint="default"/>
          <w:sz w:val="21"/>
          <w:szCs w:val="21"/>
        </w:rPr>
        <w:t>1</w:t>
      </w:r>
      <w:r>
        <w:rPr>
          <w:rFonts w:ascii="宋体" w:hAnsi="宋体" w:cs="宋体" w:eastAsia="宋体" w:hint="default"/>
          <w:sz w:val="21"/>
          <w:szCs w:val="21"/>
        </w:rPr>
        <w:t>、本期未取得投资收益的，不在本表填列；</w:t>
      </w:r>
    </w:p>
    <w:p>
      <w:pPr>
        <w:spacing w:line="247" w:lineRule="auto" w:before="10"/>
        <w:ind w:left="558" w:right="102" w:firstLine="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、仅列示投资收益占利润总额</w:t>
      </w:r>
      <w:r>
        <w:rPr>
          <w:rFonts w:ascii="宋体" w:hAnsi="宋体" w:cs="宋体" w:eastAsia="宋体" w:hint="default"/>
          <w:spacing w:val="-64"/>
          <w:sz w:val="21"/>
          <w:szCs w:val="21"/>
        </w:rPr>
        <w:t> </w:t>
      </w:r>
      <w:r>
        <w:rPr>
          <w:rFonts w:ascii="Calibri" w:hAnsi="Calibri" w:cs="Calibri" w:eastAsia="Calibri" w:hint="default"/>
          <w:sz w:val="21"/>
          <w:szCs w:val="21"/>
        </w:rPr>
        <w:t>5%</w:t>
      </w:r>
      <w:r>
        <w:rPr>
          <w:rFonts w:ascii="宋体" w:hAnsi="宋体" w:cs="宋体" w:eastAsia="宋体" w:hint="default"/>
          <w:sz w:val="21"/>
          <w:szCs w:val="21"/>
        </w:rPr>
        <w:t>以上的投资单位，或占利润总额比例最高的前</w:t>
      </w:r>
      <w:r>
        <w:rPr>
          <w:rFonts w:ascii="宋体" w:hAnsi="宋体" w:cs="宋体" w:eastAsia="宋体" w:hint="default"/>
          <w:spacing w:val="-61"/>
          <w:sz w:val="21"/>
          <w:szCs w:val="21"/>
        </w:rPr>
        <w:t> </w:t>
      </w:r>
      <w:r>
        <w:rPr>
          <w:rFonts w:ascii="Calibri" w:hAnsi="Calibri" w:cs="Calibri" w:eastAsia="Calibri" w:hint="default"/>
          <w:sz w:val="21"/>
          <w:szCs w:val="21"/>
        </w:rPr>
        <w:t>5</w:t>
      </w:r>
      <w:r>
        <w:rPr>
          <w:rFonts w:ascii="Calibri" w:hAnsi="Calibri" w:cs="Calibri" w:eastAsia="Calibri" w:hint="default"/>
          <w:spacing w:val="-6"/>
          <w:sz w:val="21"/>
          <w:szCs w:val="21"/>
        </w:rPr>
        <w:t> </w:t>
      </w:r>
      <w:r>
        <w:rPr>
          <w:rFonts w:ascii="宋体" w:hAnsi="宋体" w:cs="宋体" w:eastAsia="宋体" w:hint="default"/>
          <w:sz w:val="21"/>
          <w:szCs w:val="21"/>
        </w:rPr>
        <w:t>家投资单位。</w:t>
      </w:r>
      <w:r>
        <w:rPr>
          <w:rFonts w:ascii="宋体" w:hAnsi="宋体" w:cs="宋体" w:eastAsia="宋体" w:hint="default"/>
          <w:w w:val="100"/>
          <w:sz w:val="21"/>
          <w:szCs w:val="21"/>
        </w:rPr>
        <w:t> </w:t>
      </w:r>
      <w:r>
        <w:rPr>
          <w:rFonts w:ascii="宋体" w:hAnsi="宋体" w:cs="宋体" w:eastAsia="宋体" w:hint="default"/>
          <w:sz w:val="21"/>
          <w:szCs w:val="21"/>
        </w:rPr>
        <w:t>投资收益的说明：无</w:t>
      </w:r>
    </w:p>
    <w:p>
      <w:pPr>
        <w:spacing w:line="240" w:lineRule="auto" w:before="4"/>
        <w:rPr>
          <w:rFonts w:ascii="宋体" w:hAnsi="宋体" w:cs="宋体" w:eastAsia="宋体" w:hint="default"/>
          <w:sz w:val="25"/>
          <w:szCs w:val="25"/>
        </w:rPr>
      </w:pPr>
    </w:p>
    <w:p>
      <w:pPr>
        <w:spacing w:before="0"/>
        <w:ind w:left="558" w:right="8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sz w:val="21"/>
          <w:szCs w:val="21"/>
        </w:rPr>
      </w:r>
    </w:p>
    <w:p>
      <w:pPr>
        <w:spacing w:line="240" w:lineRule="auto" w:before="8"/>
        <w:rPr>
          <w:rFonts w:ascii="宋体" w:hAnsi="宋体" w:cs="宋体" w:eastAsia="宋体" w:hint="default"/>
          <w:b/>
          <w:bCs/>
          <w:sz w:val="24"/>
          <w:szCs w:val="24"/>
        </w:rPr>
      </w:pPr>
    </w:p>
    <w:p>
      <w:pPr>
        <w:spacing w:before="0"/>
        <w:ind w:left="0" w:right="212" w:firstLine="0"/>
        <w:jc w:val="righ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2"/>
          <w:sz w:val="21"/>
          <w:szCs w:val="21"/>
        </w:rPr>
        <w:t> </w:t>
      </w:r>
      <w:r>
        <w:rPr>
          <w:rFonts w:ascii="宋体" w:hAnsi="宋体" w:cs="宋体" w:eastAsia="宋体" w:hint="default"/>
          <w:sz w:val="21"/>
          <w:szCs w:val="21"/>
        </w:rPr>
        <w:t>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4827"/>
        <w:gridCol w:w="2138"/>
        <w:gridCol w:w="1772"/>
      </w:tblGrid>
      <w:tr>
        <w:trPr>
          <w:trHeight w:val="324"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647"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1</w:t>
            </w:r>
            <w:r>
              <w:rPr>
                <w:rFonts w:ascii="宋体" w:hAnsi="宋体" w:cs="宋体" w:eastAsia="宋体" w:hint="default"/>
                <w:sz w:val="21"/>
                <w:szCs w:val="21"/>
              </w:rPr>
              <w:t>．将净利润调节为经营活动现金流量：</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Calibri" w:hAnsi="Calibri" w:cs="Calibri" w:eastAsia="Calibri" w:hint="default"/>
                <w:sz w:val="21"/>
                <w:szCs w:val="21"/>
              </w:rPr>
            </w:pPr>
            <w:r>
              <w:rPr>
                <w:rFonts w:ascii="Calibri"/>
                <w:sz w:val="21"/>
              </w:rPr>
              <w:t>--</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8"/>
              <w:ind w:right="21"/>
              <w:jc w:val="right"/>
              <w:rPr>
                <w:rFonts w:ascii="Calibri" w:hAnsi="Calibri" w:cs="Calibri" w:eastAsia="Calibri" w:hint="default"/>
                <w:sz w:val="21"/>
                <w:szCs w:val="21"/>
              </w:rPr>
            </w:pPr>
            <w:r>
              <w:rPr>
                <w:rFonts w:ascii="Calibri"/>
                <w:spacing w:val="-2"/>
                <w:sz w:val="21"/>
              </w:rPr>
              <w:t>9,043,556.91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2"/>
              <w:jc w:val="right"/>
              <w:rPr>
                <w:rFonts w:ascii="Calibri" w:hAnsi="Calibri" w:cs="Calibri" w:eastAsia="Calibri" w:hint="default"/>
                <w:sz w:val="21"/>
                <w:szCs w:val="21"/>
              </w:rPr>
            </w:pPr>
            <w:r>
              <w:rPr>
                <w:rFonts w:ascii="Calibri"/>
                <w:spacing w:val="-2"/>
                <w:sz w:val="21"/>
              </w:rPr>
              <w:t>41,779,333.72</w:t>
            </w: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spacing w:val="-1"/>
                <w:sz w:val="21"/>
              </w:rPr>
              <w:t>-1,109,397.83</w:t>
            </w:r>
            <w:r>
              <w:rPr>
                <w:rFonts w:ascii="Arial Narrow"/>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10,166,741.27</w:t>
            </w:r>
            <w:r>
              <w:rPr>
                <w:rFonts w:ascii="Arial Narrow"/>
                <w:sz w:val="21"/>
              </w:rPr>
            </w: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pacing w:val="-3"/>
                <w:sz w:val="21"/>
                <w:szCs w:val="21"/>
              </w:rPr>
              <w:t>固定资产折旧、油气资产折耗、生产性生物资产折旧</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spacing w:val="-1"/>
                <w:sz w:val="21"/>
              </w:rPr>
              <w:t>5,474,459.53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4,973,395.78</w:t>
            </w:r>
            <w:r>
              <w:rPr>
                <w:rFonts w:ascii="Arial Narrow"/>
                <w:sz w:val="21"/>
              </w:rPr>
            </w:r>
          </w:p>
        </w:tc>
      </w:tr>
      <w:tr>
        <w:trPr>
          <w:trHeight w:val="323"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337,914.02</w:t>
            </w:r>
            <w:r>
              <w:rPr>
                <w:rFonts w:ascii="Arial Narrow"/>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124,212.16</w:t>
            </w:r>
            <w:r>
              <w:rPr>
                <w:rFonts w:ascii="Arial Narrow"/>
                <w:sz w:val="21"/>
              </w:rPr>
            </w:r>
          </w:p>
        </w:tc>
      </w:tr>
      <w:tr>
        <w:trPr>
          <w:trHeight w:val="323"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19"/>
              <w:jc w:val="right"/>
              <w:rPr>
                <w:rFonts w:ascii="Arial Narrow" w:hAnsi="Arial Narrow" w:cs="Arial Narrow" w:eastAsia="Arial Narrow" w:hint="default"/>
                <w:sz w:val="21"/>
                <w:szCs w:val="21"/>
              </w:rPr>
            </w:pPr>
            <w:r>
              <w:rPr>
                <w:rFonts w:ascii="Arial Narrow"/>
                <w:spacing w:val="-1"/>
                <w:sz w:val="21"/>
              </w:rPr>
              <w:t>506,646.00</w:t>
            </w:r>
            <w:r>
              <w:rPr>
                <w:rFonts w:ascii="Arial Narrow"/>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9"/>
              <w:jc w:val="right"/>
              <w:rPr>
                <w:rFonts w:ascii="Arial Narrow" w:hAnsi="Arial Narrow" w:cs="Arial Narrow" w:eastAsia="Arial Narrow" w:hint="default"/>
                <w:sz w:val="21"/>
                <w:szCs w:val="21"/>
              </w:rPr>
            </w:pPr>
            <w:r>
              <w:rPr>
                <w:rFonts w:ascii="Arial Narrow"/>
                <w:spacing w:val="-1"/>
                <w:sz w:val="21"/>
              </w:rPr>
              <w:t>207,774.94</w:t>
            </w:r>
            <w:r>
              <w:rPr>
                <w:rFonts w:ascii="Arial Narrow"/>
                <w:sz w:val="21"/>
              </w:rPr>
            </w:r>
          </w:p>
        </w:tc>
      </w:tr>
      <w:tr>
        <w:trPr>
          <w:trHeight w:val="634"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7"/>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处置固定资产、无形资产和其他长期资产的损失（收</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30,818.93</w:t>
            </w:r>
            <w:r>
              <w:rPr>
                <w:rFonts w:ascii="Arial Narrow"/>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9"/>
              <w:jc w:val="right"/>
              <w:rPr>
                <w:rFonts w:ascii="Arial Narrow" w:hAnsi="Arial Narrow" w:cs="Arial Narrow" w:eastAsia="Arial Narrow" w:hint="default"/>
                <w:sz w:val="21"/>
                <w:szCs w:val="21"/>
              </w:rPr>
            </w:pPr>
            <w:r>
              <w:rPr>
                <w:rFonts w:ascii="Arial Narrow"/>
                <w:spacing w:val="-1"/>
                <w:sz w:val="21"/>
              </w:rPr>
              <w:t>418,216.93</w:t>
            </w:r>
            <w:r>
              <w:rPr>
                <w:rFonts w:ascii="Arial Narrow"/>
                <w:sz w:val="21"/>
              </w:rPr>
            </w: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1"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spacing w:val="-2"/>
                <w:sz w:val="21"/>
              </w:rPr>
              <w:t>-1,808,842.01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-7,519,272.46</w:t>
            </w:r>
            <w:r>
              <w:rPr>
                <w:rFonts w:ascii="Arial Narrow"/>
                <w:sz w:val="21"/>
              </w:rPr>
            </w:r>
          </w:p>
        </w:tc>
      </w:tr>
      <w:tr>
        <w:trPr>
          <w:trHeight w:val="323"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19"/>
              <w:jc w:val="right"/>
              <w:rPr>
                <w:rFonts w:ascii="Arial Narrow" w:hAnsi="Arial Narrow" w:cs="Arial Narrow" w:eastAsia="Arial Narrow" w:hint="default"/>
                <w:sz w:val="21"/>
                <w:szCs w:val="21"/>
              </w:rPr>
            </w:pPr>
            <w:r>
              <w:rPr>
                <w:rFonts w:ascii="Arial Narrow"/>
                <w:spacing w:val="-1"/>
                <w:sz w:val="21"/>
              </w:rPr>
              <w:t>-4,732,151.88</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-1,382,565.19</w:t>
            </w:r>
            <w:r>
              <w:rPr>
                <w:rFonts w:ascii="Arial Narrow"/>
                <w:sz w:val="21"/>
              </w:rPr>
            </w:r>
          </w:p>
        </w:tc>
      </w:tr>
      <w:tr>
        <w:trPr>
          <w:trHeight w:val="323"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0" w:lineRule="exact"/>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19"/>
              <w:jc w:val="right"/>
              <w:rPr>
                <w:rFonts w:ascii="Arial Narrow" w:hAnsi="Arial Narrow" w:cs="Arial Narrow" w:eastAsia="Arial Narrow" w:hint="default"/>
                <w:sz w:val="21"/>
                <w:szCs w:val="21"/>
              </w:rPr>
            </w:pPr>
            <w:r>
              <w:rPr>
                <w:rFonts w:ascii="Arial Narrow"/>
                <w:spacing w:val="-1"/>
                <w:sz w:val="21"/>
              </w:rPr>
              <w:t>-1,547,946.54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Arial Narrow" w:hAnsi="Arial Narrow" w:cs="Arial Narrow" w:eastAsia="Arial Narrow" w:hint="default"/>
                <w:sz w:val="21"/>
                <w:szCs w:val="21"/>
              </w:rPr>
            </w:pPr>
            <w:r>
              <w:rPr>
                <w:rFonts w:ascii="Arial Narrow"/>
                <w:spacing w:val="-1"/>
                <w:sz w:val="21"/>
              </w:rPr>
              <w:t>-1,016,674.13</w:t>
            </w:r>
            <w:r>
              <w:rPr>
                <w:rFonts w:ascii="Arial Narrow"/>
                <w:sz w:val="21"/>
              </w:rPr>
            </w: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36,171,519.80</w:t>
            </w:r>
            <w:r>
              <w:rPr>
                <w:rFonts w:ascii="Arial Narrow"/>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-115,821,139.15</w:t>
            </w:r>
            <w:r>
              <w:rPr>
                <w:rFonts w:ascii="Arial Narrow"/>
                <w:sz w:val="21"/>
              </w:rPr>
            </w: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Calibri" w:hAnsi="Calibri" w:cs="Calibri" w:eastAsia="Calibri" w:hint="default"/>
                <w:sz w:val="21"/>
                <w:szCs w:val="21"/>
              </w:rPr>
              <w:t>“</w:t>
            </w:r>
            <w:r>
              <w:rPr>
                <w:rFonts w:ascii="宋体" w:hAnsi="宋体" w:cs="宋体" w:eastAsia="宋体" w:hint="default"/>
                <w:sz w:val="21"/>
                <w:szCs w:val="21"/>
              </w:rPr>
              <w:t>－</w:t>
            </w:r>
            <w:r>
              <w:rPr>
                <w:rFonts w:ascii="Calibri" w:hAnsi="Calibri" w:cs="Calibri" w:eastAsia="Calibri" w:hint="default"/>
                <w:sz w:val="21"/>
                <w:szCs w:val="21"/>
              </w:rPr>
              <w:t>”</w:t>
            </w:r>
            <w:r>
              <w:rPr>
                <w:rFonts w:ascii="宋体" w:hAnsi="宋体" w:cs="宋体" w:eastAsia="宋体" w:hint="default"/>
                <w:sz w:val="21"/>
                <w:szCs w:val="21"/>
              </w:rPr>
              <w:t>号填列）</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1,434,161.22</w:t>
            </w:r>
            <w:r>
              <w:rPr>
                <w:rFonts w:ascii="Arial Narrow"/>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73,143,102.89</w:t>
            </w:r>
            <w:r>
              <w:rPr>
                <w:rFonts w:ascii="Arial Narrow"/>
                <w:sz w:val="21"/>
              </w:rPr>
            </w:r>
          </w:p>
        </w:tc>
      </w:tr>
      <w:tr>
        <w:trPr>
          <w:trHeight w:val="323"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1"/>
              <w:jc w:val="right"/>
              <w:rPr>
                <w:rFonts w:ascii="Arial Narrow" w:hAnsi="Arial Narrow" w:cs="Arial Narrow" w:eastAsia="Arial Narrow" w:hint="default"/>
                <w:sz w:val="21"/>
                <w:szCs w:val="21"/>
              </w:rPr>
            </w:pPr>
            <w:r>
              <w:rPr>
                <w:rFonts w:ascii="Arial Narrow"/>
                <w:w w:val="100"/>
                <w:sz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-2,357,983.94</w:t>
            </w:r>
            <w:r>
              <w:rPr>
                <w:rFonts w:ascii="Arial Narrow"/>
                <w:sz w:val="21"/>
              </w:rPr>
            </w:r>
          </w:p>
        </w:tc>
      </w:tr>
      <w:tr>
        <w:trPr>
          <w:trHeight w:val="323"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9"/>
              <w:ind w:right="22"/>
              <w:jc w:val="right"/>
              <w:rPr>
                <w:rFonts w:ascii="Calibri" w:hAnsi="Calibri" w:cs="Calibri" w:eastAsia="Calibri" w:hint="default"/>
                <w:sz w:val="21"/>
                <w:szCs w:val="21"/>
              </w:rPr>
            </w:pPr>
            <w:r>
              <w:rPr>
                <w:rFonts w:ascii="Calibri"/>
                <w:spacing w:val="-2"/>
                <w:sz w:val="21"/>
              </w:rPr>
              <w:t>43,800,738.15</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22"/>
              <w:jc w:val="right"/>
              <w:rPr>
                <w:rFonts w:ascii="Calibri" w:hAnsi="Calibri" w:cs="Calibri" w:eastAsia="Calibri" w:hint="default"/>
                <w:sz w:val="21"/>
                <w:szCs w:val="21"/>
              </w:rPr>
            </w:pPr>
            <w:r>
              <w:rPr>
                <w:rFonts w:ascii="Calibri"/>
                <w:spacing w:val="-1"/>
                <w:sz w:val="21"/>
              </w:rPr>
              <w:t>2,715,142.82</w:t>
            </w: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2</w:t>
            </w:r>
            <w:r>
              <w:rPr>
                <w:rFonts w:ascii="宋体" w:hAnsi="宋体" w:cs="宋体" w:eastAsia="宋体" w:hint="default"/>
                <w:sz w:val="21"/>
                <w:szCs w:val="21"/>
              </w:rPr>
              <w:t>．不涉及现金收支的重大投资和筹资活动：</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Calibri" w:hAnsi="Calibri" w:cs="Calibri" w:eastAsia="Calibri" w:hint="default"/>
                <w:sz w:val="21"/>
                <w:szCs w:val="21"/>
              </w:rPr>
            </w:pPr>
            <w:r>
              <w:rPr>
                <w:rFonts w:ascii="Calibri"/>
                <w:sz w:val="21"/>
              </w:rPr>
              <w:t>--</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9" w:lineRule="exact"/>
              <w:ind w:left="11" w:right="0"/>
              <w:jc w:val="left"/>
              <w:rPr>
                <w:rFonts w:ascii="宋体" w:hAnsi="宋体" w:cs="宋体" w:eastAsia="宋体" w:hint="default"/>
                <w:sz w:val="21"/>
                <w:szCs w:val="21"/>
              </w:rPr>
            </w:pPr>
            <w:r>
              <w:rPr>
                <w:rFonts w:ascii="Calibri" w:hAnsi="Calibri" w:cs="Calibri" w:eastAsia="Calibri" w:hint="default"/>
                <w:sz w:val="21"/>
                <w:szCs w:val="21"/>
              </w:rPr>
              <w:t>3</w:t>
            </w:r>
            <w:r>
              <w:rPr>
                <w:rFonts w:ascii="宋体" w:hAnsi="宋体" w:cs="宋体" w:eastAsia="宋体" w:hint="default"/>
                <w:sz w:val="21"/>
                <w:szCs w:val="21"/>
              </w:rPr>
              <w:t>．现金及现金等价物净变动情况：</w:t>
            </w: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left="7" w:right="0"/>
              <w:jc w:val="center"/>
              <w:rPr>
                <w:rFonts w:ascii="Calibri" w:hAnsi="Calibri" w:cs="Calibri" w:eastAsia="Calibri" w:hint="default"/>
                <w:sz w:val="21"/>
                <w:szCs w:val="21"/>
              </w:rPr>
            </w:pPr>
            <w:r>
              <w:rPr>
                <w:rFonts w:ascii="Calibri"/>
                <w:sz w:val="21"/>
              </w:rPr>
              <w:t>--</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8"/>
              <w:ind w:right="2"/>
              <w:jc w:val="center"/>
              <w:rPr>
                <w:rFonts w:ascii="Calibri" w:hAnsi="Calibri" w:cs="Calibri" w:eastAsia="Calibri" w:hint="default"/>
                <w:sz w:val="21"/>
                <w:szCs w:val="21"/>
              </w:rPr>
            </w:pPr>
            <w:r>
              <w:rPr>
                <w:rFonts w:ascii="Calibri"/>
                <w:sz w:val="21"/>
              </w:rPr>
              <w:t>--</w:t>
            </w:r>
          </w:p>
        </w:tc>
      </w:tr>
      <w:tr>
        <w:trPr>
          <w:trHeight w:val="323"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3"/>
              <w:ind w:right="22"/>
              <w:jc w:val="right"/>
              <w:rPr>
                <w:rFonts w:ascii="Arial Narrow" w:hAnsi="Arial Narrow" w:cs="Arial Narrow" w:eastAsia="Arial Narrow" w:hint="default"/>
                <w:sz w:val="21"/>
                <w:szCs w:val="21"/>
              </w:rPr>
            </w:pPr>
            <w:r>
              <w:rPr>
                <w:rFonts w:ascii="Arial Narrow"/>
                <w:spacing w:val="-2"/>
                <w:sz w:val="21"/>
              </w:rPr>
              <w:t>218,947,961.61</w:t>
            </w:r>
            <w:r>
              <w:rPr>
                <w:rFonts w:ascii="Arial Narrow"/>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20"/>
              <w:jc w:val="right"/>
              <w:rPr>
                <w:rFonts w:ascii="Arial Narrow" w:hAnsi="Arial Narrow" w:cs="Arial Narrow" w:eastAsia="Arial Narrow" w:hint="default"/>
                <w:sz w:val="21"/>
                <w:szCs w:val="21"/>
              </w:rPr>
            </w:pPr>
            <w:r>
              <w:rPr>
                <w:rFonts w:ascii="Arial Narrow"/>
                <w:spacing w:val="-1"/>
                <w:sz w:val="21"/>
              </w:rPr>
              <w:t>353,400,140.38</w:t>
            </w:r>
            <w:r>
              <w:rPr>
                <w:rFonts w:ascii="Arial Narrow"/>
                <w:sz w:val="21"/>
              </w:rPr>
            </w:r>
          </w:p>
        </w:tc>
      </w:tr>
      <w:tr>
        <w:trPr>
          <w:trHeight w:val="323"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5"/>
              <w:ind w:right="22"/>
              <w:jc w:val="right"/>
              <w:rPr>
                <w:rFonts w:ascii="Arial Narrow" w:hAnsi="Arial Narrow" w:cs="Arial Narrow" w:eastAsia="Arial Narrow" w:hint="default"/>
                <w:sz w:val="21"/>
                <w:szCs w:val="21"/>
              </w:rPr>
            </w:pPr>
            <w:r>
              <w:rPr>
                <w:rFonts w:ascii="Arial Narrow"/>
                <w:spacing w:val="-2"/>
                <w:sz w:val="21"/>
              </w:rPr>
              <w:t>353,400,140.38</w:t>
            </w:r>
            <w:r>
              <w:rPr>
                <w:rFonts w:ascii="Arial Narrow"/>
                <w:sz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20"/>
              <w:jc w:val="right"/>
              <w:rPr>
                <w:rFonts w:ascii="Arial Narrow" w:hAnsi="Arial Narrow" w:cs="Arial Narrow" w:eastAsia="Arial Narrow" w:hint="default"/>
                <w:sz w:val="21"/>
                <w:szCs w:val="21"/>
              </w:rPr>
            </w:pPr>
            <w:r>
              <w:rPr>
                <w:rFonts w:ascii="Arial Narrow"/>
                <w:spacing w:val="-1"/>
                <w:sz w:val="21"/>
              </w:rPr>
              <w:t>366,139,319.39</w:t>
            </w:r>
            <w:r>
              <w:rPr>
                <w:rFonts w:ascii="Arial Narrow"/>
                <w:sz w:val="21"/>
              </w:rPr>
            </w: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1"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138" w:type="dxa"/>
            <w:tcBorders>
              <w:top w:val="single" w:sz="4" w:space="0" w:color="000000"/>
              <w:left w:val="single" w:sz="13" w:space="0" w:color="D2D2D2"/>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1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1"/>
              <w:jc w:val="right"/>
              <w:rPr>
                <w:rFonts w:ascii="Arial Narrow" w:hAnsi="Arial Narrow" w:cs="Arial Narrow" w:eastAsia="Arial Narrow" w:hint="default"/>
                <w:sz w:val="21"/>
                <w:szCs w:val="21"/>
              </w:rPr>
            </w:pPr>
            <w:r>
              <w:rPr>
                <w:rFonts w:ascii="Arial Narrow"/>
                <w:spacing w:val="-2"/>
                <w:sz w:val="21"/>
              </w:rPr>
              <w:t>-134,452,178.77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0"/>
              <w:jc w:val="right"/>
              <w:rPr>
                <w:rFonts w:ascii="Arial Narrow" w:hAnsi="Arial Narrow" w:cs="Arial Narrow" w:eastAsia="Arial Narrow" w:hint="default"/>
                <w:sz w:val="21"/>
                <w:szCs w:val="21"/>
              </w:rPr>
            </w:pPr>
            <w:r>
              <w:rPr>
                <w:rFonts w:ascii="Arial Narrow"/>
                <w:spacing w:val="-1"/>
                <w:sz w:val="21"/>
              </w:rPr>
              <w:t>-12,739,179.01</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10" w:h="16840"/>
          <w:pgMar w:header="0" w:footer="1007" w:top="1160" w:bottom="1200" w:left="1240" w:right="1200"/>
        </w:sectPr>
      </w:pPr>
    </w:p>
    <w:p>
      <w:pPr>
        <w:spacing w:line="240" w:lineRule="auto" w:before="4"/>
        <w:rPr>
          <w:rFonts w:ascii="宋体" w:hAnsi="宋体" w:cs="宋体" w:eastAsia="宋体" w:hint="default"/>
          <w:sz w:val="16"/>
          <w:szCs w:val="16"/>
        </w:rPr>
      </w:pPr>
    </w:p>
    <w:p>
      <w:pPr>
        <w:spacing w:line="506" w:lineRule="auto" w:before="36"/>
        <w:ind w:left="918" w:right="4463" w:hanging="360"/>
        <w:jc w:val="left"/>
        <w:rPr>
          <w:rFonts w:ascii="宋体" w:hAnsi="宋体" w:cs="宋体" w:eastAsia="宋体" w:hint="default"/>
          <w:sz w:val="21"/>
          <w:szCs w:val="21"/>
        </w:rPr>
      </w:pPr>
      <w:r>
        <w:rPr>
          <w:rFonts w:ascii="Times New Roman" w:hAnsi="Times New Roman" w:cs="Times New Roman" w:eastAsia="Times New Roman" w:hint="default"/>
          <w:b/>
          <w:bCs/>
          <w:spacing w:val="-1"/>
          <w:sz w:val="21"/>
          <w:szCs w:val="21"/>
        </w:rPr>
        <w:t>7</w:t>
      </w:r>
      <w:r>
        <w:rPr>
          <w:rFonts w:ascii="宋体" w:hAnsi="宋体" w:cs="宋体" w:eastAsia="宋体" w:hint="default"/>
          <w:b/>
          <w:bCs/>
          <w:spacing w:val="-1"/>
          <w:sz w:val="21"/>
          <w:szCs w:val="21"/>
        </w:rPr>
        <w:t>、反向购买下以评估值入账的资产、负债情况</w:t>
      </w:r>
      <w:r>
        <w:rPr>
          <w:rFonts w:ascii="宋体" w:hAnsi="宋体" w:cs="宋体" w:eastAsia="宋体" w:hint="default"/>
          <w:b/>
          <w:bCs/>
          <w:spacing w:val="-83"/>
          <w:sz w:val="21"/>
          <w:szCs w:val="21"/>
        </w:rPr>
        <w:t> </w:t>
      </w:r>
      <w:r>
        <w:rPr>
          <w:rFonts w:ascii="宋体" w:hAnsi="宋体" w:cs="宋体" w:eastAsia="宋体" w:hint="default"/>
          <w:b/>
          <w:bCs/>
          <w:spacing w:val="-83"/>
          <w:sz w:val="21"/>
          <w:szCs w:val="21"/>
        </w:rPr>
      </w:r>
      <w:r>
        <w:rPr>
          <w:rFonts w:ascii="宋体" w:hAnsi="宋体" w:cs="宋体" w:eastAsia="宋体" w:hint="default"/>
          <w:sz w:val="21"/>
          <w:szCs w:val="21"/>
        </w:rPr>
        <w:t>无此情况</w:t>
      </w:r>
    </w:p>
    <w:p>
      <w:pPr>
        <w:pStyle w:val="Heading4"/>
        <w:spacing w:line="240" w:lineRule="auto" w:before="78"/>
        <w:ind w:left="558" w:right="0"/>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spacing w:before="0"/>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、净资产收益率及每股收益</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before="36"/>
        <w:ind w:left="0" w:right="151" w:firstLine="0"/>
        <w:jc w:val="right"/>
        <w:rPr>
          <w:rFonts w:ascii="宋体" w:hAnsi="宋体" w:cs="宋体" w:eastAsia="宋体" w:hint="default"/>
          <w:sz w:val="21"/>
          <w:szCs w:val="21"/>
        </w:rPr>
      </w:pPr>
      <w:r>
        <w:rPr>
          <w:rFonts w:ascii="宋体" w:hAnsi="宋体" w:cs="宋体" w:eastAsia="宋体" w:hint="default"/>
          <w:spacing w:val="-1"/>
          <w:sz w:val="21"/>
          <w:szCs w:val="21"/>
        </w:rPr>
        <w:t>单位：元</w:t>
      </w:r>
    </w:p>
    <w:p>
      <w:pPr>
        <w:spacing w:line="240" w:lineRule="auto" w:before="10"/>
        <w:rPr>
          <w:rFonts w:ascii="宋体" w:hAnsi="宋体" w:cs="宋体" w:eastAsia="宋体" w:hint="default"/>
          <w:sz w:val="3"/>
          <w:szCs w:val="3"/>
        </w:rPr>
      </w:pPr>
    </w:p>
    <w:tbl>
      <w:tblPr>
        <w:tblW w:w="0" w:type="auto"/>
        <w:jc w:val="left"/>
        <w:tblInd w:w="536" w:type="dxa"/>
        <w:tblLayout w:type="fixed"/>
        <w:tblCellMar>
          <w:top w:w="0" w:type="dxa"/>
          <w:left w:w="0" w:type="dxa"/>
          <w:bottom w:w="0" w:type="dxa"/>
          <w:right w:w="0" w:type="dxa"/>
        </w:tblCellMar>
        <w:tblLook w:val="01E0"/>
      </w:tblPr>
      <w:tblGrid>
        <w:gridCol w:w="3222"/>
        <w:gridCol w:w="1614"/>
        <w:gridCol w:w="1985"/>
        <w:gridCol w:w="1916"/>
      </w:tblGrid>
      <w:tr>
        <w:trPr>
          <w:trHeight w:val="166" w:hRule="exact"/>
        </w:trPr>
        <w:tc>
          <w:tcPr>
            <w:tcW w:w="32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4"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ind w:left="198" w:right="60" w:hanging="135"/>
              <w:jc w:val="left"/>
              <w:rPr>
                <w:rFonts w:ascii="宋体" w:hAnsi="宋体" w:cs="宋体" w:eastAsia="宋体" w:hint="default"/>
                <w:sz w:val="21"/>
                <w:szCs w:val="21"/>
              </w:rPr>
            </w:pPr>
            <w:r>
              <w:rPr>
                <w:rFonts w:ascii="宋体" w:hAnsi="宋体" w:cs="宋体" w:eastAsia="宋体" w:hint="default"/>
                <w:b/>
                <w:bCs/>
                <w:sz w:val="21"/>
                <w:szCs w:val="21"/>
              </w:rPr>
              <w:t>加权平均净资产</w:t>
            </w:r>
            <w:r>
              <w:rPr>
                <w:rFonts w:ascii="宋体" w:hAnsi="宋体" w:cs="宋体" w:eastAsia="宋体" w:hint="default"/>
                <w:b/>
                <w:bCs/>
                <w:spacing w:val="-104"/>
                <w:sz w:val="21"/>
                <w:szCs w:val="21"/>
              </w:rPr>
              <w:t> </w:t>
            </w:r>
            <w:r>
              <w:rPr>
                <w:rFonts w:ascii="宋体" w:hAnsi="宋体" w:cs="宋体" w:eastAsia="宋体" w:hint="default"/>
                <w:b/>
                <w:bCs/>
                <w:sz w:val="21"/>
                <w:szCs w:val="21"/>
              </w:rPr>
              <w:t>收益率（</w:t>
            </w:r>
            <w:r>
              <w:rPr>
                <w:rFonts w:ascii="Calibri" w:hAnsi="Calibri" w:cs="Calibri" w:eastAsia="Calibri" w:hint="default"/>
                <w:b/>
                <w:bCs/>
                <w:sz w:val="21"/>
                <w:szCs w:val="21"/>
              </w:rPr>
              <w:t>%</w:t>
            </w:r>
            <w:r>
              <w:rPr>
                <w:rFonts w:ascii="宋体" w:hAnsi="宋体" w:cs="宋体" w:eastAsia="宋体" w:hint="default"/>
                <w:b/>
                <w:bCs/>
                <w:sz w:val="21"/>
                <w:szCs w:val="21"/>
              </w:rPr>
              <w:t>）</w:t>
            </w:r>
            <w:r>
              <w:rPr>
                <w:rFonts w:ascii="宋体" w:hAnsi="宋体" w:cs="宋体" w:eastAsia="宋体" w:hint="default"/>
                <w:sz w:val="21"/>
                <w:szCs w:val="21"/>
              </w:rPr>
            </w:r>
          </w:p>
        </w:tc>
        <w:tc>
          <w:tcPr>
            <w:tcW w:w="39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b/>
                <w:bCs/>
                <w:sz w:val="21"/>
                <w:szCs w:val="21"/>
              </w:rPr>
              <w:t>每股收益</w:t>
            </w:r>
            <w:r>
              <w:rPr>
                <w:rFonts w:ascii="宋体" w:hAnsi="宋体" w:cs="宋体" w:eastAsia="宋体" w:hint="default"/>
                <w:sz w:val="21"/>
                <w:szCs w:val="21"/>
              </w:rPr>
            </w:r>
          </w:p>
        </w:tc>
      </w:tr>
      <w:tr>
        <w:trPr>
          <w:trHeight w:val="156" w:hRule="exact"/>
        </w:trPr>
        <w:tc>
          <w:tcPr>
            <w:tcW w:w="3222" w:type="dxa"/>
            <w:vMerge w:val="restart"/>
            <w:tcBorders>
              <w:top w:val="nil" w:sz="6" w:space="0" w:color="auto"/>
              <w:left w:val="single" w:sz="4" w:space="0" w:color="000000"/>
              <w:right w:val="single" w:sz="4" w:space="0" w:color="000000"/>
            </w:tcBorders>
            <w:shd w:val="clear" w:color="auto" w:fill="D2D2D2"/>
          </w:tcPr>
          <w:p>
            <w:pPr>
              <w:pStyle w:val="TableParagraph"/>
              <w:spacing w:line="262" w:lineRule="exact"/>
              <w:ind w:right="9"/>
              <w:jc w:val="center"/>
              <w:rPr>
                <w:rFonts w:ascii="宋体" w:hAnsi="宋体" w:cs="宋体" w:eastAsia="宋体" w:hint="default"/>
                <w:sz w:val="21"/>
                <w:szCs w:val="21"/>
              </w:rPr>
            </w:pPr>
            <w:r>
              <w:rPr>
                <w:rFonts w:ascii="宋体" w:hAnsi="宋体" w:cs="宋体" w:eastAsia="宋体" w:hint="default"/>
                <w:b/>
                <w:bCs/>
                <w:sz w:val="21"/>
                <w:szCs w:val="21"/>
              </w:rPr>
              <w:t>报告期利润</w:t>
            </w:r>
            <w:r>
              <w:rPr>
                <w:rFonts w:ascii="宋体" w:hAnsi="宋体" w:cs="宋体" w:eastAsia="宋体" w:hint="default"/>
                <w:sz w:val="21"/>
                <w:szCs w:val="21"/>
              </w:rPr>
            </w:r>
          </w:p>
        </w:tc>
        <w:tc>
          <w:tcPr>
            <w:tcW w:w="1614" w:type="dxa"/>
            <w:vMerge/>
            <w:tcBorders>
              <w:left w:val="single" w:sz="4" w:space="0" w:color="000000"/>
              <w:right w:val="single" w:sz="4" w:space="0" w:color="000000"/>
            </w:tcBorders>
            <w:shd w:val="clear" w:color="auto" w:fill="D2D2D2"/>
          </w:tcPr>
          <w:p>
            <w:pPr/>
          </w:p>
        </w:tc>
        <w:tc>
          <w:tcPr>
            <w:tcW w:w="3901" w:type="dxa"/>
            <w:gridSpan w:val="2"/>
            <w:vMerge/>
            <w:tcBorders>
              <w:left w:val="single" w:sz="4" w:space="0" w:color="000000"/>
              <w:bottom w:val="single" w:sz="4" w:space="0" w:color="000000"/>
              <w:right w:val="single" w:sz="4" w:space="0" w:color="000000"/>
            </w:tcBorders>
            <w:shd w:val="clear" w:color="auto" w:fill="D2D2D2"/>
          </w:tcPr>
          <w:p>
            <w:pPr/>
          </w:p>
        </w:tc>
      </w:tr>
      <w:tr>
        <w:trPr>
          <w:trHeight w:val="156" w:hRule="exact"/>
        </w:trPr>
        <w:tc>
          <w:tcPr>
            <w:tcW w:w="3222" w:type="dxa"/>
            <w:vMerge/>
            <w:tcBorders>
              <w:left w:val="single" w:sz="4" w:space="0" w:color="000000"/>
              <w:bottom w:val="nil" w:sz="6" w:space="0" w:color="auto"/>
              <w:right w:val="single" w:sz="4" w:space="0" w:color="000000"/>
            </w:tcBorders>
            <w:shd w:val="clear" w:color="auto" w:fill="D2D2D2"/>
          </w:tcPr>
          <w:p>
            <w:pPr/>
          </w:p>
        </w:tc>
        <w:tc>
          <w:tcPr>
            <w:tcW w:w="1614" w:type="dxa"/>
            <w:vMerge/>
            <w:tcBorders>
              <w:left w:val="single" w:sz="4" w:space="0" w:color="000000"/>
              <w:right w:val="single" w:sz="4" w:space="0" w:color="000000"/>
            </w:tcBorders>
            <w:shd w:val="clear" w:color="auto" w:fill="D2D2D2"/>
          </w:tcPr>
          <w:p>
            <w:pP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352" w:right="0"/>
              <w:jc w:val="left"/>
              <w:rPr>
                <w:rFonts w:ascii="宋体" w:hAnsi="宋体" w:cs="宋体" w:eastAsia="宋体" w:hint="default"/>
                <w:sz w:val="21"/>
                <w:szCs w:val="21"/>
              </w:rPr>
            </w:pPr>
            <w:r>
              <w:rPr>
                <w:rFonts w:ascii="宋体" w:hAnsi="宋体" w:cs="宋体" w:eastAsia="宋体" w:hint="default"/>
                <w:b/>
                <w:bCs/>
                <w:sz w:val="21"/>
                <w:szCs w:val="21"/>
              </w:rPr>
              <w:t>基本每股收益</w:t>
            </w:r>
            <w:r>
              <w:rPr>
                <w:rFonts w:ascii="宋体" w:hAnsi="宋体" w:cs="宋体" w:eastAsia="宋体" w:hint="default"/>
                <w:sz w:val="21"/>
                <w:szCs w:val="21"/>
              </w:rPr>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62" w:lineRule="exact"/>
              <w:ind w:left="319" w:right="0"/>
              <w:jc w:val="left"/>
              <w:rPr>
                <w:rFonts w:ascii="宋体" w:hAnsi="宋体" w:cs="宋体" w:eastAsia="宋体" w:hint="default"/>
                <w:sz w:val="21"/>
                <w:szCs w:val="21"/>
              </w:rPr>
            </w:pPr>
            <w:r>
              <w:rPr>
                <w:rFonts w:ascii="宋体" w:hAnsi="宋体" w:cs="宋体" w:eastAsia="宋体" w:hint="default"/>
                <w:b/>
                <w:bCs/>
                <w:sz w:val="21"/>
                <w:szCs w:val="21"/>
              </w:rPr>
              <w:t>稀释每股收益</w:t>
            </w:r>
            <w:r>
              <w:rPr>
                <w:rFonts w:ascii="宋体" w:hAnsi="宋体" w:cs="宋体" w:eastAsia="宋体" w:hint="default"/>
                <w:sz w:val="21"/>
                <w:szCs w:val="21"/>
              </w:rPr>
            </w:r>
          </w:p>
        </w:tc>
      </w:tr>
      <w:tr>
        <w:trPr>
          <w:trHeight w:val="166" w:hRule="exact"/>
        </w:trPr>
        <w:tc>
          <w:tcPr>
            <w:tcW w:w="32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4"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1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4"/>
              <w:ind w:right="22"/>
              <w:jc w:val="right"/>
              <w:rPr>
                <w:rFonts w:ascii="Arial Narrow" w:hAnsi="Arial Narrow" w:cs="Arial Narrow" w:eastAsia="Arial Narrow" w:hint="default"/>
                <w:sz w:val="21"/>
                <w:szCs w:val="21"/>
              </w:rPr>
            </w:pPr>
            <w:r>
              <w:rPr>
                <w:rFonts w:ascii="Arial Narrow"/>
                <w:spacing w:val="-1"/>
                <w:sz w:val="21"/>
              </w:rPr>
              <w:t>0.98</w:t>
            </w:r>
            <w:r>
              <w:rPr>
                <w:rFonts w:ascii="Arial Narrow"/>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4"/>
              <w:jc w:val="right"/>
              <w:rPr>
                <w:rFonts w:ascii="Arial Narrow" w:hAnsi="Arial Narrow" w:cs="Arial Narrow" w:eastAsia="Arial Narrow" w:hint="default"/>
                <w:sz w:val="21"/>
                <w:szCs w:val="21"/>
              </w:rPr>
            </w:pPr>
            <w:r>
              <w:rPr>
                <w:rFonts w:ascii="Arial Narrow"/>
                <w:spacing w:val="-1"/>
                <w:sz w:val="21"/>
              </w:rPr>
              <w:t>0.045</w:t>
            </w:r>
            <w:r>
              <w:rPr>
                <w:rFonts w:ascii="Arial Narrow"/>
                <w:sz w:val="21"/>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2"/>
              <w:jc w:val="right"/>
              <w:rPr>
                <w:rFonts w:ascii="Arial Narrow" w:hAnsi="Arial Narrow" w:cs="Arial Narrow" w:eastAsia="Arial Narrow" w:hint="default"/>
                <w:sz w:val="21"/>
                <w:szCs w:val="21"/>
              </w:rPr>
            </w:pPr>
            <w:r>
              <w:rPr>
                <w:rFonts w:ascii="Arial Narrow"/>
                <w:spacing w:val="-1"/>
                <w:sz w:val="21"/>
              </w:rPr>
              <w:t>0.045</w:t>
            </w:r>
            <w:r>
              <w:rPr>
                <w:rFonts w:ascii="Arial Narrow"/>
                <w:sz w:val="21"/>
              </w:rPr>
            </w:r>
          </w:p>
        </w:tc>
      </w:tr>
      <w:tr>
        <w:trPr>
          <w:trHeight w:val="634" w:hRule="exact"/>
        </w:trPr>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ind w:left="11" w:right="44"/>
              <w:jc w:val="left"/>
              <w:rPr>
                <w:rFonts w:ascii="宋体" w:hAnsi="宋体" w:cs="宋体" w:eastAsia="宋体" w:hint="default"/>
                <w:sz w:val="21"/>
                <w:szCs w:val="21"/>
              </w:rPr>
            </w:pPr>
            <w:r>
              <w:rPr>
                <w:rFonts w:ascii="宋体" w:hAnsi="宋体" w:cs="宋体" w:eastAsia="宋体" w:hint="default"/>
                <w:spacing w:val="-2"/>
                <w:sz w:val="21"/>
                <w:szCs w:val="21"/>
              </w:rPr>
              <w:t>扣除非经常性损益后归属于公司普</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通股股东的净利润</w:t>
            </w:r>
          </w:p>
        </w:tc>
        <w:tc>
          <w:tcPr>
            <w:tcW w:w="16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0.04</w:t>
            </w:r>
            <w:r>
              <w:rPr>
                <w:rFonts w:ascii="Arial Narrow"/>
                <w:sz w:val="21"/>
              </w:rPr>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4"/>
              <w:jc w:val="right"/>
              <w:rPr>
                <w:rFonts w:ascii="Arial Narrow" w:hAnsi="Arial Narrow" w:cs="Arial Narrow" w:eastAsia="Arial Narrow" w:hint="default"/>
                <w:sz w:val="21"/>
                <w:szCs w:val="21"/>
              </w:rPr>
            </w:pPr>
            <w:r>
              <w:rPr>
                <w:rFonts w:ascii="Arial Narrow"/>
                <w:spacing w:val="-1"/>
                <w:sz w:val="21"/>
              </w:rPr>
              <w:t>0.002</w:t>
            </w:r>
            <w:r>
              <w:rPr>
                <w:rFonts w:ascii="Arial Narrow"/>
                <w:sz w:val="21"/>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22"/>
              <w:jc w:val="right"/>
              <w:rPr>
                <w:rFonts w:ascii="Arial Narrow" w:hAnsi="Arial Narrow" w:cs="Arial Narrow" w:eastAsia="Arial Narrow" w:hint="default"/>
                <w:sz w:val="21"/>
                <w:szCs w:val="21"/>
              </w:rPr>
            </w:pPr>
            <w:r>
              <w:rPr>
                <w:rFonts w:ascii="Arial Narrow"/>
                <w:spacing w:val="-1"/>
                <w:sz w:val="21"/>
              </w:rPr>
              <w:t>0.002</w:t>
            </w:r>
            <w:r>
              <w:rPr>
                <w:rFonts w:ascii="Arial Narrow"/>
                <w:sz w:val="21"/>
              </w:rPr>
            </w:r>
          </w:p>
        </w:tc>
      </w:tr>
    </w:tbl>
    <w:p>
      <w:pPr>
        <w:spacing w:line="240" w:lineRule="auto" w:before="3"/>
        <w:rPr>
          <w:rFonts w:ascii="宋体" w:hAnsi="宋体" w:cs="宋体" w:eastAsia="宋体" w:hint="default"/>
          <w:sz w:val="19"/>
          <w:szCs w:val="19"/>
        </w:rPr>
      </w:pPr>
    </w:p>
    <w:p>
      <w:pPr>
        <w:spacing w:before="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、公司主要会计报表项目的异常情况及原因的说明</w:t>
      </w:r>
      <w:r>
        <w:rPr>
          <w:rFonts w:ascii="宋体" w:hAnsi="宋体" w:cs="宋体" w:eastAsia="宋体" w:hint="default"/>
          <w:sz w:val="21"/>
          <w:szCs w:val="21"/>
        </w:rPr>
      </w:r>
    </w:p>
    <w:p>
      <w:pPr>
        <w:spacing w:line="240" w:lineRule="auto" w:before="9"/>
        <w:rPr>
          <w:rFonts w:ascii="宋体" w:hAnsi="宋体" w:cs="宋体" w:eastAsia="宋体" w:hint="default"/>
          <w:b/>
          <w:bCs/>
          <w:sz w:val="28"/>
          <w:szCs w:val="28"/>
        </w:rPr>
      </w:pPr>
    </w:p>
    <w:p>
      <w:pPr>
        <w:pStyle w:val="BodyText"/>
        <w:spacing w:line="357" w:lineRule="auto"/>
        <w:ind w:right="138" w:firstLine="479"/>
        <w:jc w:val="left"/>
      </w:pPr>
      <w:r>
        <w:rPr/>
        <w:t>（</w:t>
      </w:r>
      <w:r>
        <w:rPr>
          <w:rFonts w:ascii="宋体" w:hAnsi="宋体" w:cs="宋体" w:eastAsia="宋体" w:hint="default"/>
        </w:rPr>
        <w:t>1</w:t>
      </w:r>
      <w:r>
        <w:rPr/>
        <w:t>）货币资金期末余额</w:t>
      </w:r>
      <w:r>
        <w:rPr>
          <w:spacing w:val="-63"/>
        </w:rPr>
        <w:t> </w:t>
      </w:r>
      <w:r>
        <w:rPr>
          <w:rFonts w:ascii="宋体" w:hAnsi="宋体" w:cs="宋体" w:eastAsia="宋体" w:hint="default"/>
        </w:rPr>
        <w:t>235,371,119.09</w:t>
      </w:r>
      <w:r>
        <w:rPr>
          <w:rFonts w:ascii="宋体" w:hAnsi="宋体" w:cs="宋体" w:eastAsia="宋体" w:hint="default"/>
          <w:spacing w:val="-63"/>
        </w:rPr>
        <w:t> </w:t>
      </w:r>
      <w:r>
        <w:rPr/>
        <w:t>元，较期初减少</w:t>
      </w:r>
      <w:r>
        <w:rPr>
          <w:spacing w:val="-63"/>
        </w:rPr>
        <w:t> </w:t>
      </w:r>
      <w:r>
        <w:rPr>
          <w:rFonts w:ascii="宋体" w:hAnsi="宋体" w:cs="宋体" w:eastAsia="宋体" w:hint="default"/>
        </w:rPr>
        <w:t>37.87%</w:t>
      </w:r>
      <w:r>
        <w:rPr/>
        <w:t>，主要系购买 研发及办公房产所致。</w:t>
      </w:r>
    </w:p>
    <w:p>
      <w:pPr>
        <w:pStyle w:val="BodyText"/>
        <w:spacing w:line="357" w:lineRule="auto" w:before="36"/>
        <w:ind w:right="249" w:firstLine="479"/>
        <w:jc w:val="left"/>
      </w:pPr>
      <w:r>
        <w:rPr/>
        <w:t>（</w:t>
      </w:r>
      <w:r>
        <w:rPr>
          <w:rFonts w:ascii="宋体" w:hAnsi="宋体" w:cs="宋体" w:eastAsia="宋体" w:hint="default"/>
        </w:rPr>
        <w:t>2</w:t>
      </w:r>
      <w:r>
        <w:rPr/>
        <w:t>）应收票据期末余额</w:t>
      </w:r>
      <w:r>
        <w:rPr>
          <w:spacing w:val="-60"/>
        </w:rPr>
        <w:t> </w:t>
      </w:r>
      <w:r>
        <w:rPr>
          <w:rFonts w:ascii="宋体" w:hAnsi="宋体" w:cs="宋体" w:eastAsia="宋体" w:hint="default"/>
        </w:rPr>
        <w:t>137,400.00</w:t>
      </w:r>
      <w:r>
        <w:rPr>
          <w:rFonts w:ascii="宋体" w:hAnsi="宋体" w:cs="宋体" w:eastAsia="宋体" w:hint="default"/>
          <w:spacing w:val="-60"/>
        </w:rPr>
        <w:t> </w:t>
      </w:r>
      <w:r>
        <w:rPr/>
        <w:t>元，较期初增加</w:t>
      </w:r>
      <w:r>
        <w:rPr>
          <w:spacing w:val="-60"/>
        </w:rPr>
        <w:t> </w:t>
      </w:r>
      <w:r>
        <w:rPr>
          <w:rFonts w:ascii="宋体" w:hAnsi="宋体" w:cs="宋体" w:eastAsia="宋体" w:hint="default"/>
        </w:rPr>
        <w:t>100.00%</w:t>
      </w:r>
      <w:r>
        <w:rPr/>
        <w:t>，系部分客户改 变付款方式所致。</w:t>
      </w:r>
    </w:p>
    <w:p>
      <w:pPr>
        <w:pStyle w:val="BodyText"/>
        <w:spacing w:line="357" w:lineRule="auto" w:before="36"/>
        <w:ind w:right="249" w:firstLine="479"/>
        <w:jc w:val="left"/>
      </w:pPr>
      <w:r>
        <w:rPr/>
        <w:t>（</w:t>
      </w:r>
      <w:r>
        <w:rPr>
          <w:rFonts w:ascii="宋体" w:hAnsi="宋体" w:cs="宋体" w:eastAsia="宋体" w:hint="default"/>
        </w:rPr>
        <w:t>3</w:t>
      </w:r>
      <w:r>
        <w:rPr/>
        <w:t>）预付款项期末余额</w:t>
      </w:r>
      <w:r>
        <w:rPr>
          <w:spacing w:val="-60"/>
        </w:rPr>
        <w:t> </w:t>
      </w:r>
      <w:r>
        <w:rPr>
          <w:rFonts w:ascii="宋体" w:hAnsi="宋体" w:cs="宋体" w:eastAsia="宋体" w:hint="default"/>
        </w:rPr>
        <w:t>33,228,431.74</w:t>
      </w:r>
      <w:r>
        <w:rPr>
          <w:rFonts w:ascii="宋体" w:hAnsi="宋体" w:cs="宋体" w:eastAsia="宋体" w:hint="default"/>
          <w:spacing w:val="-60"/>
        </w:rPr>
        <w:t> </w:t>
      </w:r>
      <w:r>
        <w:rPr/>
        <w:t>元，较期初减少</w:t>
      </w:r>
      <w:r>
        <w:rPr>
          <w:spacing w:val="-60"/>
        </w:rPr>
        <w:t> </w:t>
      </w:r>
      <w:r>
        <w:rPr>
          <w:rFonts w:ascii="宋体" w:hAnsi="宋体" w:cs="宋体" w:eastAsia="宋体" w:hint="default"/>
        </w:rPr>
        <w:t>40.15%</w:t>
      </w:r>
      <w:r>
        <w:rPr/>
        <w:t>，主要系根据 项目的完工进度前期预付外包费结转成本所致。</w:t>
      </w:r>
    </w:p>
    <w:p>
      <w:pPr>
        <w:pStyle w:val="BodyText"/>
        <w:spacing w:line="357" w:lineRule="auto" w:before="36"/>
        <w:ind w:right="249" w:firstLine="479"/>
        <w:jc w:val="left"/>
      </w:pPr>
      <w:r>
        <w:rPr/>
        <w:t>（</w:t>
      </w:r>
      <w:r>
        <w:rPr>
          <w:rFonts w:ascii="宋体" w:hAnsi="宋体" w:cs="宋体" w:eastAsia="宋体" w:hint="default"/>
        </w:rPr>
        <w:t>4</w:t>
      </w:r>
      <w:r>
        <w:rPr/>
        <w:t>）应收利息期末余额</w:t>
      </w:r>
      <w:r>
        <w:rPr>
          <w:spacing w:val="-60"/>
        </w:rPr>
        <w:t> </w:t>
      </w:r>
      <w:r>
        <w:rPr>
          <w:rFonts w:ascii="宋体" w:hAnsi="宋体" w:cs="宋体" w:eastAsia="宋体" w:hint="default"/>
        </w:rPr>
        <w:t>0.00</w:t>
      </w:r>
      <w:r>
        <w:rPr>
          <w:rFonts w:ascii="宋体" w:hAnsi="宋体" w:cs="宋体" w:eastAsia="宋体" w:hint="default"/>
          <w:spacing w:val="-60"/>
        </w:rPr>
        <w:t> </w:t>
      </w:r>
      <w:r>
        <w:rPr/>
        <w:t>元，较期初减少</w:t>
      </w:r>
      <w:r>
        <w:rPr>
          <w:spacing w:val="-60"/>
        </w:rPr>
        <w:t> </w:t>
      </w:r>
      <w:r>
        <w:rPr>
          <w:rFonts w:ascii="宋体" w:hAnsi="宋体" w:cs="宋体" w:eastAsia="宋体" w:hint="default"/>
        </w:rPr>
        <w:t>100.00%</w:t>
      </w:r>
      <w:r>
        <w:rPr/>
        <w:t>，系计提利息本期收回 所致。</w:t>
      </w:r>
    </w:p>
    <w:p>
      <w:pPr>
        <w:pStyle w:val="BodyText"/>
        <w:spacing w:line="357" w:lineRule="auto" w:before="36"/>
        <w:ind w:right="189" w:firstLine="479"/>
        <w:jc w:val="left"/>
      </w:pPr>
      <w:r>
        <w:rPr/>
        <w:t>（</w:t>
      </w:r>
      <w:r>
        <w:rPr>
          <w:rFonts w:ascii="宋体" w:hAnsi="宋体" w:cs="宋体" w:eastAsia="宋体" w:hint="default"/>
        </w:rPr>
        <w:t>5</w:t>
      </w:r>
      <w:r>
        <w:rPr/>
        <w:t>）其他流动资产期末余额</w:t>
      </w:r>
      <w:r>
        <w:rPr>
          <w:spacing w:val="-60"/>
        </w:rPr>
        <w:t> </w:t>
      </w:r>
      <w:r>
        <w:rPr>
          <w:rFonts w:ascii="宋体" w:hAnsi="宋体" w:cs="宋体" w:eastAsia="宋体" w:hint="default"/>
        </w:rPr>
        <w:t>535,790.36 </w:t>
      </w:r>
      <w:r>
        <w:rPr/>
        <w:t>元，较期初增加</w:t>
      </w:r>
      <w:r>
        <w:rPr>
          <w:spacing w:val="-60"/>
        </w:rPr>
        <w:t> </w:t>
      </w:r>
      <w:r>
        <w:rPr>
          <w:rFonts w:ascii="宋体" w:hAnsi="宋体" w:cs="宋体" w:eastAsia="宋体" w:hint="default"/>
        </w:rPr>
        <w:t>100.00%</w:t>
      </w:r>
      <w:r>
        <w:rPr/>
        <w:t>，系本期预 缴企业所得税所致。</w:t>
      </w:r>
    </w:p>
    <w:p>
      <w:pPr>
        <w:pStyle w:val="BodyText"/>
        <w:spacing w:line="357" w:lineRule="auto" w:before="37"/>
        <w:ind w:right="249" w:firstLine="479"/>
        <w:jc w:val="left"/>
      </w:pPr>
      <w:r>
        <w:rPr/>
        <w:t>（</w:t>
      </w:r>
      <w:r>
        <w:rPr>
          <w:rFonts w:ascii="宋体" w:hAnsi="宋体" w:cs="宋体" w:eastAsia="宋体" w:hint="default"/>
        </w:rPr>
        <w:t>6</w:t>
      </w:r>
      <w:r>
        <w:rPr/>
        <w:t>）长期应收款期末余额</w:t>
      </w:r>
      <w:r>
        <w:rPr>
          <w:spacing w:val="-60"/>
        </w:rPr>
        <w:t> </w:t>
      </w:r>
      <w:r>
        <w:rPr>
          <w:rFonts w:ascii="宋体" w:hAnsi="宋体" w:cs="宋体" w:eastAsia="宋体" w:hint="default"/>
        </w:rPr>
        <w:t>16,797,305.92</w:t>
      </w:r>
      <w:r>
        <w:rPr>
          <w:rFonts w:ascii="宋体" w:hAnsi="宋体" w:cs="宋体" w:eastAsia="宋体" w:hint="default"/>
          <w:spacing w:val="-60"/>
        </w:rPr>
        <w:t> </w:t>
      </w:r>
      <w:r>
        <w:rPr/>
        <w:t>元，较期初减少</w:t>
      </w:r>
      <w:r>
        <w:rPr>
          <w:spacing w:val="-60"/>
        </w:rPr>
        <w:t> </w:t>
      </w:r>
      <w:r>
        <w:rPr>
          <w:rFonts w:ascii="宋体" w:hAnsi="宋体" w:cs="宋体" w:eastAsia="宋体" w:hint="default"/>
        </w:rPr>
        <w:t>35.60%</w:t>
      </w:r>
      <w:r>
        <w:rPr/>
        <w:t>，系西安市 数字化“城市管理”信息系统开发项目本期收回部分货款所致。</w:t>
      </w:r>
    </w:p>
    <w:p>
      <w:pPr>
        <w:pStyle w:val="BodyText"/>
        <w:spacing w:line="357" w:lineRule="auto" w:before="36"/>
        <w:ind w:right="249" w:firstLine="479"/>
        <w:jc w:val="left"/>
      </w:pPr>
      <w:r>
        <w:rPr/>
        <w:t>（</w:t>
      </w:r>
      <w:r>
        <w:rPr>
          <w:rFonts w:ascii="宋体" w:hAnsi="宋体" w:cs="宋体" w:eastAsia="宋体" w:hint="default"/>
        </w:rPr>
        <w:t>7</w:t>
      </w:r>
      <w:r>
        <w:rPr/>
        <w:t>）长期股权投资期末余额</w:t>
      </w:r>
      <w:r>
        <w:rPr>
          <w:spacing w:val="-60"/>
        </w:rPr>
        <w:t> </w:t>
      </w:r>
      <w:r>
        <w:rPr>
          <w:rFonts w:ascii="宋体" w:hAnsi="宋体" w:cs="宋体" w:eastAsia="宋体" w:hint="default"/>
        </w:rPr>
        <w:t>18,202,098.88</w:t>
      </w:r>
      <w:r>
        <w:rPr>
          <w:rFonts w:ascii="宋体" w:hAnsi="宋体" w:cs="宋体" w:eastAsia="宋体" w:hint="default"/>
          <w:spacing w:val="-60"/>
        </w:rPr>
        <w:t> </w:t>
      </w:r>
      <w:r>
        <w:rPr/>
        <w:t>元，较期初增加</w:t>
      </w:r>
      <w:r>
        <w:rPr>
          <w:spacing w:val="-60"/>
        </w:rPr>
        <w:t> </w:t>
      </w:r>
      <w:r>
        <w:rPr>
          <w:rFonts w:ascii="宋体" w:hAnsi="宋体" w:cs="宋体" w:eastAsia="宋体" w:hint="default"/>
        </w:rPr>
        <w:t>32.27%</w:t>
      </w:r>
      <w:r>
        <w:rPr/>
        <w:t>，系本期 被投资单位净利润变化所致。</w:t>
      </w:r>
    </w:p>
    <w:p>
      <w:pPr>
        <w:pStyle w:val="BodyText"/>
        <w:spacing w:line="357" w:lineRule="auto" w:before="36"/>
        <w:ind w:right="249" w:firstLine="479"/>
        <w:jc w:val="left"/>
      </w:pPr>
      <w:r>
        <w:rPr/>
        <w:t>（</w:t>
      </w:r>
      <w:r>
        <w:rPr>
          <w:rFonts w:ascii="宋体" w:hAnsi="宋体" w:cs="宋体" w:eastAsia="宋体" w:hint="default"/>
        </w:rPr>
        <w:t>8</w:t>
      </w:r>
      <w:r>
        <w:rPr/>
        <w:t>）在建工程期末余额</w:t>
      </w:r>
      <w:r>
        <w:rPr>
          <w:spacing w:val="-60"/>
        </w:rPr>
        <w:t> </w:t>
      </w:r>
      <w:r>
        <w:rPr>
          <w:rFonts w:ascii="宋体" w:hAnsi="宋体" w:cs="宋体" w:eastAsia="宋体" w:hint="default"/>
        </w:rPr>
        <w:t>194,250,236.00</w:t>
      </w:r>
      <w:r>
        <w:rPr>
          <w:rFonts w:ascii="宋体" w:hAnsi="宋体" w:cs="宋体" w:eastAsia="宋体" w:hint="default"/>
          <w:spacing w:val="-60"/>
        </w:rPr>
        <w:t> </w:t>
      </w:r>
      <w:r>
        <w:rPr/>
        <w:t>元，较期初增加</w:t>
      </w:r>
      <w:r>
        <w:rPr>
          <w:spacing w:val="-60"/>
        </w:rPr>
        <w:t> </w:t>
      </w:r>
      <w:r>
        <w:rPr>
          <w:rFonts w:ascii="宋体" w:hAnsi="宋体" w:cs="宋体" w:eastAsia="宋体" w:hint="default"/>
        </w:rPr>
        <w:t>100.00%</w:t>
      </w:r>
      <w:r>
        <w:rPr/>
        <w:t>，系本年购 入研发及办公房产尚未达到可使用状态所致。</w:t>
      </w:r>
    </w:p>
    <w:p>
      <w:pPr>
        <w:pStyle w:val="BodyText"/>
        <w:spacing w:line="357" w:lineRule="auto" w:before="36"/>
        <w:ind w:right="249" w:firstLine="479"/>
        <w:jc w:val="left"/>
      </w:pPr>
      <w:r>
        <w:rPr/>
        <w:t>（</w:t>
      </w:r>
      <w:r>
        <w:rPr>
          <w:rFonts w:ascii="宋体" w:hAnsi="宋体" w:cs="宋体" w:eastAsia="宋体" w:hint="default"/>
        </w:rPr>
        <w:t>9</w:t>
      </w:r>
      <w:r>
        <w:rPr/>
        <w:t>）开发支出期末余额</w:t>
      </w:r>
      <w:r>
        <w:rPr>
          <w:spacing w:val="-60"/>
        </w:rPr>
        <w:t> </w:t>
      </w:r>
      <w:r>
        <w:rPr>
          <w:rFonts w:ascii="宋体" w:hAnsi="宋体" w:cs="宋体" w:eastAsia="宋体" w:hint="default"/>
        </w:rPr>
        <w:t>636,057.08</w:t>
      </w:r>
      <w:r>
        <w:rPr>
          <w:rFonts w:ascii="宋体" w:hAnsi="宋体" w:cs="宋体" w:eastAsia="宋体" w:hint="default"/>
          <w:spacing w:val="-60"/>
        </w:rPr>
        <w:t> </w:t>
      </w:r>
      <w:r>
        <w:rPr/>
        <w:t>元，较期初增加</w:t>
      </w:r>
      <w:r>
        <w:rPr>
          <w:spacing w:val="-60"/>
        </w:rPr>
        <w:t> </w:t>
      </w:r>
      <w:r>
        <w:rPr>
          <w:rFonts w:ascii="宋体" w:hAnsi="宋体" w:cs="宋体" w:eastAsia="宋体" w:hint="default"/>
        </w:rPr>
        <w:t>100.00%</w:t>
      </w:r>
      <w:r>
        <w:rPr/>
        <w:t>，系公司启动服 务器层面的二三维一体化研发项目</w:t>
      </w:r>
      <w:r>
        <w:rPr>
          <w:spacing w:val="-60"/>
        </w:rPr>
        <w:t> </w:t>
      </w:r>
      <w:r>
        <w:rPr>
          <w:rFonts w:ascii="宋体" w:hAnsi="宋体" w:cs="宋体" w:eastAsia="宋体" w:hint="default"/>
        </w:rPr>
        <w:t>Supermap iServer 6.1x</w:t>
      </w:r>
      <w:r>
        <w:rPr>
          <w:rFonts w:ascii="宋体" w:hAnsi="宋体" w:cs="宋体" w:eastAsia="宋体" w:hint="default"/>
          <w:spacing w:val="-60"/>
        </w:rPr>
        <w:t> </w:t>
      </w:r>
      <w:r>
        <w:rPr/>
        <w:t>所致。</w:t>
      </w:r>
    </w:p>
    <w:p>
      <w:pPr>
        <w:spacing w:after="0" w:line="357" w:lineRule="auto"/>
        <w:jc w:val="left"/>
        <w:sectPr>
          <w:pgSz w:w="11910" w:h="16840"/>
          <w:pgMar w:header="0" w:footer="1007" w:top="1160" w:bottom="1200" w:left="1240" w:right="1260"/>
        </w:sectPr>
      </w:pPr>
    </w:p>
    <w:p>
      <w:pPr>
        <w:spacing w:line="240" w:lineRule="auto" w:before="0"/>
        <w:rPr>
          <w:rFonts w:ascii="宋体" w:hAnsi="宋体" w:cs="宋体" w:eastAsia="宋体" w:hint="default"/>
          <w:sz w:val="21"/>
          <w:szCs w:val="21"/>
        </w:rPr>
      </w:pPr>
    </w:p>
    <w:p>
      <w:pPr>
        <w:pStyle w:val="BodyText"/>
        <w:spacing w:line="357" w:lineRule="auto" w:before="26"/>
        <w:ind w:right="269" w:firstLine="479"/>
        <w:jc w:val="left"/>
      </w:pPr>
      <w:r>
        <w:rPr/>
        <w:t>（</w:t>
      </w:r>
      <w:r>
        <w:rPr>
          <w:rFonts w:ascii="宋体" w:hAnsi="宋体" w:cs="宋体" w:eastAsia="宋体" w:hint="default"/>
        </w:rPr>
        <w:t>10</w:t>
      </w:r>
      <w:r>
        <w:rPr/>
        <w:t>）长期待摊费用期末余额</w:t>
      </w:r>
      <w:r>
        <w:rPr>
          <w:spacing w:val="-60"/>
        </w:rPr>
        <w:t> </w:t>
      </w:r>
      <w:r>
        <w:rPr>
          <w:rFonts w:ascii="宋体" w:hAnsi="宋体" w:cs="宋体" w:eastAsia="宋体" w:hint="default"/>
        </w:rPr>
        <w:t>867,122.06</w:t>
      </w:r>
      <w:r>
        <w:rPr>
          <w:rFonts w:ascii="宋体" w:hAnsi="宋体" w:cs="宋体" w:eastAsia="宋体" w:hint="default"/>
          <w:spacing w:val="-60"/>
        </w:rPr>
        <w:t> </w:t>
      </w:r>
      <w:r>
        <w:rPr/>
        <w:t>元，较期初减少</w:t>
      </w:r>
      <w:r>
        <w:rPr>
          <w:spacing w:val="-60"/>
        </w:rPr>
        <w:t> </w:t>
      </w:r>
      <w:r>
        <w:rPr>
          <w:rFonts w:ascii="宋体" w:hAnsi="宋体" w:cs="宋体" w:eastAsia="宋体" w:hint="default"/>
        </w:rPr>
        <w:t>37.30%</w:t>
      </w:r>
      <w:r>
        <w:rPr/>
        <w:t>，系装修费 用本年摊销所致。</w:t>
      </w:r>
    </w:p>
    <w:p>
      <w:pPr>
        <w:pStyle w:val="BodyText"/>
        <w:spacing w:line="357" w:lineRule="auto" w:before="36"/>
        <w:ind w:right="269" w:firstLine="479"/>
        <w:jc w:val="left"/>
      </w:pPr>
      <w:r>
        <w:rPr/>
        <w:t>（</w:t>
      </w:r>
      <w:r>
        <w:rPr>
          <w:rFonts w:ascii="宋体" w:hAnsi="宋体" w:cs="宋体" w:eastAsia="宋体" w:hint="default"/>
        </w:rPr>
        <w:t>11</w:t>
      </w:r>
      <w:r>
        <w:rPr/>
        <w:t>）递延所得税资产期末余额</w:t>
      </w:r>
      <w:r>
        <w:rPr>
          <w:spacing w:val="-60"/>
        </w:rPr>
        <w:t> </w:t>
      </w:r>
      <w:r>
        <w:rPr>
          <w:rFonts w:ascii="宋体" w:hAnsi="宋体" w:cs="宋体" w:eastAsia="宋体" w:hint="default"/>
        </w:rPr>
        <w:t>5,268,178.32</w:t>
      </w:r>
      <w:r>
        <w:rPr>
          <w:rFonts w:ascii="宋体" w:hAnsi="宋体" w:cs="宋体" w:eastAsia="宋体" w:hint="default"/>
          <w:spacing w:val="-60"/>
        </w:rPr>
        <w:t> </w:t>
      </w:r>
      <w:r>
        <w:rPr/>
        <w:t>元，较期初增加</w:t>
      </w:r>
      <w:r>
        <w:rPr>
          <w:spacing w:val="-60"/>
        </w:rPr>
        <w:t> </w:t>
      </w:r>
      <w:r>
        <w:rPr>
          <w:rFonts w:ascii="宋体" w:hAnsi="宋体" w:cs="宋体" w:eastAsia="宋体" w:hint="default"/>
        </w:rPr>
        <w:t>33.14%</w:t>
      </w:r>
      <w:r>
        <w:rPr/>
        <w:t>，系坏 账准备增加导致可抵扣暂时性差异增加所致。</w:t>
      </w:r>
    </w:p>
    <w:p>
      <w:pPr>
        <w:pStyle w:val="BodyText"/>
        <w:spacing w:line="357" w:lineRule="auto" w:before="36"/>
        <w:ind w:right="269" w:firstLine="479"/>
        <w:jc w:val="left"/>
      </w:pPr>
      <w:r>
        <w:rPr/>
        <w:t>（</w:t>
      </w:r>
      <w:r>
        <w:rPr>
          <w:rFonts w:ascii="宋体" w:hAnsi="宋体" w:cs="宋体" w:eastAsia="宋体" w:hint="default"/>
        </w:rPr>
        <w:t>12</w:t>
      </w:r>
      <w:r>
        <w:rPr/>
        <w:t>）短期借款期末余额</w:t>
      </w:r>
      <w:r>
        <w:rPr>
          <w:spacing w:val="-60"/>
        </w:rPr>
        <w:t> </w:t>
      </w:r>
      <w:r>
        <w:rPr>
          <w:rFonts w:ascii="宋体" w:hAnsi="宋体" w:cs="宋体" w:eastAsia="宋体" w:hint="default"/>
        </w:rPr>
        <w:t>34,675,136.00</w:t>
      </w:r>
      <w:r>
        <w:rPr>
          <w:rFonts w:ascii="宋体" w:hAnsi="宋体" w:cs="宋体" w:eastAsia="宋体" w:hint="default"/>
          <w:spacing w:val="-60"/>
        </w:rPr>
        <w:t> </w:t>
      </w:r>
      <w:r>
        <w:rPr/>
        <w:t>元，较期初增加</w:t>
      </w:r>
      <w:r>
        <w:rPr>
          <w:spacing w:val="-60"/>
        </w:rPr>
        <w:t> </w:t>
      </w:r>
      <w:r>
        <w:rPr>
          <w:rFonts w:ascii="宋体" w:hAnsi="宋体" w:cs="宋体" w:eastAsia="宋体" w:hint="default"/>
        </w:rPr>
        <w:t>482.49%</w:t>
      </w:r>
      <w:r>
        <w:rPr/>
        <w:t>，系本年新 增借款所致。</w:t>
      </w:r>
    </w:p>
    <w:p>
      <w:pPr>
        <w:pStyle w:val="BodyText"/>
        <w:spacing w:line="357" w:lineRule="auto" w:before="36"/>
        <w:ind w:right="158" w:firstLine="479"/>
        <w:jc w:val="left"/>
      </w:pPr>
      <w:r>
        <w:rPr/>
        <w:t>（</w:t>
      </w:r>
      <w:r>
        <w:rPr>
          <w:rFonts w:ascii="宋体" w:hAnsi="宋体" w:cs="宋体" w:eastAsia="宋体" w:hint="default"/>
        </w:rPr>
        <w:t>13</w:t>
      </w:r>
      <w:r>
        <w:rPr/>
        <w:t>）预收款项期末余额</w:t>
      </w:r>
      <w:r>
        <w:rPr>
          <w:spacing w:val="-63"/>
        </w:rPr>
        <w:t> </w:t>
      </w:r>
      <w:r>
        <w:rPr>
          <w:rFonts w:ascii="宋体" w:hAnsi="宋体" w:cs="宋体" w:eastAsia="宋体" w:hint="default"/>
        </w:rPr>
        <w:t>23,160,163.96</w:t>
      </w:r>
      <w:r>
        <w:rPr>
          <w:rFonts w:ascii="宋体" w:hAnsi="宋体" w:cs="宋体" w:eastAsia="宋体" w:hint="default"/>
          <w:spacing w:val="-63"/>
        </w:rPr>
        <w:t> </w:t>
      </w:r>
      <w:r>
        <w:rPr/>
        <w:t>元，较期初减少</w:t>
      </w:r>
      <w:r>
        <w:rPr>
          <w:spacing w:val="-63"/>
        </w:rPr>
        <w:t> </w:t>
      </w:r>
      <w:r>
        <w:rPr>
          <w:rFonts w:ascii="宋体" w:hAnsi="宋体" w:cs="宋体" w:eastAsia="宋体" w:hint="default"/>
        </w:rPr>
        <w:t>46.84%</w:t>
      </w:r>
      <w:r>
        <w:rPr/>
        <w:t>，主要系本年 新增项目预收款减少所致。</w:t>
      </w:r>
    </w:p>
    <w:p>
      <w:pPr>
        <w:pStyle w:val="BodyText"/>
        <w:spacing w:line="357" w:lineRule="auto" w:before="36"/>
        <w:ind w:right="269" w:firstLine="479"/>
        <w:jc w:val="left"/>
      </w:pPr>
      <w:r>
        <w:rPr/>
        <w:t>（</w:t>
      </w:r>
      <w:r>
        <w:rPr>
          <w:rFonts w:ascii="宋体" w:hAnsi="宋体" w:cs="宋体" w:eastAsia="宋体" w:hint="default"/>
        </w:rPr>
        <w:t>14</w:t>
      </w:r>
      <w:r>
        <w:rPr/>
        <w:t>）应交税费期末余额</w:t>
      </w:r>
      <w:r>
        <w:rPr>
          <w:spacing w:val="-60"/>
        </w:rPr>
        <w:t> </w:t>
      </w:r>
      <w:r>
        <w:rPr>
          <w:rFonts w:ascii="宋体" w:hAnsi="宋体" w:cs="宋体" w:eastAsia="宋体" w:hint="default"/>
        </w:rPr>
        <w:t>7,596,293.26</w:t>
      </w:r>
      <w:r>
        <w:rPr>
          <w:rFonts w:ascii="宋体" w:hAnsi="宋体" w:cs="宋体" w:eastAsia="宋体" w:hint="default"/>
          <w:spacing w:val="-60"/>
        </w:rPr>
        <w:t> </w:t>
      </w:r>
      <w:r>
        <w:rPr/>
        <w:t>元，较期初减少</w:t>
      </w:r>
      <w:r>
        <w:rPr>
          <w:spacing w:val="-60"/>
        </w:rPr>
        <w:t> </w:t>
      </w:r>
      <w:r>
        <w:rPr>
          <w:rFonts w:ascii="宋体" w:hAnsi="宋体" w:cs="宋体" w:eastAsia="宋体" w:hint="default"/>
        </w:rPr>
        <w:t>53.53%</w:t>
      </w:r>
      <w:r>
        <w:rPr/>
        <w:t>，主要系待缴 所得税及营业税减少所致。</w:t>
      </w:r>
    </w:p>
    <w:p>
      <w:pPr>
        <w:pStyle w:val="BodyText"/>
        <w:spacing w:line="357" w:lineRule="auto" w:before="36"/>
        <w:ind w:right="269" w:firstLine="479"/>
        <w:jc w:val="left"/>
      </w:pPr>
      <w:r>
        <w:rPr/>
        <w:t>（</w:t>
      </w:r>
      <w:r>
        <w:rPr>
          <w:rFonts w:ascii="宋体" w:hAnsi="宋体" w:cs="宋体" w:eastAsia="宋体" w:hint="default"/>
        </w:rPr>
        <w:t>15</w:t>
      </w:r>
      <w:r>
        <w:rPr/>
        <w:t>）其他流动负债期末余额</w:t>
      </w:r>
      <w:r>
        <w:rPr>
          <w:spacing w:val="-60"/>
        </w:rPr>
        <w:t> </w:t>
      </w:r>
      <w:r>
        <w:rPr>
          <w:rFonts w:ascii="宋体" w:hAnsi="宋体" w:cs="宋体" w:eastAsia="宋体" w:hint="default"/>
        </w:rPr>
        <w:t>466,666.66</w:t>
      </w:r>
      <w:r>
        <w:rPr>
          <w:rFonts w:ascii="宋体" w:hAnsi="宋体" w:cs="宋体" w:eastAsia="宋体" w:hint="default"/>
          <w:spacing w:val="-60"/>
        </w:rPr>
        <w:t> </w:t>
      </w:r>
      <w:r>
        <w:rPr/>
        <w:t>元，较期初减少</w:t>
      </w:r>
      <w:r>
        <w:rPr>
          <w:spacing w:val="-60"/>
        </w:rPr>
        <w:t> </w:t>
      </w:r>
      <w:r>
        <w:rPr>
          <w:rFonts w:ascii="宋体" w:hAnsi="宋体" w:cs="宋体" w:eastAsia="宋体" w:hint="default"/>
        </w:rPr>
        <w:t>52.68%</w:t>
      </w:r>
      <w:r>
        <w:rPr/>
        <w:t>，系上年收 到的政府补助结转营业外收入所致。</w:t>
      </w:r>
    </w:p>
    <w:p>
      <w:pPr>
        <w:pStyle w:val="BodyText"/>
        <w:spacing w:line="357" w:lineRule="auto" w:before="36"/>
        <w:ind w:right="158" w:firstLine="479"/>
        <w:jc w:val="left"/>
      </w:pPr>
      <w:r>
        <w:rPr/>
        <w:t>（</w:t>
      </w:r>
      <w:r>
        <w:rPr>
          <w:rFonts w:ascii="宋体" w:hAnsi="宋体" w:cs="宋体" w:eastAsia="宋体" w:hint="default"/>
        </w:rPr>
        <w:t>16</w:t>
      </w:r>
      <w:r>
        <w:rPr/>
        <w:t>）其他非流动负债期末余额</w:t>
      </w:r>
      <w:r>
        <w:rPr>
          <w:spacing w:val="-63"/>
        </w:rPr>
        <w:t> </w:t>
      </w:r>
      <w:r>
        <w:rPr>
          <w:rFonts w:ascii="宋体" w:hAnsi="宋体" w:cs="宋体" w:eastAsia="宋体" w:hint="default"/>
        </w:rPr>
        <w:t>5,854,620.00</w:t>
      </w:r>
      <w:r>
        <w:rPr>
          <w:rFonts w:ascii="宋体" w:hAnsi="宋体" w:cs="宋体" w:eastAsia="宋体" w:hint="default"/>
          <w:spacing w:val="-63"/>
        </w:rPr>
        <w:t> </w:t>
      </w:r>
      <w:r>
        <w:rPr/>
        <w:t>元，较期初增加</w:t>
      </w:r>
      <w:r>
        <w:rPr>
          <w:spacing w:val="-63"/>
        </w:rPr>
        <w:t> </w:t>
      </w:r>
      <w:r>
        <w:rPr>
          <w:rFonts w:ascii="宋体" w:hAnsi="宋体" w:cs="宋体" w:eastAsia="宋体" w:hint="default"/>
        </w:rPr>
        <w:t>100.00%</w:t>
      </w:r>
      <w:r>
        <w:rPr/>
        <w:t>，系本 年收到需要递延确认的政府补助增加所致。</w:t>
      </w:r>
    </w:p>
    <w:p>
      <w:pPr>
        <w:pStyle w:val="BodyText"/>
        <w:spacing w:line="357" w:lineRule="auto" w:before="36"/>
        <w:ind w:right="89" w:firstLine="479"/>
        <w:jc w:val="left"/>
      </w:pPr>
      <w:r>
        <w:rPr/>
        <w:t>（</w:t>
      </w:r>
      <w:r>
        <w:rPr>
          <w:rFonts w:ascii="宋体" w:hAnsi="宋体" w:cs="宋体" w:eastAsia="宋体" w:hint="default"/>
        </w:rPr>
        <w:t>17</w:t>
      </w:r>
      <w:r>
        <w:rPr/>
        <w:t>）营业税金及附加本期发生额为</w:t>
      </w:r>
      <w:r>
        <w:rPr>
          <w:rFonts w:ascii="宋体" w:hAnsi="宋体" w:cs="宋体" w:eastAsia="宋体" w:hint="default"/>
        </w:rPr>
        <w:t>-2,350,318.62</w:t>
      </w:r>
      <w:r>
        <w:rPr>
          <w:rFonts w:ascii="宋体" w:hAnsi="宋体" w:cs="宋体" w:eastAsia="宋体" w:hint="default"/>
          <w:spacing w:val="-60"/>
        </w:rPr>
        <w:t> </w:t>
      </w:r>
      <w:r>
        <w:rPr/>
        <w:t>元，较上期较少</w:t>
      </w:r>
      <w:r>
        <w:rPr>
          <w:spacing w:val="-60"/>
        </w:rPr>
        <w:t> </w:t>
      </w:r>
      <w:r>
        <w:rPr>
          <w:rFonts w:ascii="宋体" w:hAnsi="宋体" w:cs="宋体" w:eastAsia="宋体" w:hint="default"/>
        </w:rPr>
        <w:t>134.79%</w:t>
      </w:r>
      <w:r>
        <w:rPr/>
        <w:t>， 主要系冲销本年度取得免税证明的未缴营业税及“营改增”政策需冲回的未缴营业 税所致。</w:t>
      </w:r>
    </w:p>
    <w:p>
      <w:pPr>
        <w:pStyle w:val="BodyText"/>
        <w:spacing w:line="357" w:lineRule="auto" w:before="36"/>
        <w:ind w:right="209" w:firstLine="479"/>
        <w:jc w:val="left"/>
      </w:pPr>
      <w:r>
        <w:rPr/>
        <w:t>（</w:t>
      </w:r>
      <w:r>
        <w:rPr>
          <w:rFonts w:ascii="宋体" w:hAnsi="宋体" w:cs="宋体" w:eastAsia="宋体" w:hint="default"/>
        </w:rPr>
        <w:t>18</w:t>
      </w:r>
      <w:r>
        <w:rPr/>
        <w:t>）财务费用本期发生额为</w:t>
      </w:r>
      <w:r>
        <w:rPr>
          <w:rFonts w:ascii="宋体" w:hAnsi="宋体" w:cs="宋体" w:eastAsia="宋体" w:hint="default"/>
        </w:rPr>
        <w:t>-1,967,552.94</w:t>
      </w:r>
      <w:r>
        <w:rPr>
          <w:rFonts w:ascii="宋体" w:hAnsi="宋体" w:cs="宋体" w:eastAsia="宋体" w:hint="default"/>
          <w:spacing w:val="-60"/>
        </w:rPr>
        <w:t> </w:t>
      </w:r>
      <w:r>
        <w:rPr/>
        <w:t>元，较上期增加</w:t>
      </w:r>
      <w:r>
        <w:rPr>
          <w:spacing w:val="-60"/>
        </w:rPr>
        <w:t> </w:t>
      </w:r>
      <w:r>
        <w:rPr>
          <w:rFonts w:ascii="宋体" w:hAnsi="宋体" w:cs="宋体" w:eastAsia="宋体" w:hint="default"/>
        </w:rPr>
        <w:t>72.37%</w:t>
      </w:r>
      <w:r>
        <w:rPr/>
        <w:t>，主要系 利息收入减少所致。</w:t>
      </w:r>
    </w:p>
    <w:p>
      <w:pPr>
        <w:pStyle w:val="BodyText"/>
        <w:spacing w:line="357" w:lineRule="auto" w:before="36"/>
        <w:ind w:right="185" w:firstLine="479"/>
        <w:jc w:val="left"/>
      </w:pPr>
      <w:r>
        <w:rPr/>
        <w:t>（</w:t>
      </w:r>
      <w:r>
        <w:rPr>
          <w:rFonts w:ascii="宋体" w:hAnsi="宋体" w:cs="宋体" w:eastAsia="宋体" w:hint="default"/>
        </w:rPr>
        <w:t>19</w:t>
      </w:r>
      <w:r>
        <w:rPr/>
        <w:t>）资产减值损失本期发生额为</w:t>
      </w:r>
      <w:r>
        <w:rPr>
          <w:rFonts w:ascii="宋体" w:hAnsi="宋体" w:cs="宋体" w:eastAsia="宋体" w:hint="default"/>
        </w:rPr>
        <w:t>-1,351,334.36</w:t>
      </w:r>
      <w:r>
        <w:rPr>
          <w:rFonts w:ascii="宋体" w:hAnsi="宋体" w:cs="宋体" w:eastAsia="宋体" w:hint="default"/>
          <w:spacing w:val="-67"/>
        </w:rPr>
        <w:t> </w:t>
      </w:r>
      <w:r>
        <w:rPr>
          <w:spacing w:val="-4"/>
        </w:rPr>
        <w:t>元，较上期减少</w:t>
      </w:r>
      <w:r>
        <w:rPr>
          <w:spacing w:val="-67"/>
        </w:rPr>
        <w:t> </w:t>
      </w:r>
      <w:r>
        <w:rPr>
          <w:rFonts w:ascii="宋体" w:hAnsi="宋体" w:cs="宋体" w:eastAsia="宋体" w:hint="default"/>
          <w:spacing w:val="-6"/>
        </w:rPr>
        <w:t>112.84%</w:t>
      </w:r>
      <w:r>
        <w:rPr>
          <w:spacing w:val="-6"/>
        </w:rPr>
        <w:t>，主</w:t>
      </w:r>
      <w:r>
        <w:rPr>
          <w:spacing w:val="-24"/>
        </w:rPr>
        <w:t> </w:t>
      </w:r>
      <w:r>
        <w:rPr/>
        <w:t>要系本期应收款项坏账准备减少所致。</w:t>
      </w:r>
    </w:p>
    <w:p>
      <w:pPr>
        <w:pStyle w:val="BodyText"/>
        <w:spacing w:line="357" w:lineRule="auto" w:before="37"/>
        <w:ind w:right="158" w:firstLine="479"/>
        <w:jc w:val="left"/>
      </w:pPr>
      <w:r>
        <w:rPr/>
        <w:t>（</w:t>
      </w:r>
      <w:r>
        <w:rPr>
          <w:rFonts w:ascii="宋体" w:hAnsi="宋体" w:cs="宋体" w:eastAsia="宋体" w:hint="default"/>
        </w:rPr>
        <w:t>20</w:t>
      </w:r>
      <w:r>
        <w:rPr/>
        <w:t>）投资收益本期发生额为</w:t>
      </w:r>
      <w:r>
        <w:rPr>
          <w:spacing w:val="-63"/>
        </w:rPr>
        <w:t> </w:t>
      </w:r>
      <w:r>
        <w:rPr>
          <w:rFonts w:ascii="宋体" w:hAnsi="宋体" w:cs="宋体" w:eastAsia="宋体" w:hint="default"/>
        </w:rPr>
        <w:t>4,732,467.17</w:t>
      </w:r>
      <w:r>
        <w:rPr>
          <w:rFonts w:ascii="宋体" w:hAnsi="宋体" w:cs="宋体" w:eastAsia="宋体" w:hint="default"/>
          <w:spacing w:val="-63"/>
        </w:rPr>
        <w:t> </w:t>
      </w:r>
      <w:r>
        <w:rPr/>
        <w:t>元，较上期增加</w:t>
      </w:r>
      <w:r>
        <w:rPr>
          <w:spacing w:val="-63"/>
        </w:rPr>
        <w:t> </w:t>
      </w:r>
      <w:r>
        <w:rPr>
          <w:rFonts w:ascii="宋体" w:hAnsi="宋体" w:cs="宋体" w:eastAsia="宋体" w:hint="default"/>
        </w:rPr>
        <w:t>242.22%</w:t>
      </w:r>
      <w:r>
        <w:rPr/>
        <w:t>，主要系 本期被投资单位净利润变化所致。</w:t>
      </w:r>
    </w:p>
    <w:p>
      <w:pPr>
        <w:pStyle w:val="BodyText"/>
        <w:spacing w:line="357" w:lineRule="auto" w:before="36"/>
        <w:ind w:right="162" w:firstLine="479"/>
        <w:jc w:val="left"/>
      </w:pPr>
      <w:r>
        <w:rPr/>
        <w:t>（</w:t>
      </w:r>
      <w:r>
        <w:rPr>
          <w:rFonts w:ascii="宋体" w:hAnsi="宋体" w:cs="宋体" w:eastAsia="宋体" w:hint="default"/>
        </w:rPr>
        <w:t>21</w:t>
      </w:r>
      <w:r>
        <w:rPr/>
        <w:t>）所得税费用本期发生额为</w:t>
      </w:r>
      <w:r>
        <w:rPr>
          <w:rFonts w:ascii="宋体" w:hAnsi="宋体" w:cs="宋体" w:eastAsia="宋体" w:hint="default"/>
        </w:rPr>
        <w:t>-608,365.73</w:t>
      </w:r>
      <w:r>
        <w:rPr>
          <w:rFonts w:ascii="宋体" w:hAnsi="宋体" w:cs="宋体" w:eastAsia="宋体" w:hint="default"/>
          <w:spacing w:val="-66"/>
        </w:rPr>
        <w:t> </w:t>
      </w:r>
      <w:r>
        <w:rPr>
          <w:spacing w:val="-4"/>
        </w:rPr>
        <w:t>元，较上期减少</w:t>
      </w:r>
      <w:r>
        <w:rPr>
          <w:spacing w:val="-66"/>
        </w:rPr>
        <w:t> </w:t>
      </w:r>
      <w:r>
        <w:rPr>
          <w:rFonts w:ascii="宋体" w:hAnsi="宋体" w:cs="宋体" w:eastAsia="宋体" w:hint="default"/>
          <w:spacing w:val="-3"/>
        </w:rPr>
        <w:t>109.19%</w:t>
      </w:r>
      <w:r>
        <w:rPr>
          <w:spacing w:val="-3"/>
        </w:rPr>
        <w:t>，主要系</w:t>
      </w:r>
      <w:r>
        <w:rPr/>
        <w:t> 本期收入及毛利下降、费用有所提高，应纳税所得额减少所致。</w:t>
      </w:r>
    </w:p>
    <w:p>
      <w:pPr>
        <w:spacing w:after="0" w:line="357" w:lineRule="auto"/>
        <w:jc w:val="left"/>
        <w:sectPr>
          <w:pgSz w:w="11910" w:h="16840"/>
          <w:pgMar w:header="0" w:footer="1007" w:top="1160" w:bottom="1200" w:left="1240" w:right="1240"/>
        </w:sectPr>
      </w:pPr>
    </w:p>
    <w:p>
      <w:pPr>
        <w:spacing w:line="240" w:lineRule="auto" w:before="6"/>
        <w:rPr>
          <w:rFonts w:ascii="宋体" w:hAnsi="宋体" w:cs="宋体" w:eastAsia="宋体" w:hint="default"/>
          <w:sz w:val="22"/>
          <w:szCs w:val="22"/>
        </w:rPr>
      </w:pPr>
    </w:p>
    <w:p>
      <w:pPr>
        <w:pStyle w:val="Heading1"/>
        <w:tabs>
          <w:tab w:pos="4542" w:val="left" w:leader="none"/>
        </w:tabs>
        <w:spacing w:line="460" w:lineRule="exact"/>
        <w:ind w:left="3095" w:right="0"/>
        <w:jc w:val="left"/>
        <w:rPr>
          <w:b w:val="0"/>
          <w:bCs w:val="0"/>
        </w:rPr>
      </w:pPr>
      <w:bookmarkStart w:name="_bookmark118" w:id="119"/>
      <w:bookmarkEnd w:id="119"/>
      <w:r>
        <w:rPr>
          <w:b w:val="0"/>
          <w:bCs w:val="0"/>
        </w:rPr>
      </w:r>
      <w:r>
        <w:rPr>
          <w:w w:val="95"/>
        </w:rPr>
        <w:t>第十节</w:t>
        <w:tab/>
      </w:r>
      <w:r>
        <w:rPr/>
        <w:t>备查文件目录</w:t>
      </w:r>
      <w:r>
        <w:rPr>
          <w:b w:val="0"/>
          <w:bCs w:val="0"/>
        </w:rPr>
      </w:r>
    </w:p>
    <w:p>
      <w:pPr>
        <w:spacing w:line="240" w:lineRule="auto" w:before="12"/>
        <w:rPr>
          <w:rFonts w:ascii="宋体" w:hAnsi="宋体" w:cs="宋体" w:eastAsia="宋体" w:hint="default"/>
          <w:b/>
          <w:bCs/>
          <w:sz w:val="36"/>
          <w:szCs w:val="36"/>
        </w:rPr>
      </w:pPr>
    </w:p>
    <w:p>
      <w:pPr>
        <w:pStyle w:val="BodyText"/>
        <w:spacing w:line="357" w:lineRule="auto"/>
        <w:ind w:right="0" w:firstLine="479"/>
        <w:jc w:val="left"/>
      </w:pPr>
      <w:r>
        <w:rPr/>
        <w:t>一、载有法定代表人钟耳顺先生、主管会计工作负责人、会计机构负责人签名 并盖章的财务报告文本。</w:t>
      </w:r>
    </w:p>
    <w:p>
      <w:pPr>
        <w:pStyle w:val="BodyText"/>
        <w:spacing w:line="357" w:lineRule="auto" w:before="36"/>
        <w:ind w:left="1038" w:right="888"/>
        <w:jc w:val="left"/>
      </w:pPr>
      <w:r>
        <w:rPr/>
        <w:t>二、载有会计师事务所盖章、注册会计师签名并盖章的审计报告原件。 三、报告期内在中国证监会指定报纸上公开披露过的所有公司文件。 四、其他相关资料。 以上备查文件的备置地点：公司证券与法务部办公室</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1"/>
        <w:rPr>
          <w:rFonts w:ascii="宋体" w:hAnsi="宋体" w:cs="宋体" w:eastAsia="宋体" w:hint="default"/>
          <w:sz w:val="25"/>
          <w:szCs w:val="25"/>
        </w:rPr>
      </w:pPr>
    </w:p>
    <w:p>
      <w:pPr>
        <w:pStyle w:val="Heading4"/>
        <w:spacing w:line="240" w:lineRule="auto"/>
        <w:ind w:left="0" w:right="136"/>
        <w:jc w:val="right"/>
        <w:rPr>
          <w:b w:val="0"/>
          <w:bCs w:val="0"/>
        </w:rPr>
      </w:pPr>
      <w:r>
        <w:rPr>
          <w:w w:val="95"/>
        </w:rPr>
        <w:t>北京超图软件股份有限公司董事会</w:t>
      </w:r>
      <w:r>
        <w:rPr>
          <w:b w:val="0"/>
          <w:bCs w:val="0"/>
        </w:rPr>
      </w:r>
    </w:p>
    <w:p>
      <w:pPr>
        <w:spacing w:before="154"/>
        <w:ind w:left="0" w:right="134" w:firstLine="0"/>
        <w:jc w:val="right"/>
        <w:rPr>
          <w:rFonts w:ascii="宋体" w:hAnsi="宋体" w:cs="宋体" w:eastAsia="宋体" w:hint="default"/>
          <w:sz w:val="24"/>
          <w:szCs w:val="24"/>
        </w:rPr>
      </w:pPr>
      <w:r>
        <w:rPr>
          <w:rFonts w:ascii="Times New Roman" w:hAnsi="Times New Roman" w:cs="Times New Roman" w:eastAsia="Times New Roman" w:hint="default"/>
          <w:b/>
          <w:bCs/>
          <w:sz w:val="24"/>
          <w:szCs w:val="24"/>
        </w:rPr>
        <w:t>2013</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年</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4</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月</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15</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日</w:t>
      </w:r>
      <w:r>
        <w:rPr>
          <w:rFonts w:ascii="宋体" w:hAnsi="宋体" w:cs="宋体" w:eastAsia="宋体" w:hint="default"/>
          <w:sz w:val="24"/>
          <w:szCs w:val="24"/>
        </w:rPr>
      </w:r>
    </w:p>
    <w:sectPr>
      <w:footerReference w:type="default" r:id="rId64"/>
      <w:pgSz w:w="11910" w:h="16840"/>
      <w:pgMar w:footer="1007" w:header="0" w:top="1160" w:bottom="1200" w:left="1240" w:right="1280"/>
      <w:pgNumType w:star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 w:name="Wingdings">
    <w:altName w:val="Wingdings"/>
    <w:charset w:val="2"/>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010010pt;margin-top:780.559998pt;width:9.4pt;height:12.6pt;mso-position-horizontal-relative:page;mso-position-vertical-relative:page;z-index:-918664"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w w:val="100"/>
                    <w:sz w:val="21"/>
                  </w:rPr>
                  <w:instrText> PAGE </w:instrText>
                </w:r>
                <w:r>
                  <w:rPr/>
                  <w:fldChar w:fldCharType="separate"/>
                </w:r>
                <w:r>
                  <w:rPr/>
                  <w:t>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0.559998pt;width:14.85pt;height:12.6pt;mso-position-horizontal-relative:page;mso-position-vertical-relative:page;z-index:-918256"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41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0.559998pt;width:14.85pt;height:12.6pt;mso-position-horizontal-relative:page;mso-position-vertical-relative:page;z-index:-918232"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44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0.559998pt;width:14.85pt;height:12.6pt;mso-position-horizontal-relative:page;mso-position-vertical-relative:page;z-index:-918208"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50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25pt;margin-top:780.559998pt;width:24.45pt;height:12.6pt;mso-position-horizontal-relative:page;mso-position-vertical-relative:page;z-index:-918184"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60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850006pt;margin-top:780.559998pt;width:12.8pt;height:12.6pt;mso-position-horizontal-relative:page;mso-position-vertical-relative:page;z-index:-918064"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70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850006pt;margin-top:780.559998pt;width:12.8pt;height:12.6pt;mso-position-horizontal-relative:page;mso-position-vertical-relative:page;z-index:-918040"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71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850006pt;margin-top:780.559998pt;width:14.85pt;height:12.6pt;mso-position-horizontal-relative:page;mso-position-vertical-relative:page;z-index:-918016"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72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850006pt;margin-top:780.559998pt;width:14.85pt;height:12.6pt;mso-position-horizontal-relative:page;mso-position-vertical-relative:page;z-index:-917992"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73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0.850006pt;margin-top:780.559998pt;width:12.8pt;height:12.6pt;mso-position-horizontal-relative:page;mso-position-vertical-relative:page;z-index:-917968"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80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010010pt;margin-top:780.559998pt;width:13pt;height:12.6pt;mso-position-horizontal-relative:page;mso-position-vertical-relative:page;z-index:-918640"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w w:val="100"/>
                    <w:sz w:val="21"/>
                  </w:rPr>
                  <w:instrText> PAGE </w:instrText>
                </w:r>
                <w:r>
                  <w:rPr/>
                  <w:fldChar w:fldCharType="separate"/>
                </w:r>
                <w:r>
                  <w:rPr/>
                  <w:t>4</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850006pt;margin-top:780.559998pt;width:14.85pt;height:12.6pt;mso-position-horizontal-relative:page;mso-position-vertical-relative:page;z-index:-917944"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81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149994pt;margin-top:533.936035pt;width:14.85pt;height:12.6pt;mso-position-horizontal-relative:page;mso-position-vertical-relative:page;z-index:-917824"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88</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149994pt;margin-top:533.936035pt;width:12.8pt;height:12.6pt;mso-position-horizontal-relative:page;mso-position-vertical-relative:page;z-index:-917800"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90</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149994pt;margin-top:533.936035pt;width:14.85pt;height:12.6pt;mso-position-horizontal-relative:page;mso-position-vertical-relative:page;z-index:-917776"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91</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850006pt;margin-top:780.559998pt;width:14.85pt;height:12.6pt;mso-position-horizontal-relative:page;mso-position-vertical-relative:page;z-index:-917656"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94</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09991pt;margin-top:780.559998pt;width:20.05pt;height:12.6pt;mso-position-horizontal-relative:page;mso-position-vertical-relative:page;z-index:-917632"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100</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09991pt;margin-top:780.559998pt;width:20.05pt;height:12.6pt;mso-position-horizontal-relative:page;mso-position-vertical-relative:page;z-index:-917608"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111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51001pt;margin-top:533.936035pt;width:20.05pt;height:12.6pt;mso-position-horizontal-relative:page;mso-position-vertical-relative:page;z-index:-917488"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118</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09991pt;margin-top:780.559998pt;width:20.05pt;height:12.6pt;mso-position-horizontal-relative:page;mso-position-vertical-relative:page;z-index:-917368"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120</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09991pt;margin-top:780.559998pt;width:20.05pt;height:12.6pt;mso-position-horizontal-relative:page;mso-position-vertical-relative:page;z-index:-917344"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130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70001pt;margin-top:780.559998pt;width:12.8pt;height:12.6pt;mso-position-horizontal-relative:page;mso-position-vertical-relative:page;z-index:-918616"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10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0.51001pt;margin-top:533.936035pt;width:20.05pt;height:12.6pt;mso-position-horizontal-relative:page;mso-position-vertical-relative:page;z-index:-917224"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132</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09991pt;margin-top:780.559998pt;width:20.05pt;height:12.6pt;mso-position-horizontal-relative:page;mso-position-vertical-relative:page;z-index:-917104"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134</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09991pt;margin-top:780.559998pt;width:20.05pt;height:12.6pt;mso-position-horizontal-relative:page;mso-position-vertical-relative:page;z-index:-917080"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140</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09991pt;margin-top:780.559998pt;width:20.05pt;height:12.6pt;mso-position-horizontal-relative:page;mso-position-vertical-relative:page;z-index:-917056"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150</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09991pt;margin-top:780.559998pt;width:20.05pt;height:12.6pt;mso-position-horizontal-relative:page;mso-position-vertical-relative:page;z-index:-917032"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160</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09991pt;margin-top:780.559998pt;width:20.05pt;height:12.6pt;mso-position-horizontal-relative:page;mso-position-vertical-relative:page;z-index:-917008"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162</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09991pt;margin-top:780.559998pt;width:20.05pt;height:12.6pt;mso-position-horizontal-relative:page;mso-position-vertical-relative:page;z-index:-916984"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170</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09991pt;margin-top:780.559998pt;width:20.05pt;height:12.6pt;mso-position-horizontal-relative:page;mso-position-vertical-relative:page;z-index:-916960"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175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0.559998pt;width:14.85pt;height:12.6pt;mso-position-horizontal-relative:page;mso-position-vertical-relative:page;z-index:-918592"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11</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7.209991pt;margin-top:780.559998pt;width:20.05pt;height:12.6pt;mso-position-horizontal-relative:page;mso-position-vertical-relative:page;z-index:-916936"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180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70001pt;margin-top:780.559998pt;width:12.8pt;height:12.6pt;mso-position-horizontal-relative:page;mso-position-vertical-relative:page;z-index:-918568"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20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0.559998pt;width:14.85pt;height:12.6pt;mso-position-horizontal-relative:page;mso-position-vertical-relative:page;z-index:-918544"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21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630005pt;margin-top:533.936035pt;width:14.85pt;height:12.6pt;mso-position-horizontal-relative:page;mso-position-vertical-relative:page;z-index:-918424"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26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970001pt;margin-top:780.559998pt;width:14.85pt;height:12.6pt;mso-position-horizontal-relative:page;mso-position-vertical-relative:page;z-index:-918304" type="#_x0000_t202" filled="false" stroked="false">
          <v:textbox inset="0,0,0,0">
            <w:txbxContent>
              <w:p>
                <w:pPr>
                  <w:spacing w:line="235" w:lineRule="exact" w:before="0"/>
                  <w:ind w:left="40" w:right="0" w:firstLine="0"/>
                  <w:jc w:val="left"/>
                  <w:rPr>
                    <w:rFonts w:ascii="Calibri" w:hAnsi="Calibri" w:cs="Calibri" w:eastAsia="Calibri" w:hint="default"/>
                    <w:sz w:val="21"/>
                    <w:szCs w:val="21"/>
                  </w:rPr>
                </w:pPr>
                <w:r>
                  <w:rPr>
                    <w:rFonts w:ascii="Calibri"/>
                    <w:w w:val="100"/>
                    <w:sz w:val="21"/>
                  </w:rPr>
                </w:r>
                <w:r>
                  <w:rPr/>
                  <w:fldChar w:fldCharType="begin"/>
                </w:r>
                <w:r>
                  <w:rPr>
                    <w:rFonts w:ascii="Calibri"/>
                    <w:sz w:val="21"/>
                  </w:rPr>
                  <w:instrText> PAGE </w:instrText>
                </w:r>
                <w:r>
                  <w:rPr/>
                  <w:fldChar w:fldCharType="separate"/>
                </w:r>
                <w:r>
                  <w:rPr/>
                  <w:t>30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970001pt;margin-top:780.559998pt;width:12.8pt;height:12.6pt;mso-position-horizontal-relative:page;mso-position-vertical-relative:page;z-index:-918280"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40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7.599983pt;width:484.9pt;height:.1pt;mso-position-horizontal-relative:page;mso-position-vertical-relative:page;z-index:-918760" coordorigin="1104,1152" coordsize="9698,2">
          <v:shape style="position:absolute;left:1104;top:1152;width:9698;height:2" coordorigin="1104,1152" coordsize="9698,0" path="m1104,1152l10802,115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62.863998pt;margin-top:43.204983pt;width:128.15pt;height:12.6pt;mso-position-horizontal-relative:page;mso-position-vertical-relative:page;z-index:-91873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25.506958pt;margin-top:43.204983pt;width:68.350pt;height:13.75pt;mso-position-horizontal-relative:page;mso-position-vertical-relative:page;z-index:-918712"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10"/>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73.010010pt;margin-top:44.359982pt;width:34pt;height:12.6pt;mso-position-horizontal-relative:page;mso-position-vertical-relative:page;z-index:-918688"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48pt;margin-top:58.560009pt;width:723pt;height:.1pt;mso-position-horizontal-relative:page;mso-position-vertical-relative:page;z-index:-917320" coordorigin="970,1171" coordsize="14460,2">
          <v:shape style="position:absolute;left:970;top:1171;width:14460;height:2" coordorigin="970,1171" coordsize="14460,0" path="m970,1171l15430,1171e" filled="false" stroked="true" strokeweight=".72pt" strokecolor="#000000">
            <v:path arrowok="t"/>
          </v:shape>
          <w10:wrap type="none"/>
        </v:group>
      </w:pict>
    </w:r>
    <w:r>
      <w:rPr/>
      <w:pict>
        <v:shape style="position:absolute;margin-left:48.919998pt;margin-top:43.205006pt;width:128.2pt;height:12.6pt;mso-position-horizontal-relative:page;mso-position-vertical-relative:page;z-index:-91729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19.429993pt;margin-top:43.205006pt;width:68.05pt;height:13.75pt;mso-position-horizontal-relative:page;mso-position-vertical-relative:page;z-index:-917272"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3"/>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61.609985pt;margin-top:44.360008pt;width:34pt;height:12.6pt;mso-position-horizontal-relative:page;mso-position-vertical-relative:page;z-index:-917248"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7.463997pt;margin-top:58.559982pt;width:458.5pt;height:.1pt;mso-position-horizontal-relative:page;mso-position-vertical-relative:page;z-index:-917200" coordorigin="1349,1171" coordsize="9170,2">
          <v:shape style="position:absolute;left:1349;top:1171;width:9170;height:2" coordorigin="1349,1171" coordsize="9170,0" path="m1349,1171l10519,1171e" filled="false" stroked="true" strokeweight=".72pt" strokecolor="#000000">
            <v:path arrowok="t"/>
          </v:shape>
          <w10:wrap type="none"/>
        </v:group>
      </w:pict>
    </w:r>
    <w:r>
      <w:rPr/>
      <w:pict>
        <v:shape style="position:absolute;margin-left:67.903999pt;margin-top:43.204983pt;width:128.15pt;height:12.6pt;mso-position-horizontal-relative:page;mso-position-vertical-relative:page;z-index:-91717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38.390015pt;margin-top:43.204983pt;width:68.05pt;height:13.75pt;mso-position-horizontal-relative:page;mso-position-vertical-relative:page;z-index:-917152"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4"/>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80.570007pt;margin-top:44.359982pt;width:34pt;height:12.6pt;mso-position-horizontal-relative:page;mso-position-vertical-relative:page;z-index:-917128"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7.600006pt;width:700.95pt;height:.1pt;mso-position-horizontal-relative:page;mso-position-vertical-relative:page;z-index:-918520" coordorigin="1411,1152" coordsize="14019,2">
          <v:shape style="position:absolute;left:1411;top:1152;width:14019;height:2" coordorigin="1411,1152" coordsize="14019,0" path="m1411,1152l15430,1152e" filled="false" stroked="true" strokeweight=".72pt" strokecolor="#000000">
            <v:path arrowok="t"/>
          </v:shape>
          <w10:wrap type="none"/>
        </v:group>
      </w:pict>
    </w:r>
    <w:r>
      <w:rPr/>
      <w:pict>
        <v:shape style="position:absolute;margin-left:71pt;margin-top:43.205006pt;width:128.15pt;height:12.6pt;mso-position-horizontal-relative:page;mso-position-vertical-relative:page;z-index:-91849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33.666962pt;margin-top:43.205006pt;width:68.3pt;height:13.75pt;mso-position-horizontal-relative:page;mso-position-vertical-relative:page;z-index:-918472"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9"/>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81.170013pt;margin-top:44.360008pt;width:34pt;height:12.6pt;mso-position-horizontal-relative:page;mso-position-vertical-relative:page;z-index:-918448"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7.599983pt;width:477.85pt;height:.1pt;mso-position-horizontal-relative:page;mso-position-vertical-relative:page;z-index:-918400" coordorigin="1248,1152" coordsize="9557,2">
          <v:shape style="position:absolute;left:1248;top:1152;width:9557;height:2" coordorigin="1248,1152" coordsize="9557,0" path="m1248,1152l10804,1152e" filled="false" stroked="true" strokeweight=".72pt" strokecolor="#000000">
            <v:path arrowok="t"/>
          </v:shape>
          <w10:wrap type="none"/>
        </v:group>
      </w:pict>
    </w:r>
    <w:r>
      <w:rPr/>
      <w:pict>
        <v:shape style="position:absolute;margin-left:55.639999pt;margin-top:43.204983pt;width:128.15pt;height:12.6pt;mso-position-horizontal-relative:page;mso-position-vertical-relative:page;z-index:-91837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18.306976pt;margin-top:43.204983pt;width:68.3pt;height:13.75pt;mso-position-horizontal-relative:page;mso-position-vertical-relative:page;z-index:-918352"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9"/>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65.809998pt;margin-top:44.359982pt;width:34pt;height:12.6pt;mso-position-horizontal-relative:page;mso-position-vertical-relative:page;z-index:-918328"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7.463997pt;margin-top:58.559982pt;width:458.5pt;height:.1pt;mso-position-horizontal-relative:page;mso-position-vertical-relative:page;z-index:-918160" coordorigin="1349,1171" coordsize="9170,2">
          <v:shape style="position:absolute;left:1349;top:1171;width:9170;height:2" coordorigin="1349,1171" coordsize="9170,0" path="m1349,1171l10519,1171e" filled="false" stroked="true" strokeweight=".72pt" strokecolor="#000000">
            <v:path arrowok="t"/>
          </v:shape>
          <w10:wrap type="none"/>
        </v:group>
      </w:pict>
    </w:r>
    <w:r>
      <w:rPr/>
      <w:pict>
        <v:shape style="position:absolute;margin-left:67.903999pt;margin-top:43.204983pt;width:128.15pt;height:12.6pt;mso-position-horizontal-relative:page;mso-position-vertical-relative:page;z-index:-91813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38.390015pt;margin-top:43.204983pt;width:68.05pt;height:13.75pt;mso-position-horizontal-relative:page;mso-position-vertical-relative:page;z-index:-918112"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4"/>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80.570007pt;margin-top:44.359982pt;width:34pt;height:12.6pt;mso-position-horizontal-relative:page;mso-position-vertical-relative:page;z-index:-918088"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48pt;margin-top:58.560009pt;width:723pt;height:.1pt;mso-position-horizontal-relative:page;mso-position-vertical-relative:page;z-index:-917920" coordorigin="970,1171" coordsize="14460,2">
          <v:shape style="position:absolute;left:970;top:1171;width:14460;height:2" coordorigin="970,1171" coordsize="14460,0" path="m970,1171l15430,1171e" filled="false" stroked="true" strokeweight=".72pt" strokecolor="#000000">
            <v:path arrowok="t"/>
          </v:shape>
          <w10:wrap type="none"/>
        </v:group>
      </w:pict>
    </w:r>
    <w:r>
      <w:rPr/>
      <w:pict>
        <v:shape style="position:absolute;margin-left:48.919998pt;margin-top:43.205006pt;width:128.2pt;height:12.6pt;mso-position-horizontal-relative:page;mso-position-vertical-relative:page;z-index:-917896"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19.429993pt;margin-top:43.205006pt;width:68.05pt;height:13.75pt;mso-position-horizontal-relative:page;mso-position-vertical-relative:page;z-index:-917872"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3"/>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61.609985pt;margin-top:44.360008pt;width:34pt;height:12.6pt;mso-position-horizontal-relative:page;mso-position-vertical-relative:page;z-index:-917848"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7.463997pt;margin-top:58.559982pt;width:458.5pt;height:.1pt;mso-position-horizontal-relative:page;mso-position-vertical-relative:page;z-index:-917752" coordorigin="1349,1171" coordsize="9170,2">
          <v:shape style="position:absolute;left:1349;top:1171;width:9170;height:2" coordorigin="1349,1171" coordsize="9170,0" path="m1349,1171l10519,1171e" filled="false" stroked="true" strokeweight=".72pt" strokecolor="#000000">
            <v:path arrowok="t"/>
          </v:shape>
          <w10:wrap type="none"/>
        </v:group>
      </w:pict>
    </w:r>
    <w:r>
      <w:rPr/>
      <w:pict>
        <v:shape style="position:absolute;margin-left:67.903999pt;margin-top:43.204983pt;width:128.15pt;height:12.6pt;mso-position-horizontal-relative:page;mso-position-vertical-relative:page;z-index:-917728"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38.390015pt;margin-top:43.204983pt;width:68.05pt;height:13.75pt;mso-position-horizontal-relative:page;mso-position-vertical-relative:page;z-index:-917704"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4"/>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80.570007pt;margin-top:44.359982pt;width:34pt;height:12.6pt;mso-position-horizontal-relative:page;mso-position-vertical-relative:page;z-index:-917680"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8.48pt;margin-top:58.560009pt;width:723pt;height:.1pt;mso-position-horizontal-relative:page;mso-position-vertical-relative:page;z-index:-917584" coordorigin="970,1171" coordsize="14460,2">
          <v:shape style="position:absolute;left:970;top:1171;width:14460;height:2" coordorigin="970,1171" coordsize="14460,0" path="m970,1171l15430,1171e" filled="false" stroked="true" strokeweight=".72pt" strokecolor="#000000">
            <v:path arrowok="t"/>
          </v:shape>
          <w10:wrap type="none"/>
        </v:group>
      </w:pict>
    </w:r>
    <w:r>
      <w:rPr/>
      <w:pict>
        <v:shape style="position:absolute;margin-left:48.919998pt;margin-top:43.205006pt;width:128.2pt;height:12.6pt;mso-position-horizontal-relative:page;mso-position-vertical-relative:page;z-index:-91756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19.429993pt;margin-top:43.205006pt;width:68.05pt;height:13.75pt;mso-position-horizontal-relative:page;mso-position-vertical-relative:page;z-index:-917536"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3"/>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61.609985pt;margin-top:44.360008pt;width:34pt;height:12.6pt;mso-position-horizontal-relative:page;mso-position-vertical-relative:page;z-index:-917512"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7.463997pt;margin-top:58.559982pt;width:458.5pt;height:.1pt;mso-position-horizontal-relative:page;mso-position-vertical-relative:page;z-index:-917464" coordorigin="1349,1171" coordsize="9170,2">
          <v:shape style="position:absolute;left:1349;top:1171;width:9170;height:2" coordorigin="1349,1171" coordsize="9170,0" path="m1349,1171l10519,1171e" filled="false" stroked="true" strokeweight=".72pt" strokecolor="#000000">
            <v:path arrowok="t"/>
          </v:shape>
          <w10:wrap type="none"/>
        </v:group>
      </w:pict>
    </w:r>
    <w:r>
      <w:rPr/>
      <w:pict>
        <v:shape style="position:absolute;margin-left:67.903999pt;margin-top:43.204983pt;width:128.15pt;height:12.6pt;mso-position-horizontal-relative:page;mso-position-vertical-relative:page;z-index:-917440" type="#_x0000_t202" filled="false" stroked="false">
          <v:textbox inset="0,0,0,0">
            <w:txbxContent>
              <w:p>
                <w:pPr>
                  <w:spacing w:line="231" w:lineRule="exact" w:before="0"/>
                  <w:ind w:left="20" w:right="0" w:firstLine="0"/>
                  <w:jc w:val="left"/>
                  <w:rPr>
                    <w:rFonts w:ascii="宋体" w:hAnsi="宋体" w:cs="宋体" w:eastAsia="宋体" w:hint="default"/>
                    <w:sz w:val="21"/>
                    <w:szCs w:val="21"/>
                  </w:rPr>
                </w:pPr>
                <w:r>
                  <w:rPr>
                    <w:rFonts w:ascii="宋体" w:hAnsi="宋体" w:cs="宋体" w:eastAsia="宋体" w:hint="default"/>
                    <w:sz w:val="21"/>
                    <w:szCs w:val="21"/>
                  </w:rPr>
                  <w:t>北京超图软件股份有限公司</w:t>
                </w:r>
              </w:p>
            </w:txbxContent>
          </v:textbox>
          <w10:wrap type="none"/>
        </v:shape>
      </w:pict>
    </w:r>
    <w:r>
      <w:rPr/>
      <w:pict>
        <v:shape style="position:absolute;margin-left:438.390015pt;margin-top:43.204983pt;width:68.05pt;height:13.75pt;mso-position-horizontal-relative:page;mso-position-vertical-relative:page;z-index:-917416" type="#_x0000_t202" filled="false" stroked="false">
          <v:textbox inset="0,0,0,0">
            <w:txbxContent>
              <w:p>
                <w:pPr>
                  <w:spacing w:line="258" w:lineRule="exact" w:before="0"/>
                  <w:ind w:left="20" w:right="0" w:firstLine="0"/>
                  <w:jc w:val="left"/>
                  <w:rPr>
                    <w:rFonts w:ascii="宋体" w:hAnsi="宋体" w:cs="宋体" w:eastAsia="宋体" w:hint="default"/>
                    <w:sz w:val="21"/>
                    <w:szCs w:val="21"/>
                  </w:rPr>
                </w:pPr>
                <w:r>
                  <w:rPr>
                    <w:rFonts w:ascii="Calibri" w:hAnsi="Calibri" w:cs="Calibri" w:eastAsia="Calibri" w:hint="default"/>
                    <w:sz w:val="21"/>
                    <w:szCs w:val="21"/>
                  </w:rPr>
                  <w:t>2012</w:t>
                </w:r>
                <w:r>
                  <w:rPr>
                    <w:rFonts w:ascii="Calibri" w:hAnsi="Calibri" w:cs="Calibri" w:eastAsia="Calibri" w:hint="default"/>
                    <w:spacing w:val="4"/>
                    <w:sz w:val="21"/>
                    <w:szCs w:val="21"/>
                  </w:rPr>
                  <w:t> </w:t>
                </w:r>
                <w:r>
                  <w:rPr>
                    <w:rFonts w:ascii="宋体" w:hAnsi="宋体" w:cs="宋体" w:eastAsia="宋体" w:hint="default"/>
                    <w:sz w:val="21"/>
                    <w:szCs w:val="21"/>
                  </w:rPr>
                  <w:t>年度报告</w:t>
                </w:r>
              </w:p>
            </w:txbxContent>
          </v:textbox>
          <w10:wrap type="none"/>
        </v:shape>
      </w:pict>
    </w:r>
    <w:r>
      <w:rPr/>
      <w:pict>
        <v:shape style="position:absolute;margin-left:280.570007pt;margin-top:44.359982pt;width:34pt;height:12.6pt;mso-position-horizontal-relative:page;mso-position-vertical-relative:page;z-index:-917392" type="#_x0000_t202" filled="false" stroked="false">
          <v:textbox inset="0,0,0,0">
            <w:txbxContent>
              <w:p>
                <w:pPr>
                  <w:spacing w:line="235" w:lineRule="exact" w:before="0"/>
                  <w:ind w:left="20" w:right="0" w:firstLine="0"/>
                  <w:jc w:val="left"/>
                  <w:rPr>
                    <w:rFonts w:ascii="Calibri" w:hAnsi="Calibri" w:cs="Calibri" w:eastAsia="Calibri" w:hint="default"/>
                    <w:sz w:val="21"/>
                    <w:szCs w:val="21"/>
                  </w:rPr>
                </w:pPr>
                <w:r>
                  <w:rPr>
                    <w:rFonts w:ascii="Calibri"/>
                    <w:sz w:val="21"/>
                  </w:rPr>
                  <w:t>300036</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617" w:hanging="408"/>
      </w:pPr>
      <w:rPr>
        <w:rFonts w:hint="default" w:ascii="Wingdings" w:hAnsi="Wingdings" w:eastAsia="Wingdings"/>
        <w:w w:val="100"/>
        <w:sz w:val="24"/>
        <w:szCs w:val="24"/>
      </w:rPr>
    </w:lvl>
    <w:lvl w:ilvl="1">
      <w:start w:val="1"/>
      <w:numFmt w:val="bullet"/>
      <w:lvlText w:val="•"/>
      <w:lvlJc w:val="left"/>
      <w:pPr>
        <w:ind w:left="1544" w:hanging="408"/>
      </w:pPr>
      <w:rPr>
        <w:rFonts w:hint="default"/>
      </w:rPr>
    </w:lvl>
    <w:lvl w:ilvl="2">
      <w:start w:val="1"/>
      <w:numFmt w:val="bullet"/>
      <w:lvlText w:val="•"/>
      <w:lvlJc w:val="left"/>
      <w:pPr>
        <w:ind w:left="2469" w:hanging="408"/>
      </w:pPr>
      <w:rPr>
        <w:rFonts w:hint="default"/>
      </w:rPr>
    </w:lvl>
    <w:lvl w:ilvl="3">
      <w:start w:val="1"/>
      <w:numFmt w:val="bullet"/>
      <w:lvlText w:val="•"/>
      <w:lvlJc w:val="left"/>
      <w:pPr>
        <w:ind w:left="3393" w:hanging="408"/>
      </w:pPr>
      <w:rPr>
        <w:rFonts w:hint="default"/>
      </w:rPr>
    </w:lvl>
    <w:lvl w:ilvl="4">
      <w:start w:val="1"/>
      <w:numFmt w:val="bullet"/>
      <w:lvlText w:val="•"/>
      <w:lvlJc w:val="left"/>
      <w:pPr>
        <w:ind w:left="4318" w:hanging="408"/>
      </w:pPr>
      <w:rPr>
        <w:rFonts w:hint="default"/>
      </w:rPr>
    </w:lvl>
    <w:lvl w:ilvl="5">
      <w:start w:val="1"/>
      <w:numFmt w:val="bullet"/>
      <w:lvlText w:val="•"/>
      <w:lvlJc w:val="left"/>
      <w:pPr>
        <w:ind w:left="5243" w:hanging="408"/>
      </w:pPr>
      <w:rPr>
        <w:rFonts w:hint="default"/>
      </w:rPr>
    </w:lvl>
    <w:lvl w:ilvl="6">
      <w:start w:val="1"/>
      <w:numFmt w:val="bullet"/>
      <w:lvlText w:val="•"/>
      <w:lvlJc w:val="left"/>
      <w:pPr>
        <w:ind w:left="6167" w:hanging="408"/>
      </w:pPr>
      <w:rPr>
        <w:rFonts w:hint="default"/>
      </w:rPr>
    </w:lvl>
    <w:lvl w:ilvl="7">
      <w:start w:val="1"/>
      <w:numFmt w:val="bullet"/>
      <w:lvlText w:val="•"/>
      <w:lvlJc w:val="left"/>
      <w:pPr>
        <w:ind w:left="7092" w:hanging="408"/>
      </w:pPr>
      <w:rPr>
        <w:rFonts w:hint="default"/>
      </w:rPr>
    </w:lvl>
    <w:lvl w:ilvl="8">
      <w:start w:val="1"/>
      <w:numFmt w:val="bullet"/>
      <w:lvlText w:val="•"/>
      <w:lvlJc w:val="left"/>
      <w:pPr>
        <w:ind w:left="8017" w:hanging="40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
      <w:ind w:left="152"/>
    </w:pPr>
    <w:rPr>
      <w:rFonts w:ascii="宋体" w:hAnsi="宋体" w:eastAsia="宋体"/>
      <w:sz w:val="21"/>
      <w:szCs w:val="21"/>
    </w:rPr>
  </w:style>
  <w:style w:styleId="TOC2" w:type="paragraph">
    <w:name w:val="TOC 2"/>
    <w:basedOn w:val="Normal"/>
    <w:uiPriority w:val="1"/>
    <w:qFormat/>
    <w:pPr>
      <w:spacing w:before="10"/>
      <w:ind w:left="573"/>
    </w:pPr>
    <w:rPr>
      <w:rFonts w:ascii="宋体" w:hAnsi="宋体" w:eastAsia="宋体"/>
      <w:sz w:val="21"/>
      <w:szCs w:val="21"/>
    </w:rPr>
  </w:style>
  <w:style w:styleId="TOC3" w:type="paragraph">
    <w:name w:val="TOC 3"/>
    <w:basedOn w:val="Normal"/>
    <w:uiPriority w:val="1"/>
    <w:qFormat/>
    <w:pPr>
      <w:spacing w:before="10"/>
      <w:ind w:left="993"/>
    </w:pPr>
    <w:rPr>
      <w:rFonts w:ascii="宋体" w:hAnsi="宋体" w:eastAsia="宋体"/>
      <w:sz w:val="21"/>
      <w:szCs w:val="21"/>
    </w:rPr>
  </w:style>
  <w:style w:styleId="BodyText" w:type="paragraph">
    <w:name w:val="Body Text"/>
    <w:basedOn w:val="Normal"/>
    <w:uiPriority w:val="1"/>
    <w:qFormat/>
    <w:pPr>
      <w:ind w:left="558"/>
    </w:pPr>
    <w:rPr>
      <w:rFonts w:ascii="宋体" w:hAnsi="宋体" w:eastAsia="宋体"/>
      <w:sz w:val="24"/>
      <w:szCs w:val="24"/>
    </w:rPr>
  </w:style>
  <w:style w:styleId="Heading1" w:type="paragraph">
    <w:name w:val="Heading 1"/>
    <w:basedOn w:val="Normal"/>
    <w:uiPriority w:val="1"/>
    <w:qFormat/>
    <w:pPr>
      <w:ind w:left="2514"/>
      <w:outlineLvl w:val="1"/>
    </w:pPr>
    <w:rPr>
      <w:rFonts w:ascii="宋体" w:hAnsi="宋体" w:eastAsia="宋体"/>
      <w:b/>
      <w:bCs/>
      <w:sz w:val="36"/>
      <w:szCs w:val="36"/>
    </w:rPr>
  </w:style>
  <w:style w:styleId="Heading2" w:type="paragraph">
    <w:name w:val="Heading 2"/>
    <w:basedOn w:val="Normal"/>
    <w:uiPriority w:val="1"/>
    <w:qFormat/>
    <w:pPr>
      <w:ind w:left="2676"/>
      <w:outlineLvl w:val="2"/>
    </w:pPr>
    <w:rPr>
      <w:rFonts w:ascii="宋体" w:hAnsi="宋体" w:eastAsia="宋体"/>
      <w:b/>
      <w:bCs/>
      <w:sz w:val="32"/>
      <w:szCs w:val="32"/>
    </w:rPr>
  </w:style>
  <w:style w:styleId="Heading3" w:type="paragraph">
    <w:name w:val="Heading 3"/>
    <w:basedOn w:val="Normal"/>
    <w:uiPriority w:val="1"/>
    <w:qFormat/>
    <w:pPr>
      <w:ind w:left="137"/>
      <w:outlineLvl w:val="3"/>
    </w:pPr>
    <w:rPr>
      <w:rFonts w:ascii="宋体" w:hAnsi="宋体" w:eastAsia="宋体"/>
      <w:b/>
      <w:bCs/>
      <w:sz w:val="30"/>
      <w:szCs w:val="30"/>
    </w:rPr>
  </w:style>
  <w:style w:styleId="Heading4" w:type="paragraph">
    <w:name w:val="Heading 4"/>
    <w:basedOn w:val="Normal"/>
    <w:uiPriority w:val="1"/>
    <w:qFormat/>
    <w:pPr>
      <w:ind w:left="137"/>
      <w:outlineLvl w:val="4"/>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supermap.com.cn/" TargetMode="External"/><Relationship Id="rId10" Type="http://schemas.openxmlformats.org/officeDocument/2006/relationships/hyperlink" Target="http://www.supermap.com/" TargetMode="External"/><Relationship Id="rId11" Type="http://schemas.openxmlformats.org/officeDocument/2006/relationships/hyperlink" Target="mailto:public@supermap.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2.xml"/><Relationship Id="rId18" Type="http://schemas.openxmlformats.org/officeDocument/2006/relationships/footer" Target="footer7.xml"/><Relationship Id="rId19" Type="http://schemas.openxmlformats.org/officeDocument/2006/relationships/header" Target="header3.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header" Target="header4.xml"/><Relationship Id="rId26" Type="http://schemas.openxmlformats.org/officeDocument/2006/relationships/footer" Target="footer13.xml"/><Relationship Id="rId27" Type="http://schemas.openxmlformats.org/officeDocument/2006/relationships/footer" Target="footer14.xml"/><Relationship Id="rId28" Type="http://schemas.openxmlformats.org/officeDocument/2006/relationships/header" Target="header5.xml"/><Relationship Id="rId29" Type="http://schemas.openxmlformats.org/officeDocument/2006/relationships/hyperlink" Target="http://www.cninfo.com/" TargetMode="External"/><Relationship Id="rId30" Type="http://schemas.openxmlformats.org/officeDocument/2006/relationships/hyperlink" Target="http://www.cninfo.co/" TargetMode="External"/><Relationship Id="rId31" Type="http://schemas.openxmlformats.org/officeDocument/2006/relationships/footer" Target="footer15.xml"/><Relationship Id="rId32" Type="http://schemas.openxmlformats.org/officeDocument/2006/relationships/footer" Target="footer16.xml"/><Relationship Id="rId33" Type="http://schemas.openxmlformats.org/officeDocument/2006/relationships/footer" Target="footer17.xml"/><Relationship Id="rId34" Type="http://schemas.openxmlformats.org/officeDocument/2006/relationships/footer" Target="footer18.xml"/><Relationship Id="rId35" Type="http://schemas.openxmlformats.org/officeDocument/2006/relationships/footer" Target="footer19.xml"/><Relationship Id="rId36" Type="http://schemas.openxmlformats.org/officeDocument/2006/relationships/footer" Target="footer20.xml"/><Relationship Id="rId37" Type="http://schemas.openxmlformats.org/officeDocument/2006/relationships/header" Target="header6.xml"/><Relationship Id="rId38" Type="http://schemas.openxmlformats.org/officeDocument/2006/relationships/footer" Target="footer21.xml"/><Relationship Id="rId39" Type="http://schemas.openxmlformats.org/officeDocument/2006/relationships/footer" Target="footer22.xml"/><Relationship Id="rId40" Type="http://schemas.openxmlformats.org/officeDocument/2006/relationships/footer" Target="footer23.xml"/><Relationship Id="rId41" Type="http://schemas.openxmlformats.org/officeDocument/2006/relationships/header" Target="header7.xml"/><Relationship Id="rId42" Type="http://schemas.openxmlformats.org/officeDocument/2006/relationships/footer" Target="footer24.xml"/><Relationship Id="rId43" Type="http://schemas.openxmlformats.org/officeDocument/2006/relationships/footer" Target="footer25.xml"/><Relationship Id="rId44" Type="http://schemas.openxmlformats.org/officeDocument/2006/relationships/footer" Target="footer26.xml"/><Relationship Id="rId45" Type="http://schemas.openxmlformats.org/officeDocument/2006/relationships/header" Target="header8.xml"/><Relationship Id="rId46" Type="http://schemas.openxmlformats.org/officeDocument/2006/relationships/footer" Target="footer27.xml"/><Relationship Id="rId47" Type="http://schemas.openxmlformats.org/officeDocument/2006/relationships/header" Target="header9.xml"/><Relationship Id="rId48" Type="http://schemas.openxmlformats.org/officeDocument/2006/relationships/footer" Target="footer28.xml"/><Relationship Id="rId49" Type="http://schemas.openxmlformats.org/officeDocument/2006/relationships/footer" Target="footer29.xml"/><Relationship Id="rId50" Type="http://schemas.openxmlformats.org/officeDocument/2006/relationships/header" Target="header10.xml"/><Relationship Id="rId51" Type="http://schemas.openxmlformats.org/officeDocument/2006/relationships/footer" Target="footer30.xml"/><Relationship Id="rId52" Type="http://schemas.openxmlformats.org/officeDocument/2006/relationships/header" Target="header11.xml"/><Relationship Id="rId53" Type="http://schemas.openxmlformats.org/officeDocument/2006/relationships/footer" Target="footer31.xml"/><Relationship Id="rId54" Type="http://schemas.openxmlformats.org/officeDocument/2006/relationships/footer" Target="footer32.xml"/><Relationship Id="rId55" Type="http://schemas.openxmlformats.org/officeDocument/2006/relationships/footer" Target="footer33.xml"/><Relationship Id="rId56" Type="http://schemas.openxmlformats.org/officeDocument/2006/relationships/footer" Target="footer34.xml"/><Relationship Id="rId57" Type="http://schemas.openxmlformats.org/officeDocument/2006/relationships/header" Target="header12.xml"/><Relationship Id="rId58" Type="http://schemas.openxmlformats.org/officeDocument/2006/relationships/footer" Target="footer35.xml"/><Relationship Id="rId59" Type="http://schemas.openxmlformats.org/officeDocument/2006/relationships/footer" Target="footer36.xml"/><Relationship Id="rId60" Type="http://schemas.openxmlformats.org/officeDocument/2006/relationships/footer" Target="footer37.xml"/><Relationship Id="rId61" Type="http://schemas.openxmlformats.org/officeDocument/2006/relationships/header" Target="header13.xml"/><Relationship Id="rId62" Type="http://schemas.openxmlformats.org/officeDocument/2006/relationships/footer" Target="footer38.xml"/><Relationship Id="rId63" Type="http://schemas.openxmlformats.org/officeDocument/2006/relationships/footer" Target="footer39.xml"/><Relationship Id="rId64" Type="http://schemas.openxmlformats.org/officeDocument/2006/relationships/footer" Target="footer40.xml"/><Relationship Id="rId6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gongyajie</dc:creator>
  <dc:title>北京超图软件股份有限公司                   300036                           2009年度报告</dc:title>
  <dcterms:created xsi:type="dcterms:W3CDTF">2020-05-04T01:38:33Z</dcterms:created>
  <dcterms:modified xsi:type="dcterms:W3CDTF">2020-05-04T01:38:33Z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2013-04-16T00:00:00Z</vt:filetime>
  </property>
  <property fmtid="{D5CDD505-2E9C-101B-9397-08002B2CF9AE}" pid="3" name="Creator">
    <vt:lpwstr>Microsoft® Office Word 2007</vt:lpwstr>
  </property>
  <property fmtid="{D5CDD505-2E9C-101B-9397-08002B2CF9AE}" pid="4" name="LastSaved">
    <vt:filetime>2020-05-03T00:00:00Z</vt:filetime>
  </property>
</Properties>
</file>