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4.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line="820" w:lineRule="exact" w:before="0"/>
        <w:ind w:left="652" w:right="173" w:firstLine="0"/>
        <w:jc w:val="left"/>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1652" w:lineRule="exact"/>
        <w:ind w:left="2483"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487920" cy="104927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487920" cy="1049274"/>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72"/>
          <w:szCs w:val="72"/>
        </w:rPr>
      </w:pPr>
    </w:p>
    <w:p>
      <w:pPr>
        <w:spacing w:line="240" w:lineRule="auto" w:before="11"/>
        <w:rPr>
          <w:rFonts w:ascii="宋体" w:hAnsi="宋体" w:cs="宋体" w:eastAsia="宋体" w:hint="default"/>
          <w:sz w:val="79"/>
          <w:szCs w:val="79"/>
        </w:rPr>
      </w:pPr>
    </w:p>
    <w:p>
      <w:pPr>
        <w:spacing w:before="0"/>
        <w:ind w:left="3081" w:right="173" w:firstLine="0"/>
        <w:jc w:val="left"/>
        <w:rPr>
          <w:rFonts w:ascii="宋体" w:hAnsi="宋体" w:cs="宋体" w:eastAsia="宋体" w:hint="default"/>
          <w:sz w:val="72"/>
          <w:szCs w:val="72"/>
        </w:rPr>
      </w:pPr>
      <w:r>
        <w:rPr>
          <w:rFonts w:ascii="Times New Roman" w:hAnsi="Times New Roman" w:cs="Times New Roman" w:eastAsia="Times New Roman" w:hint="default"/>
          <w:sz w:val="72"/>
          <w:szCs w:val="72"/>
        </w:rPr>
        <w:t>2015 </w:t>
      </w:r>
      <w:r>
        <w:rPr>
          <w:rFonts w:ascii="宋体" w:hAnsi="宋体" w:cs="宋体" w:eastAsia="宋体" w:hint="default"/>
          <w:sz w:val="72"/>
          <w:szCs w:val="72"/>
        </w:rPr>
        <w:t>年年度报告</w:t>
      </w:r>
    </w:p>
    <w:p>
      <w:pPr>
        <w:spacing w:line="240" w:lineRule="auto" w:before="2"/>
        <w:rPr>
          <w:rFonts w:ascii="宋体" w:hAnsi="宋体" w:cs="宋体" w:eastAsia="宋体" w:hint="default"/>
          <w:sz w:val="63"/>
          <w:szCs w:val="63"/>
        </w:rPr>
      </w:pPr>
    </w:p>
    <w:p>
      <w:pPr>
        <w:spacing w:line="285" w:lineRule="auto" w:before="0"/>
        <w:ind w:left="3705" w:right="2985" w:firstLine="0"/>
        <w:jc w:val="center"/>
        <w:rPr>
          <w:rFonts w:ascii="Times New Roman" w:hAnsi="Times New Roman" w:cs="Times New Roman" w:eastAsia="Times New Roman" w:hint="default"/>
          <w:sz w:val="36"/>
          <w:szCs w:val="36"/>
        </w:rPr>
      </w:pPr>
      <w:r>
        <w:rPr>
          <w:rFonts w:ascii="Microsoft JhengHei" w:hAnsi="Microsoft JhengHei" w:cs="Microsoft JhengHei" w:eastAsia="Microsoft JhengHei" w:hint="default"/>
          <w:b/>
          <w:bCs/>
          <w:sz w:val="36"/>
          <w:szCs w:val="36"/>
        </w:rPr>
        <w:t>股票简称：超图软件</w:t>
      </w:r>
      <w:r>
        <w:rPr>
          <w:rFonts w:ascii="Microsoft JhengHei" w:hAnsi="Microsoft JhengHei" w:cs="Microsoft JhengHei" w:eastAsia="Microsoft JhengHei" w:hint="default"/>
          <w:b/>
          <w:bCs/>
          <w:spacing w:val="-83"/>
          <w:sz w:val="36"/>
          <w:szCs w:val="36"/>
        </w:rPr>
        <w:t> </w:t>
      </w:r>
      <w:r>
        <w:rPr>
          <w:rFonts w:ascii="Microsoft JhengHei" w:hAnsi="Microsoft JhengHei" w:cs="Microsoft JhengHei" w:eastAsia="Microsoft JhengHei" w:hint="default"/>
          <w:b/>
          <w:bCs/>
          <w:spacing w:val="-83"/>
          <w:sz w:val="36"/>
          <w:szCs w:val="36"/>
        </w:rPr>
      </w:r>
      <w:r>
        <w:rPr>
          <w:rFonts w:ascii="Microsoft JhengHei" w:hAnsi="Microsoft JhengHei" w:cs="Microsoft JhengHei" w:eastAsia="Microsoft JhengHei" w:hint="default"/>
          <w:b/>
          <w:bCs/>
          <w:sz w:val="36"/>
          <w:szCs w:val="36"/>
        </w:rPr>
        <w:t>股票代码：</w:t>
      </w:r>
      <w:r>
        <w:rPr>
          <w:rFonts w:ascii="Times New Roman" w:hAnsi="Times New Roman" w:cs="Times New Roman" w:eastAsia="Times New Roman" w:hint="default"/>
          <w:b/>
          <w:bCs/>
          <w:sz w:val="36"/>
          <w:szCs w:val="36"/>
        </w:rPr>
        <w:t>300036</w:t>
      </w:r>
      <w:r>
        <w:rPr>
          <w:rFonts w:ascii="Times New Roman" w:hAnsi="Times New Roman" w:cs="Times New Roman" w:eastAsia="Times New Roman" w:hint="default"/>
          <w:sz w:val="36"/>
          <w:szCs w:val="36"/>
        </w:rPr>
      </w:r>
    </w:p>
    <w:p>
      <w:pPr>
        <w:spacing w:line="240" w:lineRule="auto" w:before="0"/>
        <w:rPr>
          <w:rFonts w:ascii="Times New Roman" w:hAnsi="Times New Roman" w:cs="Times New Roman" w:eastAsia="Times New Roman" w:hint="default"/>
          <w:b/>
          <w:bCs/>
          <w:sz w:val="38"/>
          <w:szCs w:val="38"/>
        </w:rPr>
      </w:pPr>
    </w:p>
    <w:p>
      <w:pPr>
        <w:pStyle w:val="Heading1"/>
        <w:spacing w:line="240" w:lineRule="auto" w:before="256"/>
        <w:ind w:left="3625" w:right="2985"/>
        <w:jc w:val="center"/>
        <w:rPr>
          <w:b w:val="0"/>
          <w:bCs w:val="0"/>
        </w:rPr>
      </w:pPr>
      <w:r>
        <w:rPr/>
        <w:t>二〇一六年三月</w:t>
      </w:r>
      <w:r>
        <w:rPr>
          <w:b w:val="0"/>
          <w:bCs w:val="0"/>
        </w:rPr>
      </w:r>
    </w:p>
    <w:p>
      <w:pPr>
        <w:spacing w:after="0" w:line="240" w:lineRule="auto"/>
        <w:jc w:val="center"/>
        <w:sectPr>
          <w:footerReference w:type="default" r:id="rId5"/>
          <w:type w:val="continuous"/>
          <w:pgSz w:w="11910" w:h="16840"/>
          <w:pgMar w:footer="1085" w:top="1100" w:bottom="1280" w:left="980" w:right="98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1"/>
          <w:szCs w:val="21"/>
        </w:rPr>
      </w:pPr>
    </w:p>
    <w:p>
      <w:pPr>
        <w:pStyle w:val="Heading1"/>
        <w:tabs>
          <w:tab w:pos="3888" w:val="left" w:leader="none"/>
        </w:tabs>
        <w:spacing w:line="456" w:lineRule="exact"/>
        <w:ind w:left="2629" w:right="229"/>
        <w:jc w:val="left"/>
        <w:rPr>
          <w:b w:val="0"/>
          <w:bCs w:val="0"/>
        </w:rPr>
      </w:pPr>
      <w:bookmarkStart w:name="_bookmark0" w:id="1"/>
      <w:bookmarkEnd w:id="1"/>
      <w:r>
        <w:rPr>
          <w:b w:val="0"/>
          <w:bCs w:val="0"/>
        </w:rPr>
      </w:r>
      <w:r>
        <w:rPr>
          <w:spacing w:val="4"/>
          <w:w w:val="95"/>
        </w:rPr>
        <w:t>第一节</w:t>
        <w:tab/>
      </w:r>
      <w:r>
        <w:rPr>
          <w:spacing w:val="6"/>
        </w:rPr>
        <w:t>重要提示、目录和释义</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14"/>
        <w:rPr>
          <w:rFonts w:ascii="Microsoft JhengHei" w:hAnsi="Microsoft JhengHei" w:cs="Microsoft JhengHei" w:eastAsia="Microsoft JhengHei" w:hint="default"/>
          <w:b/>
          <w:bCs/>
          <w:sz w:val="22"/>
          <w:szCs w:val="22"/>
        </w:rPr>
      </w:pPr>
    </w:p>
    <w:p>
      <w:pPr>
        <w:pStyle w:val="BodyText"/>
        <w:spacing w:line="348" w:lineRule="auto" w:before="0"/>
        <w:ind w:right="229" w:firstLine="480"/>
        <w:jc w:val="left"/>
      </w:pPr>
      <w:r>
        <w:rPr>
          <w:rFonts w:ascii="Times New Roman" w:hAnsi="Times New Roman" w:cs="Times New Roman" w:eastAsia="Times New Roman" w:hint="default"/>
        </w:rPr>
        <w:t>1</w:t>
      </w:r>
      <w:r>
        <w:rPr/>
        <w:t>、本公司董事会、监事会及董事、监事、高级管理人员保证本报告所载资料不存在 </w:t>
      </w:r>
      <w:r>
        <w:rPr>
          <w:spacing w:val="-5"/>
        </w:rPr>
        <w:t>任何虚假记载、误导性陈述或者重大遗漏，并对其内容的真实性、准确性和完整性承担个别</w:t>
      </w:r>
      <w:r>
        <w:rPr>
          <w:spacing w:val="-110"/>
        </w:rPr>
        <w:t> </w:t>
      </w:r>
      <w:r>
        <w:rPr>
          <w:spacing w:val="-110"/>
        </w:rPr>
      </w:r>
      <w:r>
        <w:rPr/>
        <w:t>及连带责任。</w:t>
      </w:r>
    </w:p>
    <w:p>
      <w:pPr>
        <w:pStyle w:val="BodyText"/>
        <w:spacing w:line="338" w:lineRule="auto" w:before="46"/>
        <w:ind w:right="389" w:firstLine="480"/>
        <w:jc w:val="left"/>
      </w:pPr>
      <w:r>
        <w:rPr>
          <w:rFonts w:ascii="Times New Roman" w:hAnsi="Times New Roman" w:cs="Times New Roman" w:eastAsia="Times New Roman" w:hint="default"/>
        </w:rPr>
        <w:t>2</w:t>
      </w:r>
      <w:r>
        <w:rPr/>
        <w:t>、没有董事、监事、高级管理人员声明对年度报告内容的真实性、准确性和完整性 无法保证或存在异议。</w:t>
      </w:r>
    </w:p>
    <w:p>
      <w:pPr>
        <w:pStyle w:val="BodyText"/>
        <w:spacing w:line="240" w:lineRule="auto" w:before="55"/>
        <w:ind w:left="617" w:right="229"/>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5"/>
        <w:ind w:right="269" w:firstLine="480"/>
        <w:jc w:val="left"/>
      </w:pPr>
      <w:r>
        <w:rPr>
          <w:rFonts w:ascii="Times New Roman" w:hAnsi="Times New Roman" w:cs="Times New Roman" w:eastAsia="Times New Roman" w:hint="default"/>
        </w:rPr>
        <w:t>4</w:t>
      </w:r>
      <w:r>
        <w:rPr/>
        <w:t>、致同会计师事务所（特殊普通合伙）为本公司 </w:t>
      </w:r>
      <w:r>
        <w:rPr>
          <w:rFonts w:ascii="Times New Roman" w:hAnsi="Times New Roman" w:cs="Times New Roman" w:eastAsia="Times New Roman" w:hint="default"/>
        </w:rPr>
        <w:t>2015</w:t>
      </w:r>
      <w:r>
        <w:rPr/>
        <w:t>年度财务报告出具了标准无保 留意见的审计报告。</w:t>
      </w:r>
    </w:p>
    <w:p>
      <w:pPr>
        <w:pStyle w:val="BodyText"/>
        <w:spacing w:line="338" w:lineRule="auto" w:before="55"/>
        <w:ind w:right="629" w:firstLine="480"/>
        <w:jc w:val="left"/>
      </w:pPr>
      <w:r>
        <w:rPr>
          <w:rFonts w:ascii="Times New Roman" w:hAnsi="Times New Roman" w:cs="Times New Roman" w:eastAsia="Times New Roman" w:hint="default"/>
        </w:rPr>
        <w:t>5</w:t>
      </w:r>
      <w:r>
        <w:rPr/>
        <w:t>、公司负责人钟耳顺、主管会计工作负责人任翔及会计机构负责人（会计主管人 员）冯丽艳声明：保证年度报告中财务报告的真实、完整。</w:t>
      </w:r>
    </w:p>
    <w:p>
      <w:pPr>
        <w:pStyle w:val="BodyText"/>
        <w:spacing w:line="348" w:lineRule="auto" w:before="56"/>
        <w:ind w:right="269" w:firstLine="480"/>
        <w:jc w:val="left"/>
      </w:pPr>
      <w:r>
        <w:rPr>
          <w:rFonts w:ascii="Times New Roman" w:hAnsi="Times New Roman" w:cs="Times New Roman" w:eastAsia="Times New Roman" w:hint="default"/>
        </w:rPr>
        <w:t>6</w:t>
      </w:r>
      <w:r>
        <w:rPr/>
        <w:t>、本报告中如有涉及未来的计划、业绩预测等方面的内容，均不构成本公司对任何 投资者及相关人士的承诺，投资者及相关人士均应对此保持足够的风险认识，并且应当理 解计划、预测与承诺之间的差异。</w:t>
      </w:r>
    </w:p>
    <w:p>
      <w:pPr>
        <w:pStyle w:val="BodyText"/>
        <w:spacing w:line="338" w:lineRule="auto" w:before="46"/>
        <w:ind w:right="269" w:firstLine="480"/>
        <w:jc w:val="left"/>
      </w:pPr>
      <w:r>
        <w:rPr>
          <w:rFonts w:ascii="Times New Roman" w:hAnsi="Times New Roman" w:cs="Times New Roman" w:eastAsia="Times New Roman" w:hint="default"/>
        </w:rPr>
        <w:t>7</w:t>
      </w:r>
      <w:r>
        <w:rPr/>
        <w:t>、公司经本次董事会审议通过的利润分配及以资本公积金转增股本预案为：拟以截 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195,821,670</w:t>
      </w:r>
      <w:r>
        <w:rPr/>
        <w:t>股为基数，向全体股东每</w:t>
      </w:r>
      <w:r>
        <w:rPr>
          <w:rFonts w:ascii="Times New Roman" w:hAnsi="Times New Roman" w:cs="Times New Roman" w:eastAsia="Times New Roman" w:hint="default"/>
        </w:rPr>
        <w:t>10</w:t>
      </w:r>
      <w:r>
        <w:rPr/>
        <w:t>股派发人民币现金红 利</w:t>
      </w:r>
      <w:r>
        <w:rPr>
          <w:rFonts w:ascii="Times New Roman" w:hAnsi="Times New Roman" w:cs="Times New Roman" w:eastAsia="Times New Roman" w:hint="default"/>
        </w:rPr>
        <w:t>1</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38" w:lineRule="auto" w:before="27"/>
        <w:ind w:right="203" w:firstLine="480"/>
        <w:jc w:val="left"/>
      </w:pPr>
      <w:r>
        <w:rPr>
          <w:rFonts w:ascii="Times New Roman" w:hAnsi="Times New Roman" w:cs="Times New Roman" w:eastAsia="Times New Roman" w:hint="default"/>
        </w:rPr>
        <w:t>8</w:t>
      </w:r>
      <w:r>
        <w:rPr/>
        <w:t>、公司在本报告第四节</w:t>
      </w:r>
      <w:r>
        <w:rPr>
          <w:rFonts w:ascii="Times New Roman" w:hAnsi="Times New Roman" w:cs="Times New Roman" w:eastAsia="Times New Roman" w:hint="default"/>
        </w:rPr>
        <w:t>“</w:t>
      </w:r>
      <w:r>
        <w:rPr/>
        <w:t>管理层分析与讨论</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部分，详细 描述了公司经营中可能存在的风险，并提请投资者特别注意下列风险因素：</w:t>
      </w:r>
    </w:p>
    <w:p>
      <w:pPr>
        <w:pStyle w:val="BodyText"/>
        <w:spacing w:line="326" w:lineRule="auto" w:before="56"/>
        <w:ind w:left="617" w:right="209"/>
        <w:jc w:val="left"/>
      </w:pPr>
      <w:r>
        <w:rPr/>
        <w:t>（</w:t>
      </w:r>
      <w:r>
        <w:rPr>
          <w:rFonts w:ascii="Calibri" w:hAnsi="Calibri" w:cs="Calibri" w:eastAsia="Calibri" w:hint="default"/>
        </w:rPr>
        <w:t>1</w:t>
      </w:r>
      <w:r>
        <w:rPr/>
        <w:t>）应收账款坏帐风险 截止报告期末，公司应收账款净额为</w:t>
      </w:r>
      <w:r>
        <w:rPr>
          <w:rFonts w:ascii="Times New Roman" w:hAnsi="Times New Roman" w:cs="Times New Roman" w:eastAsia="Times New Roman" w:hint="default"/>
        </w:rPr>
        <w:t>1.65</w:t>
      </w:r>
      <w:r>
        <w:rPr/>
        <w:t>亿元，与去年同期基本持平，其中</w:t>
      </w:r>
      <w:r>
        <w:rPr>
          <w:rFonts w:ascii="Times New Roman" w:hAnsi="Times New Roman" w:cs="Times New Roman" w:eastAsia="Times New Roman" w:hint="default"/>
        </w:rPr>
        <w:t>1</w:t>
      </w:r>
      <w:r>
        <w:rPr/>
        <w:t>年期以内</w:t>
      </w:r>
    </w:p>
    <w:p>
      <w:pPr>
        <w:pStyle w:val="BodyText"/>
        <w:spacing w:line="350" w:lineRule="auto" w:before="40"/>
        <w:ind w:right="269"/>
        <w:jc w:val="left"/>
      </w:pPr>
      <w:r>
        <w:rPr/>
        <w:t>的应收账款净额约为</w:t>
      </w:r>
      <w:r>
        <w:rPr>
          <w:rFonts w:ascii="Times New Roman" w:hAnsi="Times New Roman" w:cs="Times New Roman" w:eastAsia="Times New Roman" w:hint="default"/>
        </w:rPr>
        <w:t>1.34</w:t>
      </w:r>
      <w:r>
        <w:rPr/>
        <w:t>亿元，</w:t>
      </w:r>
      <w:r>
        <w:rPr>
          <w:rFonts w:ascii="Times New Roman" w:hAnsi="Times New Roman" w:cs="Times New Roman" w:eastAsia="Times New Roman" w:hint="default"/>
        </w:rPr>
        <w:t>1</w:t>
      </w:r>
      <w:r>
        <w:rPr/>
        <w:t>年期以上的应收帐款净额累计有</w:t>
      </w:r>
      <w:r>
        <w:rPr>
          <w:rFonts w:ascii="Times New Roman" w:hAnsi="Times New Roman" w:cs="Times New Roman" w:eastAsia="Times New Roman" w:hint="default"/>
        </w:rPr>
        <w:t>3,086.51</w:t>
      </w:r>
      <w:r>
        <w:rPr/>
        <w:t>万元。公司的直 接用户或最终用户多是各级政府或其事业单位，虽然用户与公司有着长期良好的合作关 系，资信状况良好，还款能力强，但公司仍存在应收账款不能按期回收或无法回收产生坏 账的风险，可能对公司业绩和经营产生不利影响。</w:t>
      </w:r>
    </w:p>
    <w:p>
      <w:pPr>
        <w:pStyle w:val="BodyText"/>
        <w:spacing w:line="240" w:lineRule="auto" w:before="43"/>
        <w:ind w:left="617" w:right="229"/>
        <w:jc w:val="left"/>
      </w:pPr>
      <w:r>
        <w:rPr/>
        <w:t>对此，公司将持续不断的进行应收帐款管理，提高资金运转效率，进一步控制风险。</w:t>
      </w:r>
    </w:p>
    <w:p>
      <w:pPr>
        <w:spacing w:after="0" w:line="240" w:lineRule="auto"/>
        <w:jc w:val="left"/>
        <w:sectPr>
          <w:headerReference w:type="default" r:id="rId7"/>
          <w:pgSz w:w="11910" w:h="16840"/>
          <w:pgMar w:header="877" w:footer="1085" w:top="1220" w:bottom="1320" w:left="1140" w:right="98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t>（</w:t>
      </w:r>
      <w:r>
        <w:rPr>
          <w:rFonts w:ascii="Calibri" w:hAnsi="Calibri" w:cs="Calibri" w:eastAsia="Calibri" w:hint="default"/>
        </w:rPr>
        <w:t>2</w:t>
      </w:r>
      <w:r>
        <w:rPr/>
        <w:t>）投资并购风险</w:t>
      </w:r>
    </w:p>
    <w:p>
      <w:pPr>
        <w:pStyle w:val="BodyText"/>
        <w:spacing w:line="357" w:lineRule="auto" w:before="123"/>
        <w:ind w:right="286" w:firstLine="480"/>
        <w:jc w:val="both"/>
      </w:pPr>
      <w:r>
        <w:rPr/>
        <w:t>①公司将进一步加强外延扩张工作，积极通过投资、并购、参股等方式推进公司的战 略部署，延伸业务领域、扩大经营规模。在投资并购的过程中可能会出现决策失误风险、 管理风险等。公司在并购目标选择和团队融合这块积累了一定的经验，将进一步提升经营 管理水平，持续改进或优化运营机制，尽力降低投资并购风险。</w:t>
      </w:r>
    </w:p>
    <w:p>
      <w:pPr>
        <w:pStyle w:val="BodyText"/>
        <w:spacing w:line="348" w:lineRule="auto"/>
        <w:ind w:right="269" w:firstLine="480"/>
        <w:jc w:val="left"/>
      </w:pPr>
      <w:r>
        <w:rPr/>
        <w:t>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日，公司以现金支付方式收购了上海南康科技有限公司</w:t>
      </w:r>
      <w:r>
        <w:rPr>
          <w:rFonts w:ascii="Times New Roman" w:hAnsi="Times New Roman" w:cs="Times New Roman" w:eastAsia="Times New Roman" w:hint="default"/>
        </w:rPr>
        <w:t>100%</w:t>
      </w:r>
      <w:r>
        <w:rPr/>
        <w:t>股权。截 至目前，双方在技术研发、客户资源等方面进行了一定的有效融合，双方也就企业文化、 管理团队等进行积极整合，但仍存在风险，如果整合不成功，将影响南康科技竞争力的保 持，影响协同效应、放大效应的发挥；此外，南康科技</w:t>
      </w:r>
      <w:r>
        <w:rPr>
          <w:rFonts w:ascii="Times New Roman" w:hAnsi="Times New Roman" w:cs="Times New Roman" w:eastAsia="Times New Roman" w:hint="default"/>
        </w:rPr>
        <w:t>2015</w:t>
      </w:r>
      <w:r>
        <w:rPr/>
        <w:t>年的业绩承诺虽然得到了实 现，但未来仍存在盈利预测风险、业绩承诺无法实现的风险、整合风险及商誉减值风险。</w:t>
      </w:r>
    </w:p>
    <w:p>
      <w:pPr>
        <w:pStyle w:val="BodyText"/>
        <w:spacing w:line="357" w:lineRule="auto" w:before="46"/>
        <w:ind w:right="286" w:firstLine="480"/>
        <w:jc w:val="both"/>
      </w:pPr>
      <w:r>
        <w:rPr/>
        <w:t>对此，公司将本着合作共赢的观念，充分尊重两家公司文化差异，加强沟通，在保持 南康科技技术研发、工程实施和管理团队相对稳定和独立的基础上，将超图软件规范、高 效的管理模式及运营机制逐步引入南康科技，统一财务管理体系，加强内控制度建设，建 设企业文化等措施，较快、平稳的实现双方的整合。</w:t>
      </w:r>
    </w:p>
    <w:p>
      <w:pPr>
        <w:spacing w:after="0" w:line="357" w:lineRule="auto"/>
        <w:jc w:val="both"/>
        <w:sectPr>
          <w:pgSz w:w="11910" w:h="16840"/>
          <w:pgMar w:header="877" w:footer="1085" w:top="1220" w:bottom="1320" w:left="1140" w:right="980"/>
        </w:sectPr>
      </w:pPr>
    </w:p>
    <w:p>
      <w:pPr>
        <w:spacing w:line="240" w:lineRule="auto" w:before="12"/>
        <w:rPr>
          <w:rFonts w:ascii="宋体" w:hAnsi="宋体" w:cs="宋体" w:eastAsia="宋体" w:hint="default"/>
          <w:sz w:val="14"/>
          <w:szCs w:val="14"/>
        </w:rPr>
      </w:pPr>
    </w:p>
    <w:p>
      <w:pPr>
        <w:spacing w:line="589" w:lineRule="exact" w:before="0"/>
        <w:ind w:left="483" w:right="2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目录</w:t>
      </w:r>
      <w:r>
        <w:rPr>
          <w:rFonts w:ascii="Microsoft JhengHei" w:hAnsi="Microsoft JhengHei" w:cs="Microsoft JhengHei" w:eastAsia="Microsoft JhengHei" w:hint="default"/>
          <w:sz w:val="44"/>
          <w:szCs w:val="44"/>
        </w:rPr>
      </w:r>
    </w:p>
    <w:p>
      <w:pPr>
        <w:spacing w:after="0" w:line="589" w:lineRule="exact"/>
        <w:jc w:val="center"/>
        <w:rPr>
          <w:rFonts w:ascii="Microsoft JhengHei" w:hAnsi="Microsoft JhengHei" w:cs="Microsoft JhengHei" w:eastAsia="Microsoft JhengHei" w:hint="default"/>
          <w:sz w:val="44"/>
          <w:szCs w:val="44"/>
        </w:rPr>
        <w:sectPr>
          <w:pgSz w:w="11910" w:h="16840"/>
          <w:pgMar w:header="877" w:footer="1085" w:top="1220" w:bottom="1471" w:left="1140" w:right="980"/>
        </w:sectPr>
      </w:pPr>
    </w:p>
    <w:sdt>
      <w:sdtPr>
        <w:docPartObj>
          <w:docPartGallery w:val="Table of Contents"/>
          <w:docPartUnique/>
        </w:docPartObj>
      </w:sdtPr>
      <w:sdtEndPr/>
      <w:sdtContent>
        <w:p>
          <w:pPr>
            <w:pStyle w:val="TOC1"/>
            <w:tabs>
              <w:tab w:pos="1817" w:val="left" w:leader="none"/>
              <w:tab w:pos="9634" w:val="right" w:leader="dot"/>
            </w:tabs>
            <w:spacing w:line="240" w:lineRule="auto" w:before="783"/>
            <w:ind w:right="0"/>
            <w:jc w:val="left"/>
            <w:rPr>
              <w:rFonts w:ascii="Calibri" w:hAnsi="Calibri" w:cs="Calibri" w:eastAsia="Calibri" w:hint="default"/>
            </w:rPr>
          </w:pPr>
          <w:hyperlink w:history="true" w:anchor="_bookmark0">
            <w:r>
              <w:rPr>
                <w:spacing w:val="2"/>
              </w:rPr>
              <w:t>第一节</w:t>
              <w:tab/>
            </w:r>
            <w:r>
              <w:rPr>
                <w:spacing w:val="3"/>
              </w:rPr>
              <w:t>重要提示、目录和释义</w:t>
            </w:r>
            <w:r>
              <w:rPr>
                <w:rFonts w:ascii="Calibri" w:hAnsi="Calibri" w:cs="Calibri" w:eastAsia="Calibri" w:hint="default"/>
                <w:spacing w:val="3"/>
              </w:rPr>
              <w:tab/>
            </w:r>
            <w:r>
              <w:rPr>
                <w:rFonts w:ascii="Calibri" w:hAnsi="Calibri" w:cs="Calibri" w:eastAsia="Calibri" w:hint="default"/>
              </w:rPr>
              <w:t>2</w:t>
            </w:r>
          </w:hyperlink>
        </w:p>
        <w:p>
          <w:pPr>
            <w:pStyle w:val="TOC1"/>
            <w:tabs>
              <w:tab w:pos="1817" w:val="left" w:leader="none"/>
              <w:tab w:pos="9634" w:val="right" w:leader="dot"/>
            </w:tabs>
            <w:spacing w:line="240" w:lineRule="auto" w:before="123"/>
            <w:ind w:right="0"/>
            <w:jc w:val="left"/>
            <w:rPr>
              <w:rFonts w:ascii="Calibri" w:hAnsi="Calibri" w:cs="Calibri" w:eastAsia="Calibri" w:hint="default"/>
            </w:rPr>
          </w:pPr>
          <w:hyperlink w:history="true" w:anchor="_bookmark1">
            <w:r>
              <w:rPr/>
              <w:t>第二节</w:t>
              <w:tab/>
            </w:r>
            <w:r>
              <w:rPr>
                <w:spacing w:val="3"/>
              </w:rPr>
              <w:t>公司简介和主要财务指标</w:t>
            </w:r>
            <w:r>
              <w:rPr>
                <w:rFonts w:ascii="Calibri" w:hAnsi="Calibri" w:cs="Calibri" w:eastAsia="Calibri" w:hint="default"/>
                <w:spacing w:val="3"/>
              </w:rPr>
              <w:tab/>
            </w:r>
            <w:r>
              <w:rPr>
                <w:rFonts w:ascii="Calibri" w:hAnsi="Calibri" w:cs="Calibri" w:eastAsia="Calibri" w:hint="default"/>
              </w:rPr>
              <w:t>8</w:t>
            </w:r>
          </w:hyperlink>
        </w:p>
        <w:p>
          <w:pPr>
            <w:pStyle w:val="TOC2"/>
            <w:tabs>
              <w:tab w:pos="9634" w:val="right" w:leader="dot"/>
            </w:tabs>
            <w:spacing w:line="332" w:lineRule="exact" w:before="61"/>
            <w:ind w:right="0"/>
            <w:jc w:val="left"/>
            <w:rPr>
              <w:rFonts w:ascii="Calibri" w:hAnsi="Calibri" w:cs="Calibri" w:eastAsia="Calibri" w:hint="default"/>
            </w:rPr>
          </w:pPr>
          <w:hyperlink w:history="true" w:anchor="_bookmark2">
            <w:r>
              <w:rPr/>
              <w:t>一、公司信息</w:t>
            </w:r>
            <w:r>
              <w:rPr>
                <w:rFonts w:ascii="Calibri" w:hAnsi="Calibri" w:cs="Calibri" w:eastAsia="Calibri" w:hint="default"/>
              </w:rPr>
              <w:tab/>
              <w:t>8</w:t>
            </w:r>
          </w:hyperlink>
        </w:p>
        <w:p>
          <w:pPr>
            <w:pStyle w:val="TOC2"/>
            <w:tabs>
              <w:tab w:pos="9634" w:val="right" w:leader="dot"/>
            </w:tabs>
            <w:spacing w:line="319" w:lineRule="exact"/>
            <w:ind w:right="0"/>
            <w:jc w:val="left"/>
            <w:rPr>
              <w:rFonts w:ascii="Calibri" w:hAnsi="Calibri" w:cs="Calibri" w:eastAsia="Calibri" w:hint="default"/>
            </w:rPr>
          </w:pPr>
          <w:hyperlink w:history="true" w:anchor="_bookmark3">
            <w:r>
              <w:rPr/>
              <w:t>二、联系人和联系方式</w:t>
            </w:r>
            <w:r>
              <w:rPr>
                <w:rFonts w:ascii="Calibri" w:hAnsi="Calibri" w:cs="Calibri" w:eastAsia="Calibri" w:hint="default"/>
              </w:rPr>
              <w:tab/>
              <w:t>8</w:t>
            </w:r>
          </w:hyperlink>
        </w:p>
        <w:p>
          <w:pPr>
            <w:pStyle w:val="TOC2"/>
            <w:tabs>
              <w:tab w:pos="9634" w:val="right" w:leader="dot"/>
            </w:tabs>
            <w:spacing w:line="320" w:lineRule="exact"/>
            <w:ind w:right="0"/>
            <w:jc w:val="left"/>
            <w:rPr>
              <w:rFonts w:ascii="Calibri" w:hAnsi="Calibri" w:cs="Calibri" w:eastAsia="Calibri" w:hint="default"/>
            </w:rPr>
          </w:pPr>
          <w:hyperlink w:history="true" w:anchor="_bookmark4">
            <w:r>
              <w:rPr/>
              <w:t>三、信息披露及备置地点</w:t>
            </w:r>
            <w:r>
              <w:rPr>
                <w:rFonts w:ascii="Calibri" w:hAnsi="Calibri" w:cs="Calibri" w:eastAsia="Calibri" w:hint="default"/>
              </w:rPr>
              <w:tab/>
              <w:t>8</w:t>
            </w:r>
          </w:hyperlink>
        </w:p>
        <w:p>
          <w:pPr>
            <w:pStyle w:val="TOC2"/>
            <w:tabs>
              <w:tab w:pos="9634" w:val="right" w:leader="dot"/>
            </w:tabs>
            <w:spacing w:line="321" w:lineRule="exact"/>
            <w:ind w:right="0"/>
            <w:jc w:val="left"/>
            <w:rPr>
              <w:rFonts w:ascii="Calibri" w:hAnsi="Calibri" w:cs="Calibri" w:eastAsia="Calibri" w:hint="default"/>
            </w:rPr>
          </w:pPr>
          <w:hyperlink w:history="true" w:anchor="_bookmark5">
            <w:r>
              <w:rPr/>
              <w:t>四、其他有关资料</w:t>
            </w:r>
            <w:r>
              <w:rPr>
                <w:rFonts w:ascii="Calibri" w:hAnsi="Calibri" w:cs="Calibri" w:eastAsia="Calibri" w:hint="default"/>
              </w:rPr>
              <w:tab/>
              <w:t>8</w:t>
            </w:r>
          </w:hyperlink>
        </w:p>
        <w:p>
          <w:pPr>
            <w:pStyle w:val="TOC2"/>
            <w:tabs>
              <w:tab w:pos="9634" w:val="right" w:leader="dot"/>
            </w:tabs>
            <w:spacing w:line="320" w:lineRule="exact"/>
            <w:ind w:right="0"/>
            <w:jc w:val="left"/>
            <w:rPr>
              <w:rFonts w:ascii="Calibri" w:hAnsi="Calibri" w:cs="Calibri" w:eastAsia="Calibri" w:hint="default"/>
            </w:rPr>
          </w:pPr>
          <w:hyperlink w:history="true" w:anchor="_bookmark6">
            <w:r>
              <w:rPr/>
              <w:t>五、主要会计数据和财务指标</w:t>
            </w:r>
            <w:r>
              <w:rPr>
                <w:rFonts w:ascii="Calibri" w:hAnsi="Calibri" w:cs="Calibri" w:eastAsia="Calibri" w:hint="default"/>
              </w:rPr>
              <w:tab/>
              <w:t>9</w:t>
            </w:r>
          </w:hyperlink>
        </w:p>
        <w:p>
          <w:pPr>
            <w:pStyle w:val="TOC2"/>
            <w:tabs>
              <w:tab w:pos="9634" w:val="right" w:leader="dot"/>
            </w:tabs>
            <w:spacing w:line="320" w:lineRule="exact"/>
            <w:ind w:right="0"/>
            <w:jc w:val="left"/>
            <w:rPr>
              <w:rFonts w:ascii="Calibri" w:hAnsi="Calibri" w:cs="Calibri" w:eastAsia="Calibri" w:hint="default"/>
            </w:rPr>
          </w:pPr>
          <w:hyperlink w:history="true" w:anchor="_bookmark7">
            <w:r>
              <w:rPr/>
              <w:t>六、分季度主要财务指标</w:t>
            </w:r>
            <w:r>
              <w:rPr>
                <w:rFonts w:ascii="Calibri" w:hAnsi="Calibri" w:cs="Calibri" w:eastAsia="Calibri" w:hint="default"/>
              </w:rPr>
              <w:tab/>
              <w:t>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8">
            <w:r>
              <w:rPr/>
              <w:t>七、境内外会计准则下会计数据差异</w:t>
            </w:r>
            <w:r>
              <w:rPr>
                <w:rFonts w:ascii="Calibri" w:hAnsi="Calibri" w:cs="Calibri" w:eastAsia="Calibri" w:hint="default"/>
              </w:rPr>
              <w:tab/>
              <w:t>10</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9">
            <w:r>
              <w:rPr/>
              <w:t>八、非经常性损益的项目及金额</w:t>
            </w:r>
            <w:r>
              <w:rPr>
                <w:rFonts w:ascii="Calibri" w:hAnsi="Calibri" w:cs="Calibri" w:eastAsia="Calibri" w:hint="default"/>
              </w:rPr>
              <w:tab/>
              <w:t>10</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10">
            <w:r>
              <w:rPr>
                <w:spacing w:val="2"/>
              </w:rPr>
              <w:t>第三节</w:t>
              <w:tab/>
            </w:r>
            <w:r>
              <w:rPr>
                <w:spacing w:val="3"/>
              </w:rPr>
              <w:t>公司业务概要</w:t>
            </w:r>
            <w:r>
              <w:rPr>
                <w:rFonts w:ascii="Calibri" w:hAnsi="Calibri" w:cs="Calibri" w:eastAsia="Calibri" w:hint="default"/>
                <w:spacing w:val="3"/>
              </w:rPr>
              <w:tab/>
            </w:r>
            <w:r>
              <w:rPr>
                <w:rFonts w:ascii="Calibri" w:hAnsi="Calibri" w:cs="Calibri" w:eastAsia="Calibri" w:hint="default"/>
              </w:rPr>
              <w:t>12</w:t>
            </w:r>
          </w:hyperlink>
        </w:p>
        <w:p>
          <w:pPr>
            <w:pStyle w:val="TOC2"/>
            <w:tabs>
              <w:tab w:pos="9637" w:val="right" w:leader="dot"/>
            </w:tabs>
            <w:spacing w:line="333" w:lineRule="exact" w:before="61"/>
            <w:ind w:right="0"/>
            <w:jc w:val="left"/>
            <w:rPr>
              <w:rFonts w:ascii="Calibri" w:hAnsi="Calibri" w:cs="Calibri" w:eastAsia="Calibri" w:hint="default"/>
            </w:rPr>
          </w:pPr>
          <w:hyperlink w:history="true" w:anchor="_bookmark11">
            <w:r>
              <w:rPr/>
              <w:t>一、报告期内公司从事的主要业务</w:t>
            </w:r>
            <w:r>
              <w:rPr>
                <w:rFonts w:ascii="Calibri" w:hAnsi="Calibri" w:cs="Calibri" w:eastAsia="Calibri" w:hint="default"/>
              </w:rPr>
              <w:tab/>
              <w:t>12</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12">
            <w:r>
              <w:rPr/>
              <w:t>二、主要资产重大变化情况</w:t>
            </w:r>
            <w:r>
              <w:rPr>
                <w:rFonts w:ascii="Calibri" w:hAnsi="Calibri" w:cs="Calibri" w:eastAsia="Calibri" w:hint="default"/>
              </w:rPr>
              <w:tab/>
              <w:t>14</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13">
            <w:r>
              <w:rPr/>
              <w:t>三、核心竞争力分析</w:t>
            </w:r>
            <w:r>
              <w:rPr>
                <w:rFonts w:ascii="Calibri" w:hAnsi="Calibri" w:cs="Calibri" w:eastAsia="Calibri" w:hint="default"/>
              </w:rPr>
              <w:tab/>
              <w:t>15</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14">
            <w:r>
              <w:rPr>
                <w:spacing w:val="2"/>
              </w:rPr>
              <w:t>第四节</w:t>
              <w:tab/>
            </w:r>
            <w:r>
              <w:rPr>
                <w:spacing w:val="3"/>
              </w:rPr>
              <w:t>管理层讨论与分析</w:t>
            </w:r>
            <w:r>
              <w:rPr>
                <w:rFonts w:ascii="Calibri" w:hAnsi="Calibri" w:cs="Calibri" w:eastAsia="Calibri" w:hint="default"/>
                <w:spacing w:val="3"/>
              </w:rPr>
              <w:tab/>
            </w:r>
            <w:r>
              <w:rPr>
                <w:rFonts w:ascii="Calibri" w:hAnsi="Calibri" w:cs="Calibri" w:eastAsia="Calibri" w:hint="default"/>
              </w:rPr>
              <w:t>20</w:t>
            </w:r>
          </w:hyperlink>
        </w:p>
        <w:p>
          <w:pPr>
            <w:pStyle w:val="TOC2"/>
            <w:tabs>
              <w:tab w:pos="9637" w:val="right" w:leader="dot"/>
            </w:tabs>
            <w:spacing w:line="333" w:lineRule="exact" w:before="61"/>
            <w:ind w:right="0"/>
            <w:jc w:val="left"/>
            <w:rPr>
              <w:rFonts w:ascii="Calibri" w:hAnsi="Calibri" w:cs="Calibri" w:eastAsia="Calibri" w:hint="default"/>
            </w:rPr>
          </w:pPr>
          <w:hyperlink w:history="true" w:anchor="_bookmark15">
            <w:r>
              <w:rPr/>
              <w:t>一、概述</w:t>
            </w:r>
            <w:r>
              <w:rPr>
                <w:rFonts w:ascii="Calibri" w:hAnsi="Calibri" w:cs="Calibri" w:eastAsia="Calibri" w:hint="default"/>
              </w:rPr>
              <w:tab/>
              <w:t>20</w:t>
            </w:r>
          </w:hyperlink>
        </w:p>
        <w:p>
          <w:pPr>
            <w:pStyle w:val="TOC2"/>
            <w:tabs>
              <w:tab w:pos="9637" w:val="right" w:leader="dot"/>
            </w:tabs>
            <w:spacing w:line="321" w:lineRule="exact"/>
            <w:ind w:right="0"/>
            <w:jc w:val="left"/>
            <w:rPr>
              <w:rFonts w:ascii="Calibri" w:hAnsi="Calibri" w:cs="Calibri" w:eastAsia="Calibri" w:hint="default"/>
            </w:rPr>
          </w:pPr>
          <w:hyperlink w:history="true" w:anchor="_bookmark16">
            <w:r>
              <w:rPr/>
              <w:t>二、主营业务分析</w:t>
            </w:r>
            <w:r>
              <w:rPr>
                <w:rFonts w:ascii="Calibri" w:hAnsi="Calibri" w:cs="Calibri" w:eastAsia="Calibri" w:hint="default"/>
              </w:rPr>
              <w:tab/>
              <w:t>25</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17">
            <w:r>
              <w:rPr/>
              <w:t>三、非主营业务情况</w:t>
            </w:r>
            <w:r>
              <w:rPr>
                <w:rFonts w:ascii="Calibri" w:hAnsi="Calibri" w:cs="Calibri" w:eastAsia="Calibri" w:hint="default"/>
              </w:rPr>
              <w:tab/>
              <w:t>30</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18">
            <w:r>
              <w:rPr/>
              <w:t>四、资产及负债状况</w:t>
            </w:r>
            <w:r>
              <w:rPr>
                <w:rFonts w:ascii="Calibri" w:hAnsi="Calibri" w:cs="Calibri" w:eastAsia="Calibri" w:hint="default"/>
              </w:rPr>
              <w:tab/>
              <w:t>31</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19">
            <w:r>
              <w:rPr/>
              <w:t>五、投资状况分析</w:t>
            </w:r>
            <w:r>
              <w:rPr>
                <w:rFonts w:ascii="Calibri" w:hAnsi="Calibri" w:cs="Calibri" w:eastAsia="Calibri" w:hint="default"/>
              </w:rPr>
              <w:tab/>
              <w:t>34</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20">
            <w:r>
              <w:rPr/>
              <w:t>六、重大资产和股权出售</w:t>
            </w:r>
            <w:r>
              <w:rPr>
                <w:rFonts w:ascii="Calibri" w:hAnsi="Calibri" w:cs="Calibri" w:eastAsia="Calibri" w:hint="default"/>
              </w:rPr>
              <w:tab/>
              <w:t>39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21">
            <w:r>
              <w:rPr/>
              <w:t>七、主要控股参股公司分析</w:t>
            </w:r>
            <w:r>
              <w:rPr>
                <w:rFonts w:ascii="Calibri" w:hAnsi="Calibri" w:cs="Calibri" w:eastAsia="Calibri" w:hint="default"/>
              </w:rPr>
              <w:tab/>
              <w:t>39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22">
            <w:r>
              <w:rPr/>
              <w:t>八、公司控制的结构化主体情况</w:t>
            </w:r>
            <w:r>
              <w:rPr>
                <w:rFonts w:ascii="Calibri" w:hAnsi="Calibri" w:cs="Calibri" w:eastAsia="Calibri" w:hint="default"/>
              </w:rPr>
              <w:tab/>
              <w:t>42</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23">
            <w:r>
              <w:rPr/>
              <w:t>九、公司未来发展的展望</w:t>
            </w:r>
            <w:r>
              <w:rPr>
                <w:rFonts w:ascii="Calibri" w:hAnsi="Calibri" w:cs="Calibri" w:eastAsia="Calibri" w:hint="default"/>
              </w:rPr>
              <w:tab/>
              <w:t>43</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24">
            <w:r>
              <w:rPr/>
              <w:t>十、接待调研、沟通、采访等活动情况</w:t>
            </w:r>
            <w:r>
              <w:rPr>
                <w:rFonts w:ascii="Calibri" w:hAnsi="Calibri" w:cs="Calibri" w:eastAsia="Calibri" w:hint="default"/>
              </w:rPr>
              <w:tab/>
              <w:t>51</w:t>
            </w:r>
          </w:hyperlink>
        </w:p>
        <w:p>
          <w:pPr>
            <w:pStyle w:val="TOC1"/>
            <w:tabs>
              <w:tab w:pos="1817" w:val="left" w:leader="none"/>
              <w:tab w:pos="9637" w:val="right" w:leader="dot"/>
            </w:tabs>
            <w:spacing w:line="240" w:lineRule="auto" w:before="39"/>
            <w:ind w:right="0"/>
            <w:jc w:val="left"/>
            <w:rPr>
              <w:rFonts w:ascii="Calibri" w:hAnsi="Calibri" w:cs="Calibri" w:eastAsia="Calibri" w:hint="default"/>
            </w:rPr>
          </w:pPr>
          <w:hyperlink w:history="true" w:anchor="_bookmark25">
            <w:r>
              <w:rPr>
                <w:spacing w:val="2"/>
              </w:rPr>
              <w:t>第五节</w:t>
              <w:tab/>
            </w:r>
            <w:r>
              <w:rPr>
                <w:spacing w:val="4"/>
              </w:rPr>
              <w:t>重要事项</w:t>
            </w:r>
            <w:r>
              <w:rPr>
                <w:rFonts w:ascii="Calibri" w:hAnsi="Calibri" w:cs="Calibri" w:eastAsia="Calibri" w:hint="default"/>
                <w:spacing w:val="4"/>
              </w:rPr>
              <w:tab/>
            </w:r>
            <w:r>
              <w:rPr>
                <w:rFonts w:ascii="Calibri" w:hAnsi="Calibri" w:cs="Calibri" w:eastAsia="Calibri" w:hint="default"/>
              </w:rPr>
              <w:t>53</w:t>
            </w:r>
          </w:hyperlink>
        </w:p>
        <w:p>
          <w:pPr>
            <w:pStyle w:val="TOC2"/>
            <w:tabs>
              <w:tab w:pos="9637" w:val="right" w:leader="dot"/>
            </w:tabs>
            <w:spacing w:line="332" w:lineRule="exact" w:before="61"/>
            <w:ind w:right="0"/>
            <w:jc w:val="left"/>
            <w:rPr>
              <w:rFonts w:ascii="Calibri" w:hAnsi="Calibri" w:cs="Calibri" w:eastAsia="Calibri" w:hint="default"/>
            </w:rPr>
          </w:pPr>
          <w:hyperlink w:history="true" w:anchor="_bookmark26">
            <w:r>
              <w:rPr/>
              <w:t>一、公司普通股利润分配及资本公积金转增股本情况</w:t>
            </w:r>
            <w:r>
              <w:rPr>
                <w:rFonts w:ascii="Calibri" w:hAnsi="Calibri" w:cs="Calibri" w:eastAsia="Calibri" w:hint="default"/>
              </w:rPr>
              <w:tab/>
              <w:t>53</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27">
            <w:r>
              <w:rPr/>
              <w:t>二、承诺事项履行情况</w:t>
            </w:r>
            <w:r>
              <w:rPr>
                <w:rFonts w:ascii="Calibri" w:hAnsi="Calibri" w:cs="Calibri" w:eastAsia="Calibri" w:hint="default"/>
              </w:rPr>
              <w:tab/>
              <w:t>54</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28">
            <w:r>
              <w:rPr/>
              <w:t>三、控股股东及其关联方对上市公司的非经营性占用资金情况</w:t>
            </w:r>
            <w:r>
              <w:rPr>
                <w:rFonts w:ascii="Calibri" w:hAnsi="Calibri" w:cs="Calibri" w:eastAsia="Calibri" w:hint="default"/>
              </w:rPr>
              <w:tab/>
              <w:t>56</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29">
            <w:r>
              <w:rPr/>
              <w:t>四、董事会对最近一期</w:t>
            </w:r>
            <w:r>
              <w:rPr>
                <w:rFonts w:ascii="Calibri" w:hAnsi="Calibri" w:cs="Calibri" w:eastAsia="Calibri" w:hint="default"/>
              </w:rPr>
              <w:t>“</w:t>
            </w:r>
            <w:r>
              <w:rPr/>
              <w:t>非标准审计报告</w:t>
            </w:r>
            <w:r>
              <w:rPr>
                <w:rFonts w:ascii="Calibri" w:hAnsi="Calibri" w:cs="Calibri" w:eastAsia="Calibri" w:hint="default"/>
              </w:rPr>
              <w:t>”</w:t>
            </w:r>
            <w:r>
              <w:rPr/>
              <w:t>相关情况的说明</w:t>
            </w:r>
            <w:r>
              <w:rPr>
                <w:rFonts w:ascii="Calibri" w:hAnsi="Calibri" w:cs="Calibri" w:eastAsia="Calibri" w:hint="default"/>
              </w:rPr>
              <w:tab/>
              <w:t>56</w:t>
            </w:r>
          </w:hyperlink>
        </w:p>
        <w:p>
          <w:pPr>
            <w:pStyle w:val="TOC2"/>
            <w:tabs>
              <w:tab w:pos="9620" w:val="right" w:leader="dot"/>
            </w:tabs>
            <w:spacing w:line="320" w:lineRule="exact" w:before="11"/>
            <w:ind w:left="617" w:right="146" w:firstLine="479"/>
            <w:jc w:val="left"/>
            <w:rPr>
              <w:rFonts w:ascii="Calibri" w:hAnsi="Calibri" w:cs="Calibri" w:eastAsia="Calibri" w:hint="default"/>
            </w:rPr>
          </w:pPr>
          <w:hyperlink w:history="true" w:anchor="_bookmark30">
            <w:r>
              <w:rPr/>
              <w:t>五、董事会、监事会、独立董事（如有）对会计师事务所本报告期</w:t>
            </w:r>
            <w:r>
              <w:rPr>
                <w:rFonts w:ascii="Calibri" w:hAnsi="Calibri" w:cs="Calibri" w:eastAsia="Calibri" w:hint="default"/>
              </w:rPr>
              <w:t>“</w:t>
            </w:r>
            <w:r>
              <w:rPr/>
              <w:t>非标准审计报</w:t>
            </w:r>
          </w:hyperlink>
          <w:r>
            <w:rPr/>
            <w:t> </w:t>
          </w:r>
          <w:hyperlink w:history="true" w:anchor="_bookmark30">
            <w:r>
              <w:rPr/>
              <w:t>告</w:t>
            </w:r>
            <w:r>
              <w:rPr>
                <w:rFonts w:ascii="Calibri" w:hAnsi="Calibri" w:cs="Calibri" w:eastAsia="Calibri" w:hint="default"/>
              </w:rPr>
              <w:t>”</w:t>
            </w:r>
            <w:r>
              <w:rPr/>
              <w:t>的说明</w:t>
            </w:r>
            <w:r>
              <w:rPr>
                <w:rFonts w:ascii="Calibri" w:hAnsi="Calibri" w:cs="Calibri" w:eastAsia="Calibri" w:hint="default"/>
              </w:rPr>
              <w:t> </w:t>
              <w:tab/>
            </w:r>
            <w:r>
              <w:rPr>
                <w:rFonts w:ascii="Calibri" w:hAnsi="Calibri" w:cs="Calibri" w:eastAsia="Calibri" w:hint="default"/>
                <w:w w:val="31"/>
              </w:rPr>
              <w:t> </w:t>
            </w:r>
            <w:r>
              <w:rPr>
                <w:rFonts w:ascii="Calibri" w:hAnsi="Calibri" w:cs="Calibri" w:eastAsia="Calibri" w:hint="default"/>
              </w:rPr>
              <w:t>56</w:t>
            </w:r>
          </w:hyperlink>
        </w:p>
        <w:p>
          <w:pPr>
            <w:pStyle w:val="TOC2"/>
            <w:tabs>
              <w:tab w:pos="9637" w:val="right" w:leader="dot"/>
            </w:tabs>
            <w:spacing w:line="309" w:lineRule="exact"/>
            <w:ind w:right="0"/>
            <w:jc w:val="left"/>
            <w:rPr>
              <w:rFonts w:ascii="Calibri" w:hAnsi="Calibri" w:cs="Calibri" w:eastAsia="Calibri" w:hint="default"/>
            </w:rPr>
          </w:pPr>
          <w:hyperlink w:history="true" w:anchor="_bookmark31">
            <w:r>
              <w:rPr/>
              <w:t>六、董事会关于报告期会计政策、会计估计变更或重大会计差错更正的说明</w:t>
            </w:r>
            <w:r>
              <w:rPr>
                <w:rFonts w:ascii="Calibri" w:hAnsi="Calibri" w:cs="Calibri" w:eastAsia="Calibri" w:hint="default"/>
              </w:rPr>
              <w:tab/>
              <w:t>57</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32">
            <w:r>
              <w:rPr/>
              <w:t>七、与上年度财务报告相比，合并报表范围发生变化的情况说明</w:t>
            </w:r>
            <w:r>
              <w:rPr>
                <w:rFonts w:ascii="Calibri" w:hAnsi="Calibri" w:cs="Calibri" w:eastAsia="Calibri" w:hint="default"/>
              </w:rPr>
              <w:tab/>
              <w:t>57</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33">
            <w:r>
              <w:rPr/>
              <w:t>八、聘任、解聘会计师事务所情况</w:t>
            </w:r>
            <w:r>
              <w:rPr>
                <w:rFonts w:ascii="Calibri" w:hAnsi="Calibri" w:cs="Calibri" w:eastAsia="Calibri" w:hint="default"/>
              </w:rPr>
              <w:tab/>
              <w:t>58</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34">
            <w:r>
              <w:rPr/>
              <w:t>九、年度报告披露后面临暂停上市和终止上市情况</w:t>
            </w:r>
            <w:r>
              <w:rPr>
                <w:rFonts w:ascii="Calibri" w:hAnsi="Calibri" w:cs="Calibri" w:eastAsia="Calibri" w:hint="default"/>
              </w:rPr>
              <w:tab/>
              <w:t>58</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35">
            <w:r>
              <w:rPr/>
              <w:t>十、破产重整相关事项</w:t>
            </w:r>
            <w:r>
              <w:rPr>
                <w:rFonts w:ascii="Calibri" w:hAnsi="Calibri" w:cs="Calibri" w:eastAsia="Calibri" w:hint="default"/>
              </w:rPr>
              <w:tab/>
              <w:t>58</w:t>
            </w:r>
          </w:hyperlink>
        </w:p>
        <w:p>
          <w:pPr>
            <w:pStyle w:val="TOC2"/>
            <w:tabs>
              <w:tab w:pos="9637" w:val="right" w:leader="dot"/>
            </w:tabs>
            <w:spacing w:line="332" w:lineRule="exact" w:before="181"/>
            <w:ind w:right="0"/>
            <w:jc w:val="left"/>
            <w:rPr>
              <w:rFonts w:ascii="Calibri" w:hAnsi="Calibri" w:cs="Calibri" w:eastAsia="Calibri" w:hint="default"/>
            </w:rPr>
          </w:pPr>
          <w:hyperlink w:history="true" w:anchor="_bookmark36">
            <w:r>
              <w:rPr/>
              <w:t>十一、重大诉讼、仲裁事项</w:t>
            </w:r>
            <w:r>
              <w:rPr>
                <w:rFonts w:ascii="Calibri" w:hAnsi="Calibri" w:cs="Calibri" w:eastAsia="Calibri" w:hint="default"/>
              </w:rPr>
              <w:tab/>
              <w:t>58</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37">
            <w:r>
              <w:rPr/>
              <w:t>十二、处罚及整改情况</w:t>
            </w:r>
            <w:r>
              <w:rPr>
                <w:rFonts w:ascii="Calibri" w:hAnsi="Calibri" w:cs="Calibri" w:eastAsia="Calibri" w:hint="default"/>
              </w:rPr>
              <w:tab/>
              <w:t>59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38">
            <w:r>
              <w:rPr/>
              <w:t>十三、公司及其控股股东、实际控制人的诚信状况</w:t>
            </w:r>
            <w:r>
              <w:rPr>
                <w:rFonts w:ascii="Calibri" w:hAnsi="Calibri" w:cs="Calibri" w:eastAsia="Calibri" w:hint="default"/>
              </w:rPr>
              <w:tab/>
              <w:t>59</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39">
            <w:r>
              <w:rPr/>
              <w:t>十四、公司股权激励计划、员工持股计划或其他员工激励措施的实施情况</w:t>
            </w:r>
            <w:r>
              <w:rPr>
                <w:rFonts w:ascii="Calibri" w:hAnsi="Calibri" w:cs="Calibri" w:eastAsia="Calibri" w:hint="default"/>
              </w:rPr>
              <w:tab/>
              <w:t>59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40">
            <w:r>
              <w:rPr/>
              <w:t>十五、重大关联交易</w:t>
            </w:r>
            <w:r>
              <w:rPr>
                <w:rFonts w:ascii="Calibri" w:hAnsi="Calibri" w:cs="Calibri" w:eastAsia="Calibri" w:hint="default"/>
              </w:rPr>
              <w:tab/>
              <w:t>62</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41">
            <w:r>
              <w:rPr/>
              <w:t>十六、重大合同及其履行情况</w:t>
            </w:r>
            <w:r>
              <w:rPr>
                <w:rFonts w:ascii="Calibri" w:hAnsi="Calibri" w:cs="Calibri" w:eastAsia="Calibri" w:hint="default"/>
              </w:rPr>
              <w:tab/>
              <w:t>63</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42">
            <w:r>
              <w:rPr/>
              <w:t>十七、其他重大事项的说明</w:t>
            </w:r>
            <w:r>
              <w:rPr>
                <w:rFonts w:ascii="Calibri" w:hAnsi="Calibri" w:cs="Calibri" w:eastAsia="Calibri" w:hint="default"/>
              </w:rPr>
              <w:tab/>
              <w:t>69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43">
            <w:r>
              <w:rPr/>
              <w:t>十八、公司子公司重大事项</w:t>
            </w:r>
            <w:r>
              <w:rPr>
                <w:rFonts w:ascii="Calibri" w:hAnsi="Calibri" w:cs="Calibri" w:eastAsia="Calibri" w:hint="default"/>
              </w:rPr>
              <w:tab/>
              <w:t>69</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44">
            <w:r>
              <w:rPr/>
              <w:t>十九、社会责任情况</w:t>
            </w:r>
            <w:r>
              <w:rPr>
                <w:rFonts w:ascii="Calibri" w:hAnsi="Calibri" w:cs="Calibri" w:eastAsia="Calibri" w:hint="default"/>
              </w:rPr>
              <w:tab/>
              <w:t>69</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45">
            <w:r>
              <w:rPr/>
              <w:t>二十、公司债券相关情况</w:t>
            </w:r>
            <w:r>
              <w:rPr>
                <w:rFonts w:ascii="Calibri" w:hAnsi="Calibri" w:cs="Calibri" w:eastAsia="Calibri" w:hint="default"/>
              </w:rPr>
              <w:tab/>
              <w:t>70</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46">
            <w:r>
              <w:rPr>
                <w:spacing w:val="2"/>
              </w:rPr>
              <w:t>第六节</w:t>
              <w:tab/>
            </w:r>
            <w:r>
              <w:rPr>
                <w:spacing w:val="3"/>
              </w:rPr>
              <w:t>股份变动及股东情况</w:t>
            </w:r>
            <w:r>
              <w:rPr>
                <w:rFonts w:ascii="Calibri" w:hAnsi="Calibri" w:cs="Calibri" w:eastAsia="Calibri" w:hint="default"/>
                <w:spacing w:val="3"/>
              </w:rPr>
              <w:tab/>
            </w:r>
            <w:r>
              <w:rPr>
                <w:rFonts w:ascii="Calibri" w:hAnsi="Calibri" w:cs="Calibri" w:eastAsia="Calibri" w:hint="default"/>
              </w:rPr>
              <w:t>71</w:t>
            </w:r>
          </w:hyperlink>
        </w:p>
        <w:p>
          <w:pPr>
            <w:pStyle w:val="TOC2"/>
            <w:tabs>
              <w:tab w:pos="9637" w:val="right" w:leader="dot"/>
            </w:tabs>
            <w:spacing w:line="333" w:lineRule="exact" w:before="61"/>
            <w:ind w:right="0"/>
            <w:jc w:val="left"/>
            <w:rPr>
              <w:rFonts w:ascii="Calibri" w:hAnsi="Calibri" w:cs="Calibri" w:eastAsia="Calibri" w:hint="default"/>
            </w:rPr>
          </w:pPr>
          <w:hyperlink w:history="true" w:anchor="_bookmark47">
            <w:r>
              <w:rPr/>
              <w:t>一、股份变动情况</w:t>
            </w:r>
            <w:r>
              <w:rPr>
                <w:rFonts w:ascii="Calibri" w:hAnsi="Calibri" w:cs="Calibri" w:eastAsia="Calibri" w:hint="default"/>
              </w:rPr>
              <w:tab/>
              <w:t>71</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48">
            <w:r>
              <w:rPr/>
              <w:t>二、证券发行与上市情况</w:t>
            </w:r>
            <w:r>
              <w:rPr>
                <w:rFonts w:ascii="Calibri" w:hAnsi="Calibri" w:cs="Calibri" w:eastAsia="Calibri" w:hint="default"/>
              </w:rPr>
              <w:tab/>
              <w:t>73</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49">
            <w:r>
              <w:rPr/>
              <w:t>三、股东和实际控制人情况</w:t>
            </w:r>
            <w:r>
              <w:rPr>
                <w:rFonts w:ascii="Calibri" w:hAnsi="Calibri" w:cs="Calibri" w:eastAsia="Calibri" w:hint="default"/>
              </w:rPr>
              <w:tab/>
              <w:t>73</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50">
            <w:r>
              <w:rPr>
                <w:spacing w:val="2"/>
              </w:rPr>
              <w:t>第七节</w:t>
              <w:tab/>
            </w:r>
            <w:r>
              <w:rPr>
                <w:spacing w:val="3"/>
              </w:rPr>
              <w:t>优先股相关情况</w:t>
            </w:r>
            <w:r>
              <w:rPr>
                <w:rFonts w:ascii="Calibri" w:hAnsi="Calibri" w:cs="Calibri" w:eastAsia="Calibri" w:hint="default"/>
                <w:spacing w:val="3"/>
              </w:rPr>
              <w:tab/>
            </w:r>
            <w:r>
              <w:rPr>
                <w:rFonts w:ascii="Calibri" w:hAnsi="Calibri" w:cs="Calibri" w:eastAsia="Calibri" w:hint="default"/>
              </w:rPr>
              <w:t>77</w:t>
            </w:r>
          </w:hyperlink>
        </w:p>
        <w:p>
          <w:pPr>
            <w:pStyle w:val="TOC1"/>
            <w:tabs>
              <w:tab w:pos="1817" w:val="left" w:leader="none"/>
              <w:tab w:pos="9637" w:val="right" w:leader="dot"/>
            </w:tabs>
            <w:spacing w:line="240" w:lineRule="auto" w:before="123"/>
            <w:ind w:right="0"/>
            <w:jc w:val="left"/>
            <w:rPr>
              <w:rFonts w:ascii="Calibri" w:hAnsi="Calibri" w:cs="Calibri" w:eastAsia="Calibri" w:hint="default"/>
            </w:rPr>
          </w:pPr>
          <w:hyperlink w:history="true" w:anchor="_bookmark51">
            <w:r>
              <w:rPr>
                <w:spacing w:val="2"/>
              </w:rPr>
              <w:t>第八节</w:t>
              <w:tab/>
            </w:r>
            <w:r>
              <w:rPr>
                <w:spacing w:val="3"/>
              </w:rPr>
              <w:t>董事、监事和高级管理人员和员工情况</w:t>
            </w:r>
            <w:r>
              <w:rPr>
                <w:rFonts w:ascii="Calibri" w:hAnsi="Calibri" w:cs="Calibri" w:eastAsia="Calibri" w:hint="default"/>
                <w:spacing w:val="3"/>
              </w:rPr>
              <w:tab/>
            </w:r>
            <w:r>
              <w:rPr>
                <w:rFonts w:ascii="Calibri" w:hAnsi="Calibri" w:cs="Calibri" w:eastAsia="Calibri" w:hint="default"/>
              </w:rPr>
              <w:t>77</w:t>
            </w:r>
          </w:hyperlink>
        </w:p>
        <w:p>
          <w:pPr>
            <w:pStyle w:val="TOC2"/>
            <w:tabs>
              <w:tab w:pos="9637" w:val="right" w:leader="dot"/>
            </w:tabs>
            <w:spacing w:line="333" w:lineRule="exact" w:before="61"/>
            <w:ind w:right="0"/>
            <w:jc w:val="left"/>
            <w:rPr>
              <w:rFonts w:ascii="Calibri" w:hAnsi="Calibri" w:cs="Calibri" w:eastAsia="Calibri" w:hint="default"/>
            </w:rPr>
          </w:pPr>
          <w:hyperlink w:history="true" w:anchor="_bookmark52">
            <w:r>
              <w:rPr/>
              <w:t>一、董事、监事和高级管理人员持股变动</w:t>
            </w:r>
            <w:r>
              <w:rPr>
                <w:rFonts w:ascii="Calibri" w:hAnsi="Calibri" w:cs="Calibri" w:eastAsia="Calibri" w:hint="default"/>
              </w:rPr>
              <w:tab/>
              <w:t>77</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53">
            <w:r>
              <w:rPr/>
              <w:t>二、公司董事、监事、高级管理人员变动情况</w:t>
            </w:r>
            <w:r>
              <w:rPr>
                <w:rFonts w:ascii="Calibri" w:hAnsi="Calibri" w:cs="Calibri" w:eastAsia="Calibri" w:hint="default"/>
              </w:rPr>
              <w:tab/>
              <w:t>78</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54">
            <w:r>
              <w:rPr/>
              <w:t>三、任职情况</w:t>
            </w:r>
            <w:r>
              <w:rPr>
                <w:rFonts w:ascii="Calibri" w:hAnsi="Calibri" w:cs="Calibri" w:eastAsia="Calibri" w:hint="default"/>
              </w:rPr>
              <w:tab/>
              <w:t>78</w:t>
            </w:r>
          </w:hyperlink>
        </w:p>
        <w:p>
          <w:pPr>
            <w:pStyle w:val="TOC2"/>
            <w:tabs>
              <w:tab w:pos="9637" w:val="right" w:leader="dot"/>
            </w:tabs>
            <w:spacing w:line="321" w:lineRule="exact"/>
            <w:ind w:right="0"/>
            <w:jc w:val="left"/>
            <w:rPr>
              <w:rFonts w:ascii="Calibri" w:hAnsi="Calibri" w:cs="Calibri" w:eastAsia="Calibri" w:hint="default"/>
            </w:rPr>
          </w:pPr>
          <w:hyperlink w:history="true" w:anchor="_bookmark55">
            <w:r>
              <w:rPr/>
              <w:t>四、董事、监事、高级管理人员报酬情况</w:t>
            </w:r>
            <w:r>
              <w:rPr>
                <w:rFonts w:ascii="Calibri" w:hAnsi="Calibri" w:cs="Calibri" w:eastAsia="Calibri" w:hint="default"/>
              </w:rPr>
              <w:tab/>
              <w:t>82</w:t>
            </w:r>
          </w:hyperlink>
        </w:p>
        <w:p>
          <w:pPr>
            <w:pStyle w:val="TOC2"/>
            <w:tabs>
              <w:tab w:pos="9637" w:val="right" w:leader="dot"/>
            </w:tabs>
            <w:spacing w:line="333" w:lineRule="exact"/>
            <w:ind w:right="0"/>
            <w:jc w:val="left"/>
            <w:rPr>
              <w:rFonts w:ascii="Calibri" w:hAnsi="Calibri" w:cs="Calibri" w:eastAsia="Calibri" w:hint="default"/>
            </w:rPr>
          </w:pPr>
          <w:hyperlink w:history="true" w:anchor="_bookmark56">
            <w:r>
              <w:rPr/>
              <w:t>五、公司员工情况</w:t>
            </w:r>
            <w:r>
              <w:rPr>
                <w:rFonts w:ascii="Calibri" w:hAnsi="Calibri" w:cs="Calibri" w:eastAsia="Calibri" w:hint="default"/>
              </w:rPr>
              <w:tab/>
              <w:t>83</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57">
            <w:r>
              <w:rPr>
                <w:spacing w:val="2"/>
              </w:rPr>
              <w:t>第九节</w:t>
              <w:tab/>
            </w:r>
            <w:r>
              <w:rPr>
                <w:spacing w:val="4"/>
              </w:rPr>
              <w:t>公司治理</w:t>
            </w:r>
            <w:r>
              <w:rPr>
                <w:rFonts w:ascii="Calibri" w:hAnsi="Calibri" w:cs="Calibri" w:eastAsia="Calibri" w:hint="default"/>
                <w:spacing w:val="4"/>
              </w:rPr>
              <w:tab/>
            </w:r>
            <w:r>
              <w:rPr>
                <w:rFonts w:ascii="Calibri" w:hAnsi="Calibri" w:cs="Calibri" w:eastAsia="Calibri" w:hint="default"/>
              </w:rPr>
              <w:t>85</w:t>
            </w:r>
          </w:hyperlink>
        </w:p>
        <w:p>
          <w:pPr>
            <w:pStyle w:val="TOC2"/>
            <w:tabs>
              <w:tab w:pos="9637" w:val="right" w:leader="dot"/>
            </w:tabs>
            <w:spacing w:line="332" w:lineRule="exact" w:before="61"/>
            <w:ind w:right="0"/>
            <w:jc w:val="left"/>
            <w:rPr>
              <w:rFonts w:ascii="Calibri" w:hAnsi="Calibri" w:cs="Calibri" w:eastAsia="Calibri" w:hint="default"/>
            </w:rPr>
          </w:pPr>
          <w:hyperlink w:history="true" w:anchor="_bookmark58">
            <w:r>
              <w:rPr/>
              <w:t>一、公司治理的基本状况</w:t>
            </w:r>
            <w:r>
              <w:rPr>
                <w:rFonts w:ascii="Calibri" w:hAnsi="Calibri" w:cs="Calibri" w:eastAsia="Calibri" w:hint="default"/>
              </w:rPr>
              <w:tab/>
              <w:t>85</w:t>
            </w:r>
          </w:hyperlink>
        </w:p>
        <w:p>
          <w:pPr>
            <w:pStyle w:val="TOC2"/>
            <w:spacing w:line="320" w:lineRule="exact"/>
            <w:ind w:right="0"/>
            <w:jc w:val="left"/>
            <w:rPr>
              <w:rFonts w:ascii="Calibri" w:hAnsi="Calibri" w:cs="Calibri" w:eastAsia="Calibri" w:hint="default"/>
            </w:rPr>
          </w:pPr>
          <w:hyperlink w:history="true" w:anchor="_bookmark59">
            <w:r>
              <w:rPr/>
              <w:t>二、公司相对于控股股东在业务、人员、资产、机构、财务等方面的独立情况</w:t>
            </w:r>
            <w:r>
              <w:rPr>
                <w:spacing w:val="-77"/>
              </w:rPr>
              <w:t> </w:t>
            </w:r>
            <w:r>
              <w:rPr>
                <w:rFonts w:ascii="Calibri" w:hAnsi="Calibri" w:cs="Calibri" w:eastAsia="Calibri" w:hint="default"/>
              </w:rPr>
              <w:t>.</w:t>
            </w:r>
            <w:r>
              <w:rPr>
                <w:rFonts w:ascii="Calibri" w:hAnsi="Calibri" w:cs="Calibri" w:eastAsia="Calibri" w:hint="default"/>
                <w:spacing w:val="-24"/>
              </w:rPr>
              <w:t> </w:t>
            </w:r>
            <w:r>
              <w:rPr>
                <w:rFonts w:ascii="Calibri" w:hAnsi="Calibri" w:cs="Calibri" w:eastAsia="Calibri" w:hint="default"/>
              </w:rPr>
              <w:t>86</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60">
            <w:r>
              <w:rPr/>
              <w:t>三、同业竞争情况</w:t>
            </w:r>
            <w:r>
              <w:rPr>
                <w:rFonts w:ascii="Calibri" w:hAnsi="Calibri" w:cs="Calibri" w:eastAsia="Calibri" w:hint="default"/>
              </w:rPr>
              <w:tab/>
              <w:t>87</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61">
            <w:r>
              <w:rPr/>
              <w:t>四、报告期内召开的年度股东大会和临时股东大会的有关情况</w:t>
            </w:r>
            <w:r>
              <w:rPr>
                <w:rFonts w:ascii="Calibri" w:hAnsi="Calibri" w:cs="Calibri" w:eastAsia="Calibri" w:hint="default"/>
              </w:rPr>
              <w:tab/>
              <w:t>87</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62">
            <w:r>
              <w:rPr/>
              <w:t>五、报告期内独立董事履行职责的情况</w:t>
            </w:r>
            <w:r>
              <w:rPr>
                <w:rFonts w:ascii="Calibri" w:hAnsi="Calibri" w:cs="Calibri" w:eastAsia="Calibri" w:hint="default"/>
              </w:rPr>
              <w:tab/>
              <w:t>87</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63">
            <w:r>
              <w:rPr/>
              <w:t>六、董事会下设专门委员会在报告期内履行职责情况</w:t>
            </w:r>
            <w:r>
              <w:rPr>
                <w:rFonts w:ascii="Calibri" w:hAnsi="Calibri" w:cs="Calibri" w:eastAsia="Calibri" w:hint="default"/>
              </w:rPr>
              <w:tab/>
              <w:t>89</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64">
            <w:r>
              <w:rPr/>
              <w:t>七、监事会工作情况</w:t>
            </w:r>
            <w:r>
              <w:rPr>
                <w:rFonts w:ascii="Calibri" w:hAnsi="Calibri" w:cs="Calibri" w:eastAsia="Calibri" w:hint="default"/>
              </w:rPr>
              <w:tab/>
              <w:t>92</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65">
            <w:r>
              <w:rPr/>
              <w:t>八、高级管理人员的考评及激励情况</w:t>
            </w:r>
            <w:r>
              <w:rPr>
                <w:rFonts w:ascii="Calibri" w:hAnsi="Calibri" w:cs="Calibri" w:eastAsia="Calibri" w:hint="default"/>
              </w:rPr>
              <w:tab/>
              <w:t>92</w:t>
            </w:r>
          </w:hyperlink>
        </w:p>
        <w:p>
          <w:pPr>
            <w:pStyle w:val="TOC2"/>
            <w:tabs>
              <w:tab w:pos="9637" w:val="right" w:leader="dot"/>
            </w:tabs>
            <w:spacing w:line="321" w:lineRule="exact"/>
            <w:ind w:right="0"/>
            <w:jc w:val="left"/>
            <w:rPr>
              <w:rFonts w:ascii="Calibri" w:hAnsi="Calibri" w:cs="Calibri" w:eastAsia="Calibri" w:hint="default"/>
            </w:rPr>
          </w:pPr>
          <w:hyperlink w:history="true" w:anchor="_bookmark66">
            <w:r>
              <w:rPr/>
              <w:t>九、内部控制评价报告</w:t>
            </w:r>
            <w:r>
              <w:rPr>
                <w:rFonts w:ascii="Calibri" w:hAnsi="Calibri" w:cs="Calibri" w:eastAsia="Calibri" w:hint="default"/>
              </w:rPr>
              <w:tab/>
              <w:t>93</w:t>
            </w:r>
          </w:hyperlink>
        </w:p>
        <w:p>
          <w:pPr>
            <w:pStyle w:val="TOC2"/>
            <w:tabs>
              <w:tab w:pos="9637" w:val="right" w:leader="dot"/>
            </w:tabs>
            <w:spacing w:line="332" w:lineRule="exact"/>
            <w:ind w:right="0"/>
            <w:jc w:val="left"/>
            <w:rPr>
              <w:rFonts w:ascii="Calibri" w:hAnsi="Calibri" w:cs="Calibri" w:eastAsia="Calibri" w:hint="default"/>
            </w:rPr>
          </w:pPr>
          <w:hyperlink w:history="true" w:anchor="_bookmark67">
            <w:r>
              <w:rPr/>
              <w:t>十、内部控制审计报告或鉴证报告</w:t>
            </w:r>
            <w:r>
              <w:rPr>
                <w:rFonts w:ascii="Calibri" w:hAnsi="Calibri" w:cs="Calibri" w:eastAsia="Calibri" w:hint="default"/>
              </w:rPr>
              <w:tab/>
              <w:t>94</w:t>
            </w:r>
          </w:hyperlink>
        </w:p>
        <w:p>
          <w:pPr>
            <w:pStyle w:val="TOC1"/>
            <w:tabs>
              <w:tab w:pos="1817" w:val="left" w:leader="none"/>
              <w:tab w:pos="9637" w:val="right" w:leader="dot"/>
            </w:tabs>
            <w:spacing w:line="240" w:lineRule="auto"/>
            <w:ind w:right="0"/>
            <w:jc w:val="left"/>
            <w:rPr>
              <w:rFonts w:ascii="Calibri" w:hAnsi="Calibri" w:cs="Calibri" w:eastAsia="Calibri" w:hint="default"/>
            </w:rPr>
          </w:pPr>
          <w:hyperlink w:history="true" w:anchor="_bookmark68">
            <w:r>
              <w:rPr>
                <w:spacing w:val="2"/>
              </w:rPr>
              <w:t>第十节</w:t>
              <w:tab/>
            </w:r>
            <w:r>
              <w:rPr>
                <w:spacing w:val="4"/>
              </w:rPr>
              <w:t>财务报告</w:t>
            </w:r>
            <w:r>
              <w:rPr>
                <w:rFonts w:ascii="Calibri" w:hAnsi="Calibri" w:cs="Calibri" w:eastAsia="Calibri" w:hint="default"/>
                <w:spacing w:val="4"/>
              </w:rPr>
              <w:tab/>
            </w:r>
            <w:r>
              <w:rPr>
                <w:rFonts w:ascii="Calibri" w:hAnsi="Calibri" w:cs="Calibri" w:eastAsia="Calibri" w:hint="default"/>
              </w:rPr>
              <w:t>95</w:t>
            </w:r>
          </w:hyperlink>
        </w:p>
        <w:p>
          <w:pPr>
            <w:pStyle w:val="TOC2"/>
            <w:tabs>
              <w:tab w:pos="9637" w:val="right" w:leader="dot"/>
            </w:tabs>
            <w:spacing w:line="333" w:lineRule="exact" w:before="61"/>
            <w:ind w:right="0"/>
            <w:jc w:val="left"/>
            <w:rPr>
              <w:rFonts w:ascii="Calibri" w:hAnsi="Calibri" w:cs="Calibri" w:eastAsia="Calibri" w:hint="default"/>
            </w:rPr>
          </w:pPr>
          <w:hyperlink w:history="true" w:anchor="_bookmark69">
            <w:r>
              <w:rPr/>
              <w:t>一、审计报告</w:t>
            </w:r>
            <w:r>
              <w:rPr>
                <w:rFonts w:ascii="Calibri" w:hAnsi="Calibri" w:cs="Calibri" w:eastAsia="Calibri" w:hint="default"/>
              </w:rPr>
              <w:tab/>
              <w:t>95</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0">
            <w:r>
              <w:rPr/>
              <w:t>二、财务报表</w:t>
            </w:r>
            <w:r>
              <w:rPr>
                <w:rFonts w:ascii="Calibri" w:hAnsi="Calibri" w:cs="Calibri" w:eastAsia="Calibri" w:hint="default"/>
              </w:rPr>
              <w:tab/>
              <w:t>96</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71">
            <w:r>
              <w:rPr/>
              <w:t>三、公司基本情况</w:t>
            </w:r>
            <w:r>
              <w:rPr>
                <w:rFonts w:ascii="Calibri" w:hAnsi="Calibri" w:cs="Calibri" w:eastAsia="Calibri" w:hint="default"/>
              </w:rPr>
              <w:tab/>
              <w:t>114</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2">
            <w:r>
              <w:rPr/>
              <w:t>四、财务报表的编制基础</w:t>
            </w:r>
            <w:r>
              <w:rPr>
                <w:rFonts w:ascii="Calibri" w:hAnsi="Calibri" w:cs="Calibri" w:eastAsia="Calibri" w:hint="default"/>
              </w:rPr>
              <w:tab/>
              <w:t>114</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3">
            <w:r>
              <w:rPr/>
              <w:t>五、重要会计政策及会计估计</w:t>
            </w:r>
            <w:r>
              <w:rPr>
                <w:rFonts w:ascii="Calibri" w:hAnsi="Calibri" w:cs="Calibri" w:eastAsia="Calibri" w:hint="default"/>
              </w:rPr>
              <w:tab/>
              <w:t>114</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74">
            <w:r>
              <w:rPr/>
              <w:t>六、税项</w:t>
            </w:r>
            <w:r>
              <w:rPr>
                <w:rFonts w:ascii="Calibri" w:hAnsi="Calibri" w:cs="Calibri" w:eastAsia="Calibri" w:hint="default"/>
              </w:rPr>
              <w:tab/>
              <w:t>138</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5">
            <w:r>
              <w:rPr/>
              <w:t>七、合并财务报表项目注释</w:t>
            </w:r>
            <w:r>
              <w:rPr>
                <w:rFonts w:ascii="Calibri" w:hAnsi="Calibri" w:cs="Calibri" w:eastAsia="Calibri" w:hint="default"/>
              </w:rPr>
              <w:tab/>
              <w:t>139</w:t>
            </w:r>
          </w:hyperlink>
        </w:p>
        <w:p>
          <w:pPr>
            <w:pStyle w:val="TOC2"/>
            <w:tabs>
              <w:tab w:pos="9637" w:val="right" w:leader="dot"/>
            </w:tabs>
            <w:spacing w:line="333" w:lineRule="exact"/>
            <w:ind w:right="0"/>
            <w:jc w:val="left"/>
            <w:rPr>
              <w:rFonts w:ascii="Calibri" w:hAnsi="Calibri" w:cs="Calibri" w:eastAsia="Calibri" w:hint="default"/>
            </w:rPr>
          </w:pPr>
          <w:hyperlink w:history="true" w:anchor="_bookmark76">
            <w:r>
              <w:rPr/>
              <w:t>八、合并范围的变更</w:t>
            </w:r>
            <w:r>
              <w:rPr>
                <w:rFonts w:ascii="Calibri" w:hAnsi="Calibri" w:cs="Calibri" w:eastAsia="Calibri" w:hint="default"/>
              </w:rPr>
              <w:tab/>
              <w:t>171</w:t>
            </w:r>
          </w:hyperlink>
        </w:p>
        <w:p>
          <w:pPr>
            <w:pStyle w:val="TOC2"/>
            <w:tabs>
              <w:tab w:pos="9637" w:val="right" w:leader="dot"/>
            </w:tabs>
            <w:spacing w:line="332" w:lineRule="exact" w:before="181"/>
            <w:ind w:right="0"/>
            <w:jc w:val="left"/>
            <w:rPr>
              <w:rFonts w:ascii="Calibri" w:hAnsi="Calibri" w:cs="Calibri" w:eastAsia="Calibri" w:hint="default"/>
            </w:rPr>
          </w:pPr>
          <w:hyperlink w:history="true" w:anchor="_bookmark77">
            <w:r>
              <w:rPr/>
              <w:t>九、在其他主体中的权益</w:t>
            </w:r>
            <w:r>
              <w:rPr>
                <w:rFonts w:ascii="Calibri" w:hAnsi="Calibri" w:cs="Calibri" w:eastAsia="Calibri" w:hint="default"/>
              </w:rPr>
              <w:tab/>
              <w:t>173</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8">
            <w:r>
              <w:rPr/>
              <w:t>十、与金融工具相关的风险</w:t>
            </w:r>
            <w:r>
              <w:rPr>
                <w:rFonts w:ascii="Calibri" w:hAnsi="Calibri" w:cs="Calibri" w:eastAsia="Calibri" w:hint="default"/>
              </w:rPr>
              <w:tab/>
              <w:t>176</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79">
            <w:r>
              <w:rPr/>
              <w:t>十一、关联方及关联交易</w:t>
            </w:r>
            <w:r>
              <w:rPr>
                <w:rFonts w:ascii="Calibri" w:hAnsi="Calibri" w:cs="Calibri" w:eastAsia="Calibri" w:hint="default"/>
              </w:rPr>
              <w:tab/>
              <w:t>179</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80">
            <w:r>
              <w:rPr/>
              <w:t>十二、股份支付</w:t>
            </w:r>
            <w:r>
              <w:rPr>
                <w:rFonts w:ascii="Calibri" w:hAnsi="Calibri" w:cs="Calibri" w:eastAsia="Calibri" w:hint="default"/>
              </w:rPr>
              <w:tab/>
              <w:t>181</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81">
            <w:r>
              <w:rPr/>
              <w:t>十三、承诺及或有事项</w:t>
            </w:r>
            <w:r>
              <w:rPr>
                <w:rFonts w:ascii="Calibri" w:hAnsi="Calibri" w:cs="Calibri" w:eastAsia="Calibri" w:hint="default"/>
              </w:rPr>
              <w:tab/>
              <w:t>184</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82">
            <w:r>
              <w:rPr/>
              <w:t>十四、资产负债表日后事项</w:t>
            </w:r>
            <w:r>
              <w:rPr>
                <w:rFonts w:ascii="Calibri" w:hAnsi="Calibri" w:cs="Calibri" w:eastAsia="Calibri" w:hint="default"/>
              </w:rPr>
              <w:tab/>
              <w:t>185</w:t>
            </w:r>
          </w:hyperlink>
        </w:p>
        <w:p>
          <w:pPr>
            <w:pStyle w:val="TOC2"/>
            <w:tabs>
              <w:tab w:pos="9637" w:val="right" w:leader="dot"/>
            </w:tabs>
            <w:spacing w:line="319" w:lineRule="exact"/>
            <w:ind w:right="0"/>
            <w:jc w:val="left"/>
            <w:rPr>
              <w:rFonts w:ascii="Calibri" w:hAnsi="Calibri" w:cs="Calibri" w:eastAsia="Calibri" w:hint="default"/>
            </w:rPr>
          </w:pPr>
          <w:hyperlink w:history="true" w:anchor="_bookmark83">
            <w:r>
              <w:rPr/>
              <w:t>十五、其他重要事项</w:t>
            </w:r>
            <w:r>
              <w:rPr>
                <w:rFonts w:ascii="Calibri" w:hAnsi="Calibri" w:cs="Calibri" w:eastAsia="Calibri" w:hint="default"/>
              </w:rPr>
              <w:tab/>
              <w:t>187</w:t>
            </w:r>
          </w:hyperlink>
        </w:p>
        <w:p>
          <w:pPr>
            <w:pStyle w:val="TOC2"/>
            <w:tabs>
              <w:tab w:pos="9637" w:val="right" w:leader="dot"/>
            </w:tabs>
            <w:spacing w:line="320" w:lineRule="exact"/>
            <w:ind w:right="0"/>
            <w:jc w:val="left"/>
            <w:rPr>
              <w:rFonts w:ascii="Calibri" w:hAnsi="Calibri" w:cs="Calibri" w:eastAsia="Calibri" w:hint="default"/>
            </w:rPr>
          </w:pPr>
          <w:hyperlink w:history="true" w:anchor="_bookmark84">
            <w:r>
              <w:rPr/>
              <w:t>十六、母公司财务报表主要项目注释</w:t>
            </w:r>
            <w:r>
              <w:rPr>
                <w:rFonts w:ascii="Calibri" w:hAnsi="Calibri" w:cs="Calibri" w:eastAsia="Calibri" w:hint="default"/>
              </w:rPr>
              <w:tab/>
              <w:t>188</w:t>
            </w:r>
          </w:hyperlink>
        </w:p>
        <w:p>
          <w:pPr>
            <w:pStyle w:val="TOC2"/>
            <w:tabs>
              <w:tab w:pos="9637" w:val="right" w:leader="dot"/>
            </w:tabs>
            <w:spacing w:line="333" w:lineRule="exact"/>
            <w:ind w:right="0"/>
            <w:jc w:val="left"/>
            <w:rPr>
              <w:rFonts w:ascii="Calibri" w:hAnsi="Calibri" w:cs="Calibri" w:eastAsia="Calibri" w:hint="default"/>
            </w:rPr>
          </w:pPr>
          <w:hyperlink w:history="true" w:anchor="_bookmark85">
            <w:r>
              <w:rPr/>
              <w:t>十七、补充资料</w:t>
            </w:r>
            <w:r>
              <w:rPr>
                <w:rFonts w:ascii="Calibri" w:hAnsi="Calibri" w:cs="Calibri" w:eastAsia="Calibri" w:hint="default"/>
              </w:rPr>
              <w:tab/>
              <w:t>193</w:t>
            </w:r>
          </w:hyperlink>
        </w:p>
        <w:p>
          <w:pPr>
            <w:pStyle w:val="TOC1"/>
            <w:tabs>
              <w:tab w:pos="9637" w:val="right" w:leader="dot"/>
            </w:tabs>
            <w:spacing w:line="240" w:lineRule="auto"/>
            <w:ind w:right="0"/>
            <w:jc w:val="left"/>
            <w:rPr>
              <w:rFonts w:ascii="Calibri" w:hAnsi="Calibri" w:cs="Calibri" w:eastAsia="Calibri" w:hint="default"/>
            </w:rPr>
          </w:pPr>
          <w:hyperlink w:history="true" w:anchor="_bookmark86">
            <w:r>
              <w:rPr/>
              <w:t>第十一节</w:t>
            </w:r>
            <w:r>
              <w:rPr>
                <w:spacing w:val="-1"/>
              </w:rPr>
              <w:t> </w:t>
            </w:r>
            <w:r>
              <w:rPr/>
              <w:t>备查文件目录</w:t>
            </w:r>
            <w:r>
              <w:rPr>
                <w:rFonts w:ascii="Calibri" w:hAnsi="Calibri" w:cs="Calibri" w:eastAsia="Calibri" w:hint="default"/>
              </w:rPr>
              <w:tab/>
              <w:t>195</w:t>
            </w:r>
          </w:hyperlink>
        </w:p>
      </w:sdtContent>
    </w:sdt>
    <w:p>
      <w:pPr>
        <w:spacing w:after="0" w:line="240" w:lineRule="auto"/>
        <w:jc w:val="left"/>
        <w:rPr>
          <w:rFonts w:ascii="Calibri" w:hAnsi="Calibri" w:cs="Calibri" w:eastAsia="Calibri" w:hint="default"/>
        </w:rPr>
        <w:sectPr>
          <w:type w:val="continuous"/>
          <w:pgSz w:w="11910" w:h="16840"/>
          <w:pgMar w:top="1396" w:bottom="1471" w:left="1140" w:right="980"/>
        </w:sectPr>
      </w:pPr>
    </w:p>
    <w:p>
      <w:pPr>
        <w:spacing w:after="0" w:line="240" w:lineRule="auto"/>
        <w:jc w:val="left"/>
        <w:rPr>
          <w:rFonts w:ascii="Calibri" w:hAnsi="Calibri" w:cs="Calibri" w:eastAsia="Calibri" w:hint="default"/>
        </w:rPr>
        <w:sectPr>
          <w:type w:val="continuous"/>
          <w:pgSz w:w="11910" w:h="16840"/>
          <w:pgMar w:top="1220" w:bottom="1280" w:left="1140" w:right="980"/>
        </w:sectPr>
      </w:pPr>
    </w:p>
    <w:p>
      <w:pPr>
        <w:pStyle w:val="Heading1"/>
        <w:spacing w:line="240" w:lineRule="auto" w:before="153"/>
        <w:ind w:left="483" w:right="20"/>
        <w:jc w:val="center"/>
        <w:rPr>
          <w:b w:val="0"/>
          <w:bCs w:val="0"/>
        </w:rPr>
      </w:pPr>
      <w:r>
        <w:rPr/>
        <w:t>释义</w:t>
      </w:r>
      <w:r>
        <w:rPr>
          <w:b w:val="0"/>
          <w:bCs w:val="0"/>
        </w:rPr>
      </w:r>
    </w:p>
    <w:p>
      <w:pPr>
        <w:spacing w:line="240" w:lineRule="auto" w:before="13"/>
        <w:rPr>
          <w:rFonts w:ascii="Microsoft JhengHei" w:hAnsi="Microsoft JhengHei" w:cs="Microsoft JhengHei" w:eastAsia="Microsoft JhengHei" w:hint="default"/>
          <w:b/>
          <w:bCs/>
          <w:sz w:val="6"/>
          <w:szCs w:val="6"/>
        </w:rPr>
      </w:pPr>
    </w:p>
    <w:tbl>
      <w:tblPr>
        <w:tblW w:w="0" w:type="auto"/>
        <w:jc w:val="left"/>
        <w:tblInd w:w="254" w:type="dxa"/>
        <w:tblLayout w:type="fixed"/>
        <w:tblCellMar>
          <w:top w:w="0" w:type="dxa"/>
          <w:left w:w="0" w:type="dxa"/>
          <w:bottom w:w="0" w:type="dxa"/>
          <w:right w:w="0" w:type="dxa"/>
        </w:tblCellMar>
        <w:tblLook w:val="01E0"/>
      </w:tblPr>
      <w:tblGrid>
        <w:gridCol w:w="2269"/>
        <w:gridCol w:w="941"/>
        <w:gridCol w:w="6042"/>
      </w:tblGrid>
      <w:tr>
        <w:trPr>
          <w:trHeight w:val="410" w:hRule="exact"/>
        </w:trPr>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10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释义项</w:t>
            </w:r>
            <w:r>
              <w:rPr>
                <w:rFonts w:ascii="Microsoft JhengHei" w:hAnsi="Microsoft JhengHei" w:cs="Microsoft JhengHei" w:eastAsia="Microsoft JhengHei" w:hint="default"/>
                <w:sz w:val="21"/>
                <w:szCs w:val="21"/>
              </w:rPr>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3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指</w:t>
            </w:r>
            <w:r>
              <w:rPr>
                <w:rFonts w:ascii="Microsoft JhengHei" w:hAnsi="Microsoft JhengHei" w:cs="Microsoft JhengHei" w:eastAsia="Microsoft JhengHei" w:hint="default"/>
                <w:w w:val="100"/>
                <w:sz w:val="21"/>
                <w:szCs w:val="21"/>
              </w:rPr>
            </w:r>
          </w:p>
        </w:tc>
        <w:tc>
          <w:tcPr>
            <w:tcW w:w="6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left="4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释义内容</w:t>
            </w:r>
            <w:r>
              <w:rPr>
                <w:rFonts w:ascii="Microsoft JhengHei" w:hAnsi="Microsoft JhengHei" w:cs="Microsoft JhengHei" w:eastAsia="Microsoft JhengHei" w:hint="default"/>
                <w:sz w:val="21"/>
                <w:szCs w:val="21"/>
              </w:rPr>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40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Times New Roman" w:hAnsi="Times New Roman" w:cs="Times New Roman" w:eastAsia="Times New Roman" w:hint="default"/>
                <w:sz w:val="21"/>
                <w:szCs w:val="21"/>
              </w:rPr>
            </w:pPr>
            <w:r>
              <w:rPr>
                <w:rFonts w:ascii="Times New Roman"/>
                <w:sz w:val="21"/>
              </w:rPr>
              <w:t>GIS</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地理信息系统。</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北京超图信息技术有限公司，公司全资子公司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超图国际有限公司，是公司在香港注册的全资子公司。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日本超图株式会社，是公司控股子公司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上海超途软件有限公司，是公司全资子公司</w:t>
            </w:r>
          </w:p>
        </w:tc>
      </w:tr>
      <w:tr>
        <w:trPr>
          <w:trHeight w:val="41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克拉玛依超图软件技术有限公司，是公司全资子公司</w:t>
            </w:r>
          </w:p>
        </w:tc>
      </w:tr>
      <w:tr>
        <w:trPr>
          <w:trHeight w:val="40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山东超图软件有限公司，是公司全资子公司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21"/>
                <w:szCs w:val="21"/>
              </w:rPr>
            </w:pPr>
            <w:r>
              <w:rPr>
                <w:rFonts w:ascii="宋体" w:hAnsi="宋体" w:cs="宋体" w:eastAsia="宋体" w:hint="default"/>
                <w:sz w:val="21"/>
                <w:szCs w:val="21"/>
              </w:rPr>
              <w:t>芜湖联智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芜湖联智信息技术有限公司，公司全资孙公司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南康科技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上海南康科技有限公司，是公司的全资子公司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超图数据</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成都超图数据技术有限公司，是公司的全资子公司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地图慧科技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成都地图慧科技有限公司，是公司的控股子公司</w:t>
            </w:r>
          </w:p>
        </w:tc>
      </w:tr>
      <w:tr>
        <w:trPr>
          <w:trHeight w:val="80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超图道乐</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超</w:t>
            </w:r>
            <w:r>
              <w:rPr>
                <w:rFonts w:ascii="宋体" w:hAnsi="宋体" w:cs="宋体" w:eastAsia="宋体" w:hint="default"/>
                <w:spacing w:val="-1"/>
                <w:w w:val="100"/>
                <w:sz w:val="21"/>
                <w:szCs w:val="21"/>
              </w:rPr>
              <w:t>图</w:t>
            </w:r>
            <w:r>
              <w:rPr>
                <w:rFonts w:ascii="宋体" w:hAnsi="宋体" w:cs="宋体" w:eastAsia="宋体" w:hint="default"/>
                <w:spacing w:val="-3"/>
                <w:w w:val="100"/>
                <w:sz w:val="21"/>
                <w:szCs w:val="21"/>
              </w:rPr>
              <w:t>道</w:t>
            </w:r>
            <w:r>
              <w:rPr>
                <w:rFonts w:ascii="宋体" w:hAnsi="宋体" w:cs="宋体" w:eastAsia="宋体" w:hint="default"/>
                <w:w w:val="100"/>
                <w:sz w:val="21"/>
                <w:szCs w:val="21"/>
              </w:rPr>
              <w:t>乐</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伙企</w:t>
            </w:r>
            <w:r>
              <w:rPr>
                <w:rFonts w:ascii="宋体" w:hAnsi="宋体" w:cs="宋体" w:eastAsia="宋体" w:hint="default"/>
                <w:spacing w:val="-3"/>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公司</w:t>
            </w:r>
            <w:r>
              <w:rPr>
                <w:rFonts w:ascii="宋体" w:hAnsi="宋体" w:cs="宋体" w:eastAsia="宋体" w:hint="default"/>
                <w:w w:val="100"/>
                <w:sz w:val="21"/>
                <w:szCs w:val="21"/>
              </w:rPr>
              <w:t>参与</w:t>
            </w:r>
            <w:r>
              <w:rPr>
                <w:rFonts w:ascii="宋体" w:hAnsi="宋体" w:cs="宋体" w:eastAsia="宋体" w:hint="default"/>
                <w:spacing w:val="-3"/>
                <w:w w:val="100"/>
                <w:sz w:val="21"/>
                <w:szCs w:val="21"/>
              </w:rPr>
              <w:t>的</w:t>
            </w:r>
            <w:r>
              <w:rPr>
                <w:rFonts w:ascii="宋体" w:hAnsi="宋体" w:cs="宋体" w:eastAsia="宋体" w:hint="default"/>
                <w:w w:val="100"/>
                <w:sz w:val="21"/>
                <w:szCs w:val="21"/>
              </w:rPr>
              <w:t>产</w:t>
            </w:r>
            <w:r>
              <w:rPr>
                <w:rFonts w:ascii="宋体" w:hAnsi="宋体" w:cs="宋体" w:eastAsia="宋体" w:hint="default"/>
                <w:spacing w:val="-3"/>
                <w:w w:val="100"/>
                <w:sz w:val="21"/>
                <w:szCs w:val="21"/>
              </w:rPr>
              <w:t>业并</w:t>
            </w:r>
            <w:r>
              <w:rPr>
                <w:rFonts w:ascii="宋体" w:hAnsi="宋体" w:cs="宋体" w:eastAsia="宋体" w:hint="default"/>
                <w:w w:val="100"/>
                <w:sz w:val="21"/>
                <w:szCs w:val="21"/>
              </w:rPr>
            </w:r>
          </w:p>
          <w:p>
            <w:pPr>
              <w:pStyle w:val="TableParagraph"/>
              <w:spacing w:line="240" w:lineRule="auto" w:before="126"/>
              <w:ind w:left="21" w:right="0"/>
              <w:jc w:val="left"/>
              <w:rPr>
                <w:rFonts w:ascii="宋体" w:hAnsi="宋体" w:cs="宋体" w:eastAsia="宋体" w:hint="default"/>
                <w:sz w:val="21"/>
                <w:szCs w:val="21"/>
              </w:rPr>
            </w:pPr>
            <w:r>
              <w:rPr>
                <w:rFonts w:ascii="宋体" w:hAnsi="宋体" w:cs="宋体" w:eastAsia="宋体" w:hint="default"/>
                <w:sz w:val="21"/>
                <w:szCs w:val="21"/>
              </w:rPr>
              <w:t>购基金</w:t>
            </w:r>
          </w:p>
        </w:tc>
      </w:tr>
      <w:tr>
        <w:trPr>
          <w:trHeight w:val="81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超图知卓</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超</w:t>
            </w:r>
            <w:r>
              <w:rPr>
                <w:rFonts w:ascii="宋体" w:hAnsi="宋体" w:cs="宋体" w:eastAsia="宋体" w:hint="default"/>
                <w:w w:val="100"/>
                <w:sz w:val="21"/>
                <w:szCs w:val="21"/>
              </w:rPr>
              <w:t>图</w:t>
            </w:r>
            <w:r>
              <w:rPr>
                <w:rFonts w:ascii="宋体" w:hAnsi="宋体" w:cs="宋体" w:eastAsia="宋体" w:hint="default"/>
                <w:spacing w:val="-3"/>
                <w:w w:val="100"/>
                <w:sz w:val="21"/>
                <w:szCs w:val="21"/>
              </w:rPr>
              <w:t>知</w:t>
            </w:r>
            <w:r>
              <w:rPr>
                <w:rFonts w:ascii="宋体" w:hAnsi="宋体" w:cs="宋体" w:eastAsia="宋体" w:hint="default"/>
                <w:w w:val="100"/>
                <w:sz w:val="21"/>
                <w:szCs w:val="21"/>
              </w:rPr>
              <w:t>卓</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伙企</w:t>
            </w:r>
            <w:r>
              <w:rPr>
                <w:rFonts w:ascii="宋体" w:hAnsi="宋体" w:cs="宋体" w:eastAsia="宋体" w:hint="default"/>
                <w:spacing w:val="-3"/>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公司</w:t>
            </w:r>
            <w:r>
              <w:rPr>
                <w:rFonts w:ascii="宋体" w:hAnsi="宋体" w:cs="宋体" w:eastAsia="宋体" w:hint="default"/>
                <w:w w:val="100"/>
                <w:sz w:val="21"/>
                <w:szCs w:val="21"/>
              </w:rPr>
              <w:t>参与</w:t>
            </w:r>
            <w:r>
              <w:rPr>
                <w:rFonts w:ascii="宋体" w:hAnsi="宋体" w:cs="宋体" w:eastAsia="宋体" w:hint="default"/>
                <w:spacing w:val="-3"/>
                <w:w w:val="100"/>
                <w:sz w:val="21"/>
                <w:szCs w:val="21"/>
              </w:rPr>
              <w:t>的</w:t>
            </w:r>
            <w:r>
              <w:rPr>
                <w:rFonts w:ascii="宋体" w:hAnsi="宋体" w:cs="宋体" w:eastAsia="宋体" w:hint="default"/>
                <w:w w:val="100"/>
                <w:sz w:val="21"/>
                <w:szCs w:val="21"/>
              </w:rPr>
              <w:t>产</w:t>
            </w:r>
            <w:r>
              <w:rPr>
                <w:rFonts w:ascii="宋体" w:hAnsi="宋体" w:cs="宋体" w:eastAsia="宋体" w:hint="default"/>
                <w:spacing w:val="-3"/>
                <w:w w:val="100"/>
                <w:sz w:val="21"/>
                <w:szCs w:val="21"/>
              </w:rPr>
              <w:t>业并</w:t>
            </w:r>
            <w:r>
              <w:rPr>
                <w:rFonts w:ascii="宋体" w:hAnsi="宋体" w:cs="宋体" w:eastAsia="宋体" w:hint="default"/>
                <w:w w:val="100"/>
                <w:sz w:val="21"/>
                <w:szCs w:val="21"/>
              </w:rPr>
            </w:r>
          </w:p>
          <w:p>
            <w:pPr>
              <w:pStyle w:val="TableParagraph"/>
              <w:spacing w:line="240" w:lineRule="auto" w:before="126"/>
              <w:ind w:left="21" w:right="0"/>
              <w:jc w:val="left"/>
              <w:rPr>
                <w:rFonts w:ascii="宋体" w:hAnsi="宋体" w:cs="宋体" w:eastAsia="宋体" w:hint="default"/>
                <w:sz w:val="21"/>
                <w:szCs w:val="21"/>
              </w:rPr>
            </w:pPr>
            <w:r>
              <w:rPr>
                <w:rFonts w:ascii="宋体" w:hAnsi="宋体" w:cs="宋体" w:eastAsia="宋体" w:hint="default"/>
                <w:sz w:val="21"/>
                <w:szCs w:val="21"/>
              </w:rPr>
              <w:t>购基金</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中国科学院地理科学与资源研究所，公司股东，持股比例为</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5.3%</w:t>
            </w:r>
          </w:p>
        </w:tc>
      </w:tr>
      <w:tr>
        <w:trPr>
          <w:trHeight w:val="80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南京国图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5"/>
                <w:szCs w:val="1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21" w:right="122"/>
              <w:jc w:val="left"/>
              <w:rPr>
                <w:rFonts w:ascii="宋体" w:hAnsi="宋体" w:cs="宋体" w:eastAsia="宋体" w:hint="default"/>
                <w:sz w:val="21"/>
                <w:szCs w:val="21"/>
              </w:rPr>
            </w:pPr>
            <w:r>
              <w:rPr>
                <w:rFonts w:ascii="宋体" w:hAnsi="宋体" w:cs="宋体" w:eastAsia="宋体" w:hint="default"/>
                <w:spacing w:val="-2"/>
                <w:sz w:val="21"/>
                <w:szCs w:val="21"/>
              </w:rPr>
              <w:t>南京国图产业股份有限公司，为公司重大资产重组标的公司。目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前该重组事项获批，但还没有完成发行及股权交割。</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浙江中科数城软件股份有限公司，公司参股公司</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408"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81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致同</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4"/>
              <w:ind w:left="21" w:right="19"/>
              <w:jc w:val="left"/>
              <w:rPr>
                <w:rFonts w:ascii="宋体" w:hAnsi="宋体" w:cs="宋体" w:eastAsia="宋体" w:hint="default"/>
                <w:sz w:val="21"/>
                <w:szCs w:val="21"/>
              </w:rPr>
            </w:pPr>
            <w:r>
              <w:rPr>
                <w:rFonts w:ascii="宋体" w:hAnsi="宋体" w:cs="宋体" w:eastAsia="宋体" w:hint="default"/>
                <w:spacing w:val="-5"/>
                <w:w w:val="100"/>
                <w:sz w:val="21"/>
                <w:szCs w:val="21"/>
              </w:rPr>
              <w:t>致同会计师事务所（特殊普通合伙）。该所为我公司聘任原京都天</w:t>
            </w:r>
            <w:r>
              <w:rPr>
                <w:rFonts w:ascii="宋体" w:hAnsi="宋体" w:cs="宋体" w:eastAsia="宋体" w:hint="default"/>
                <w:w w:val="100"/>
                <w:sz w:val="21"/>
                <w:szCs w:val="21"/>
              </w:rPr>
              <w:t> </w:t>
            </w:r>
            <w:r>
              <w:rPr>
                <w:rFonts w:ascii="宋体" w:hAnsi="宋体" w:cs="宋体" w:eastAsia="宋体" w:hint="default"/>
                <w:sz w:val="21"/>
                <w:szCs w:val="21"/>
              </w:rPr>
              <w:t>华会计师事务所有限公司更名后名称。</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410"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360"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085" w:top="1220" w:bottom="1280" w:left="1140" w:right="980"/>
        </w:sectPr>
      </w:pPr>
    </w:p>
    <w:p>
      <w:pPr>
        <w:spacing w:line="240" w:lineRule="auto" w:before="11"/>
        <w:rPr>
          <w:rFonts w:ascii="Microsoft JhengHei" w:hAnsi="Microsoft JhengHei" w:cs="Microsoft JhengHei" w:eastAsia="Microsoft JhengHei" w:hint="default"/>
          <w:b/>
          <w:bCs/>
          <w:sz w:val="14"/>
          <w:szCs w:val="14"/>
        </w:rPr>
      </w:pPr>
    </w:p>
    <w:p>
      <w:pPr>
        <w:pStyle w:val="Heading1"/>
        <w:tabs>
          <w:tab w:pos="3725" w:val="left" w:leader="none"/>
        </w:tabs>
        <w:spacing w:line="456" w:lineRule="exact"/>
        <w:ind w:left="2465" w:right="229"/>
        <w:jc w:val="left"/>
        <w:rPr>
          <w:b w:val="0"/>
          <w:bCs w:val="0"/>
        </w:rPr>
      </w:pPr>
      <w:bookmarkStart w:name="_bookmark1" w:id="2"/>
      <w:bookmarkEnd w:id="2"/>
      <w:r>
        <w:rPr>
          <w:b w:val="0"/>
          <w:bCs w:val="0"/>
        </w:rPr>
      </w:r>
      <w:r>
        <w:rPr/>
        <w:t>第二节</w:t>
        <w:tab/>
      </w:r>
      <w:r>
        <w:rPr>
          <w:spacing w:val="5"/>
        </w:rPr>
        <w:t>公司简介和主要财务指标</w:t>
      </w:r>
      <w:r>
        <w:rPr>
          <w:b w:val="0"/>
          <w:bCs w:val="0"/>
          <w:spacing w:val="5"/>
        </w:rPr>
      </w:r>
    </w:p>
    <w:p>
      <w:pPr>
        <w:spacing w:line="240" w:lineRule="auto" w:before="17"/>
        <w:rPr>
          <w:rFonts w:ascii="Microsoft JhengHei" w:hAnsi="Microsoft JhengHei" w:cs="Microsoft JhengHei" w:eastAsia="Microsoft JhengHei" w:hint="default"/>
          <w:b/>
          <w:bCs/>
          <w:sz w:val="21"/>
          <w:szCs w:val="21"/>
        </w:rPr>
      </w:pPr>
    </w:p>
    <w:p>
      <w:pPr>
        <w:pStyle w:val="Heading2"/>
        <w:spacing w:line="367" w:lineRule="exact"/>
        <w:ind w:left="137" w:right="229"/>
        <w:jc w:val="left"/>
        <w:rPr>
          <w:b w:val="0"/>
          <w:bCs w:val="0"/>
        </w:rPr>
      </w:pPr>
      <w:bookmarkStart w:name="_bookmark2" w:id="3"/>
      <w:bookmarkEnd w:id="3"/>
      <w:r>
        <w:rPr>
          <w:b w:val="0"/>
          <w:bCs w:val="0"/>
        </w:rPr>
      </w: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3200"/>
        <w:gridCol w:w="1990"/>
        <w:gridCol w:w="2139"/>
        <w:gridCol w:w="2160"/>
      </w:tblGrid>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4"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6"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100015</w:t>
            </w:r>
          </w:p>
        </w:tc>
      </w:tr>
      <w:tr>
        <w:trPr>
          <w:trHeight w:val="324"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46" w:right="0"/>
              <w:jc w:val="left"/>
              <w:rPr>
                <w:rFonts w:ascii="Times New Roman" w:hAnsi="Times New Roman" w:cs="Times New Roman" w:eastAsia="Times New Roman" w:hint="default"/>
                <w:sz w:val="21"/>
                <w:szCs w:val="21"/>
              </w:rPr>
            </w:pPr>
            <w:hyperlink r:id="rId8">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或：</w:t>
            </w:r>
            <w:hyperlink r:id="rId9">
              <w:r>
                <w:rPr>
                  <w:rFonts w:ascii="Times New Roman" w:hAnsi="Times New Roman" w:cs="Times New Roman" w:eastAsia="Times New Roman" w:hint="default"/>
                  <w:spacing w:val="-2"/>
                  <w:sz w:val="21"/>
                  <w:szCs w:val="21"/>
                </w:rPr>
                <w:t>http://www.supermap.com</w:t>
              </w:r>
            </w:hyperlink>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6" w:right="0"/>
              <w:jc w:val="left"/>
              <w:rPr>
                <w:rFonts w:ascii="Calibri" w:hAnsi="Calibri" w:cs="Calibri" w:eastAsia="Calibri" w:hint="default"/>
                <w:sz w:val="24"/>
                <w:szCs w:val="24"/>
              </w:rPr>
            </w:pPr>
            <w:hyperlink r:id="rId10">
              <w:r>
                <w:rPr>
                  <w:rFonts w:ascii="Calibri"/>
                  <w:sz w:val="24"/>
                </w:rPr>
                <w:t>public@supermap.com</w:t>
              </w:r>
            </w:hyperlink>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636" w:hRule="exact"/>
        </w:trPr>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85" w:right="122" w:hanging="1366"/>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址</w:t>
            </w:r>
          </w:p>
        </w:tc>
        <w:tc>
          <w:tcPr>
            <w:tcW w:w="6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号赛特广场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层，邮编：</w:t>
            </w:r>
            <w:r>
              <w:rPr>
                <w:rFonts w:ascii="Times New Roman" w:hAnsi="Times New Roman" w:cs="Times New Roman" w:eastAsia="Times New Roman" w:hint="default"/>
                <w:sz w:val="21"/>
                <w:szCs w:val="21"/>
              </w:rPr>
              <w:t>100004</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137" w:right="229"/>
        <w:jc w:val="left"/>
        <w:rPr>
          <w:b w:val="0"/>
          <w:bCs w:val="0"/>
        </w:rPr>
      </w:pPr>
      <w:bookmarkStart w:name="_bookmark3" w:id="4"/>
      <w:bookmarkEnd w:id="4"/>
      <w:r>
        <w:rPr>
          <w:b w:val="0"/>
          <w:bCs w:val="0"/>
        </w:rPr>
      </w: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1546"/>
        <w:gridCol w:w="3937"/>
        <w:gridCol w:w="4006"/>
      </w:tblGrid>
      <w:tr>
        <w:trPr>
          <w:trHeight w:val="32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6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董事会秘书</w:t>
            </w:r>
            <w:r>
              <w:rPr>
                <w:rFonts w:ascii="Microsoft JhengHei" w:hAnsi="Microsoft JhengHei" w:cs="Microsoft JhengHei" w:eastAsia="Microsoft JhengHei" w:hint="default"/>
                <w:sz w:val="21"/>
                <w:szCs w:val="21"/>
              </w:rPr>
            </w:r>
          </w:p>
        </w:tc>
        <w:tc>
          <w:tcPr>
            <w:tcW w:w="4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5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证券事务代表</w:t>
            </w:r>
            <w:r>
              <w:rPr>
                <w:rFonts w:ascii="Microsoft JhengHei" w:hAnsi="Microsoft JhengHei" w:cs="Microsoft JhengHei" w:eastAsia="Microsoft JhengHei" w:hint="default"/>
                <w:sz w:val="21"/>
                <w:szCs w:val="21"/>
              </w:rPr>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谭飞艳</w:t>
            </w:r>
          </w:p>
        </w:tc>
      </w:tr>
      <w:tr>
        <w:trPr>
          <w:trHeight w:val="636"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48"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p>
          <w:p>
            <w:pPr>
              <w:pStyle w:val="TableParagraph"/>
              <w:spacing w:line="240" w:lineRule="auto" w:before="21"/>
              <w:ind w:left="1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46"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p>
          <w:p>
            <w:pPr>
              <w:pStyle w:val="TableParagraph"/>
              <w:spacing w:line="240" w:lineRule="auto" w:before="21"/>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电话</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59896226</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4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传真</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4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2"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48" w:right="0"/>
              <w:jc w:val="left"/>
              <w:rPr>
                <w:rFonts w:ascii="Calibri" w:hAnsi="Calibri" w:cs="Calibri" w:eastAsia="Calibri" w:hint="default"/>
                <w:sz w:val="24"/>
                <w:szCs w:val="24"/>
              </w:rPr>
            </w:pPr>
            <w:hyperlink r:id="rId10">
              <w:r>
                <w:rPr>
                  <w:rFonts w:ascii="Calibri"/>
                  <w:sz w:val="24"/>
                </w:rPr>
                <w:t>public@supermap.com</w:t>
              </w:r>
            </w:hyperlink>
          </w:p>
        </w:tc>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6"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137" w:right="229"/>
        <w:jc w:val="left"/>
        <w:rPr>
          <w:b w:val="0"/>
          <w:bCs w:val="0"/>
        </w:rPr>
      </w:pPr>
      <w:bookmarkStart w:name="_bookmark4" w:id="5"/>
      <w:bookmarkEnd w:id="5"/>
      <w:r>
        <w:rPr>
          <w:b w:val="0"/>
          <w:bCs w:val="0"/>
        </w:rPr>
      </w: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4746"/>
        <w:gridCol w:w="4743"/>
      </w:tblGrid>
      <w:tr>
        <w:trPr>
          <w:trHeight w:val="322" w:hRule="exact"/>
        </w:trPr>
        <w:tc>
          <w:tcPr>
            <w:tcW w:w="4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46"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22" w:hRule="exact"/>
        </w:trPr>
        <w:tc>
          <w:tcPr>
            <w:tcW w:w="4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2"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22" w:hRule="exact"/>
        </w:trPr>
        <w:tc>
          <w:tcPr>
            <w:tcW w:w="4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公司证券与法务部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137" w:right="229"/>
        <w:jc w:val="left"/>
        <w:rPr>
          <w:b w:val="0"/>
          <w:bCs w:val="0"/>
        </w:rPr>
      </w:pPr>
      <w:bookmarkStart w:name="_bookmark5" w:id="6"/>
      <w:bookmarkEnd w:id="6"/>
      <w:r>
        <w:rPr>
          <w:b w:val="0"/>
          <w:bCs w:val="0"/>
        </w:rPr>
      </w:r>
      <w:r>
        <w:rPr/>
        <w:t>四、其他有关资料</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617" w:right="229"/>
        <w:jc w:val="left"/>
      </w:pPr>
      <w:r>
        <w:rPr/>
        <w:t>公司聘请的会计师事务所</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789"/>
        <w:gridCol w:w="6699"/>
      </w:tblGrid>
      <w:tr>
        <w:trPr>
          <w:trHeight w:val="322" w:hRule="exact"/>
        </w:trPr>
        <w:tc>
          <w:tcPr>
            <w:tcW w:w="27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27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号赛特广场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层，邮编：</w:t>
            </w:r>
            <w:r>
              <w:rPr>
                <w:rFonts w:ascii="Times New Roman" w:hAnsi="Times New Roman" w:cs="Times New Roman" w:eastAsia="Times New Roman" w:hint="default"/>
                <w:sz w:val="21"/>
                <w:szCs w:val="21"/>
              </w:rPr>
              <w:t>100004</w:t>
            </w:r>
          </w:p>
        </w:tc>
      </w:tr>
      <w:tr>
        <w:trPr>
          <w:trHeight w:val="324" w:hRule="exact"/>
        </w:trPr>
        <w:tc>
          <w:tcPr>
            <w:tcW w:w="27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 w:right="0"/>
              <w:jc w:val="left"/>
              <w:rPr>
                <w:rFonts w:ascii="宋体" w:hAnsi="宋体" w:cs="宋体" w:eastAsia="宋体" w:hint="default"/>
                <w:sz w:val="21"/>
                <w:szCs w:val="21"/>
              </w:rPr>
            </w:pPr>
            <w:r>
              <w:rPr>
                <w:rFonts w:ascii="宋体" w:hAnsi="宋体" w:cs="宋体" w:eastAsia="宋体" w:hint="default"/>
                <w:sz w:val="21"/>
                <w:szCs w:val="21"/>
              </w:rPr>
              <w:t>王涛、赵明</w:t>
            </w:r>
          </w:p>
        </w:tc>
      </w:tr>
    </w:tbl>
    <w:p>
      <w:pPr>
        <w:spacing w:after="0" w:line="262" w:lineRule="exact"/>
        <w:jc w:val="left"/>
        <w:rPr>
          <w:rFonts w:ascii="宋体" w:hAnsi="宋体" w:cs="宋体" w:eastAsia="宋体" w:hint="default"/>
          <w:sz w:val="21"/>
          <w:szCs w:val="21"/>
        </w:rPr>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t>公司聘请的报告期内履行持续督导职责的保荐机构</w:t>
      </w:r>
    </w:p>
    <w:p>
      <w:pPr>
        <w:pStyle w:val="BodyText"/>
        <w:spacing w:line="338" w:lineRule="auto" w:before="154"/>
        <w:ind w:left="617" w:right="3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公司聘请的报告期内履行持续督导职责的财务顾问</w:t>
      </w:r>
    </w:p>
    <w:p>
      <w:pPr>
        <w:spacing w:line="444" w:lineRule="auto" w:before="55"/>
        <w:ind w:left="137" w:right="6509"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6" w:id="7"/>
      <w:bookmarkEnd w:id="7"/>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五、主要会计数据和财务指标</w:t>
      </w:r>
      <w:r>
        <w:rPr>
          <w:rFonts w:ascii="Microsoft JhengHei" w:hAnsi="Microsoft JhengHei" w:cs="Microsoft JhengHei" w:eastAsia="Microsoft JhengHei" w:hint="default"/>
          <w:sz w:val="24"/>
          <w:szCs w:val="24"/>
        </w:rPr>
      </w:r>
    </w:p>
    <w:p>
      <w:pPr>
        <w:pStyle w:val="BodyText"/>
        <w:spacing w:line="240" w:lineRule="auto" w:before="78"/>
        <w:ind w:left="617" w:right="229"/>
        <w:jc w:val="left"/>
      </w:pPr>
      <w:r>
        <w:rPr/>
        <w:t>公司是否因会计政策变更及会计差错更正等追溯调整或重述以前年度会计数据</w:t>
      </w:r>
    </w:p>
    <w:p>
      <w:pPr>
        <w:pStyle w:val="BodyText"/>
        <w:tabs>
          <w:tab w:pos="1229" w:val="left" w:leader="none"/>
        </w:tabs>
        <w:spacing w:line="240" w:lineRule="auto" w:before="154"/>
        <w:ind w:left="617" w:right="229"/>
        <w:jc w:val="left"/>
      </w:pPr>
      <w:r>
        <w:rPr>
          <w:rFonts w:ascii="Times New Roman" w:hAnsi="Times New Roman" w:cs="Times New Roman" w:eastAsia="Times New Roman" w:hint="default"/>
        </w:rPr>
        <w:t>√</w:t>
      </w:r>
      <w:r>
        <w:rPr/>
        <w:t>是</w:t>
        <w:tab/>
      </w:r>
      <w:r>
        <w:rPr>
          <w:rFonts w:ascii="Times New Roman" w:hAnsi="Times New Roman" w:cs="Times New Roman" w:eastAsia="Times New Roman" w:hint="default"/>
        </w:rPr>
        <w:t>□</w:t>
      </w:r>
      <w:r>
        <w:rPr/>
        <w:t>否</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369"/>
        <w:gridCol w:w="1318"/>
        <w:gridCol w:w="1212"/>
        <w:gridCol w:w="1217"/>
        <w:gridCol w:w="910"/>
        <w:gridCol w:w="1232"/>
        <w:gridCol w:w="1231"/>
      </w:tblGrid>
      <w:tr>
        <w:trPr>
          <w:trHeight w:val="161" w:hRule="exact"/>
        </w:trPr>
        <w:tc>
          <w:tcPr>
            <w:tcW w:w="2369"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3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24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175"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本年比上</w:t>
            </w:r>
            <w:r>
              <w:rPr>
                <w:rFonts w:ascii="Microsoft JhengHei" w:hAnsi="Microsoft JhengHei" w:cs="Microsoft JhengHei" w:eastAsia="Microsoft JhengHei" w:hint="default"/>
                <w:sz w:val="18"/>
                <w:szCs w:val="18"/>
              </w:rPr>
            </w:r>
          </w:p>
          <w:p>
            <w:pPr>
              <w:pStyle w:val="TableParagraph"/>
              <w:spacing w:line="313"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年增减</w:t>
            </w:r>
            <w:r>
              <w:rPr>
                <w:rFonts w:ascii="Microsoft JhengHei" w:hAnsi="Microsoft JhengHei" w:cs="Microsoft JhengHei" w:eastAsia="Microsoft JhengHei" w:hint="default"/>
                <w:sz w:val="18"/>
                <w:szCs w:val="18"/>
              </w:rPr>
            </w:r>
          </w:p>
        </w:tc>
        <w:tc>
          <w:tcPr>
            <w:tcW w:w="24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val="restart"/>
            <w:tcBorders>
              <w:top w:val="nil" w:sz="6" w:space="0" w:color="auto"/>
              <w:left w:val="single" w:sz="4" w:space="0" w:color="000000"/>
              <w:right w:val="single" w:sz="4" w:space="0" w:color="000000"/>
            </w:tcBorders>
          </w:tcPr>
          <w:p>
            <w:pPr>
              <w:pStyle w:val="TableParagraph"/>
              <w:tabs>
                <w:tab w:pos="914" w:val="left" w:leader="none"/>
                <w:tab w:pos="2395" w:val="left" w:leader="none"/>
              </w:tabs>
              <w:spacing w:line="264" w:lineRule="exact"/>
              <w:ind w:left="21"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2014 </w:t>
            </w:r>
            <w:r>
              <w:rPr>
                <w:rFonts w:ascii="Microsoft JhengHei" w:hAnsi="Microsoft JhengHei" w:cs="Microsoft JhengHei" w:eastAsia="Microsoft JhengHei" w:hint="default"/>
                <w:b/>
                <w:bCs/>
                <w:sz w:val="18"/>
                <w:szCs w:val="18"/>
                <w:shd w:fill="D2D2D2" w:color="auto" w:val="clear"/>
              </w:rPr>
              <w:t>年</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c>
          <w:tcPr>
            <w:tcW w:w="910" w:type="dxa"/>
            <w:vMerge/>
            <w:tcBorders>
              <w:left w:val="single" w:sz="4" w:space="0" w:color="000000"/>
              <w:right w:val="single" w:sz="4" w:space="0" w:color="000000"/>
            </w:tcBorders>
            <w:shd w:val="clear" w:color="auto" w:fill="D2D2D2"/>
          </w:tcPr>
          <w:p>
            <w:pPr/>
          </w:p>
        </w:tc>
        <w:tc>
          <w:tcPr>
            <w:tcW w:w="2463" w:type="dxa"/>
            <w:gridSpan w:val="2"/>
            <w:vMerge w:val="restart"/>
            <w:tcBorders>
              <w:top w:val="nil" w:sz="6" w:space="0" w:color="auto"/>
              <w:left w:val="single" w:sz="4" w:space="0" w:color="000000"/>
              <w:right w:val="single" w:sz="4" w:space="0" w:color="000000"/>
            </w:tcBorders>
          </w:tcPr>
          <w:p>
            <w:pPr>
              <w:pStyle w:val="TableParagraph"/>
              <w:tabs>
                <w:tab w:pos="931" w:val="left" w:leader="none"/>
                <w:tab w:pos="2429" w:val="left" w:leader="none"/>
              </w:tabs>
              <w:spacing w:line="264" w:lineRule="exact"/>
              <w:ind w:left="21"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2013</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r>
      <w:tr>
        <w:trPr>
          <w:trHeight w:val="151" w:hRule="exact"/>
        </w:trPr>
        <w:tc>
          <w:tcPr>
            <w:tcW w:w="2369"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tcBorders>
              <w:left w:val="single" w:sz="4" w:space="0" w:color="000000"/>
              <w:bottom w:val="nil" w:sz="6" w:space="0" w:color="auto"/>
              <w:right w:val="single" w:sz="4" w:space="0" w:color="000000"/>
            </w:tcBorders>
          </w:tcPr>
          <w:p>
            <w:pPr/>
          </w:p>
        </w:tc>
        <w:tc>
          <w:tcPr>
            <w:tcW w:w="910" w:type="dxa"/>
            <w:vMerge/>
            <w:tcBorders>
              <w:left w:val="single" w:sz="4" w:space="0" w:color="000000"/>
              <w:right w:val="single" w:sz="4" w:space="0" w:color="000000"/>
            </w:tcBorders>
            <w:shd w:val="clear" w:color="auto" w:fill="D2D2D2"/>
          </w:tcPr>
          <w:p>
            <w:pPr/>
          </w:p>
        </w:tc>
        <w:tc>
          <w:tcPr>
            <w:tcW w:w="2463" w:type="dxa"/>
            <w:gridSpan w:val="2"/>
            <w:vMerge/>
            <w:tcBorders>
              <w:left w:val="single" w:sz="4" w:space="0" w:color="000000"/>
              <w:bottom w:val="nil" w:sz="6" w:space="0" w:color="auto"/>
              <w:right w:val="single" w:sz="4" w:space="0" w:color="000000"/>
            </w:tcBorders>
          </w:tcPr>
          <w:p>
            <w:pPr/>
          </w:p>
        </w:tc>
      </w:tr>
      <w:tr>
        <w:trPr>
          <w:trHeight w:val="163"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24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467,150,995.75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361,112,846.67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361,112,846.67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29.36%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312,899,446.55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312,899,446.55</w:t>
            </w:r>
          </w:p>
        </w:tc>
      </w:tr>
      <w:tr>
        <w:trPr>
          <w:trHeight w:val="63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9" w:right="178"/>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58,778,892.50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45,894,440.61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45,894,440.61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54,765,607.83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54,765,607.83</w:t>
            </w:r>
          </w:p>
        </w:tc>
      </w:tr>
      <w:tr>
        <w:trPr>
          <w:trHeight w:val="94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 w:right="178"/>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p>
            <w:pPr>
              <w:pStyle w:val="TableParagraph"/>
              <w:spacing w:line="240" w:lineRule="auto" w:before="19"/>
              <w:ind w:left="1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53,533,776.23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37,700,061.5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37,700,061.5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42%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27,187,132.68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27,187,132.68</w:t>
            </w:r>
          </w:p>
        </w:tc>
      </w:tr>
      <w:tr>
        <w:trPr>
          <w:trHeight w:val="63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9" w:right="178"/>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129,046,880.20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78,812,207.10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78,812,207.10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57,817,895.41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57,817,895.41</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30.43%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0.456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0.456</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30.43%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0.456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0.456</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8.78</w:t>
            </w:r>
            <w:r>
              <w:rPr>
                <w:rFonts w:ascii="Times New Roman"/>
                <w:sz w:val="18"/>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9.33</w:t>
            </w:r>
          </w:p>
        </w:tc>
      </w:tr>
      <w:tr>
        <w:trPr>
          <w:trHeight w:val="319" w:hRule="exact"/>
        </w:trPr>
        <w:tc>
          <w:tcPr>
            <w:tcW w:w="2369" w:type="dxa"/>
            <w:vMerge w:val="restart"/>
            <w:tcBorders>
              <w:top w:val="single" w:sz="4" w:space="0" w:color="000000"/>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6"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年末</w:t>
            </w:r>
            <w:r>
              <w:rPr>
                <w:rFonts w:ascii="Microsoft JhengHei" w:hAnsi="Microsoft JhengHei" w:cs="Microsoft JhengHei" w:eastAsia="Microsoft JhengHei" w:hint="default"/>
                <w:sz w:val="18"/>
                <w:szCs w:val="18"/>
              </w:rPr>
            </w:r>
          </w:p>
        </w:tc>
        <w:tc>
          <w:tcPr>
            <w:tcW w:w="24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本年末比</w:t>
            </w:r>
            <w:r>
              <w:rPr>
                <w:rFonts w:ascii="Microsoft JhengHei" w:hAnsi="Microsoft JhengHei" w:cs="Microsoft JhengHei" w:eastAsia="Microsoft JhengHei" w:hint="default"/>
                <w:sz w:val="18"/>
                <w:szCs w:val="18"/>
              </w:rPr>
            </w:r>
          </w:p>
          <w:p>
            <w:pPr>
              <w:pStyle w:val="TableParagraph"/>
              <w:spacing w:line="240" w:lineRule="auto"/>
              <w:ind w:left="355" w:right="91"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上年末增 减</w:t>
            </w:r>
            <w:r>
              <w:rPr>
                <w:rFonts w:ascii="Microsoft JhengHei" w:hAnsi="Microsoft JhengHei" w:cs="Microsoft JhengHei" w:eastAsia="Microsoft JhengHei" w:hint="default"/>
                <w:sz w:val="18"/>
                <w:szCs w:val="18"/>
              </w:rPr>
            </w:r>
          </w:p>
        </w:tc>
        <w:tc>
          <w:tcPr>
            <w:tcW w:w="24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val="restart"/>
            <w:tcBorders>
              <w:top w:val="nil" w:sz="6" w:space="0" w:color="auto"/>
              <w:left w:val="single" w:sz="4" w:space="0" w:color="000000"/>
              <w:right w:val="single" w:sz="4" w:space="0" w:color="000000"/>
            </w:tcBorders>
          </w:tcPr>
          <w:p>
            <w:pPr>
              <w:pStyle w:val="TableParagraph"/>
              <w:tabs>
                <w:tab w:pos="823" w:val="left" w:leader="none"/>
                <w:tab w:pos="2395" w:val="left" w:leader="none"/>
              </w:tabs>
              <w:spacing w:line="264" w:lineRule="exact"/>
              <w:ind w:left="21"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2014 </w:t>
            </w:r>
            <w:r>
              <w:rPr>
                <w:rFonts w:ascii="Microsoft JhengHei" w:hAnsi="Microsoft JhengHei" w:cs="Microsoft JhengHei" w:eastAsia="Microsoft JhengHei" w:hint="default"/>
                <w:b/>
                <w:bCs/>
                <w:sz w:val="18"/>
                <w:szCs w:val="18"/>
                <w:shd w:fill="D2D2D2" w:color="auto" w:val="clear"/>
              </w:rPr>
              <w:t>年末</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c>
          <w:tcPr>
            <w:tcW w:w="910" w:type="dxa"/>
            <w:vMerge/>
            <w:tcBorders>
              <w:left w:val="single" w:sz="4" w:space="0" w:color="000000"/>
              <w:right w:val="single" w:sz="4" w:space="0" w:color="000000"/>
            </w:tcBorders>
            <w:shd w:val="clear" w:color="auto" w:fill="D2D2D2"/>
          </w:tcPr>
          <w:p>
            <w:pPr/>
          </w:p>
        </w:tc>
        <w:tc>
          <w:tcPr>
            <w:tcW w:w="2463" w:type="dxa"/>
            <w:gridSpan w:val="2"/>
            <w:vMerge w:val="restart"/>
            <w:tcBorders>
              <w:top w:val="nil" w:sz="6" w:space="0" w:color="auto"/>
              <w:left w:val="single" w:sz="4" w:space="0" w:color="000000"/>
              <w:right w:val="single" w:sz="4" w:space="0" w:color="000000"/>
            </w:tcBorders>
          </w:tcPr>
          <w:p>
            <w:pPr>
              <w:pStyle w:val="TableParagraph"/>
              <w:tabs>
                <w:tab w:pos="840" w:val="left" w:leader="none"/>
                <w:tab w:pos="2429" w:val="left" w:leader="none"/>
              </w:tabs>
              <w:spacing w:line="264" w:lineRule="exact"/>
              <w:ind w:left="21"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2013</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年末</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r>
      <w:tr>
        <w:trPr>
          <w:trHeight w:val="151" w:hRule="exact"/>
        </w:trPr>
        <w:tc>
          <w:tcPr>
            <w:tcW w:w="2369"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tcBorders>
              <w:left w:val="single" w:sz="4" w:space="0" w:color="000000"/>
              <w:bottom w:val="nil" w:sz="6" w:space="0" w:color="auto"/>
              <w:right w:val="single" w:sz="4" w:space="0" w:color="000000"/>
            </w:tcBorders>
          </w:tcPr>
          <w:p>
            <w:pPr/>
          </w:p>
        </w:tc>
        <w:tc>
          <w:tcPr>
            <w:tcW w:w="910" w:type="dxa"/>
            <w:vMerge/>
            <w:tcBorders>
              <w:left w:val="single" w:sz="4" w:space="0" w:color="000000"/>
              <w:right w:val="single" w:sz="4" w:space="0" w:color="000000"/>
            </w:tcBorders>
            <w:shd w:val="clear" w:color="auto" w:fill="D2D2D2"/>
          </w:tcPr>
          <w:p>
            <w:pPr/>
          </w:p>
        </w:tc>
        <w:tc>
          <w:tcPr>
            <w:tcW w:w="2463" w:type="dxa"/>
            <w:gridSpan w:val="2"/>
            <w:vMerge/>
            <w:tcBorders>
              <w:left w:val="single" w:sz="4" w:space="0" w:color="000000"/>
              <w:bottom w:val="nil" w:sz="6" w:space="0" w:color="auto"/>
              <w:right w:val="single" w:sz="4" w:space="0" w:color="000000"/>
            </w:tcBorders>
          </w:tcPr>
          <w:p>
            <w:pPr/>
          </w:p>
        </w:tc>
      </w:tr>
      <w:tr>
        <w:trPr>
          <w:trHeight w:val="161"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2463"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69" w:type="dxa"/>
            <w:vMerge w:val="restart"/>
            <w:tcBorders>
              <w:top w:val="nil" w:sz="6" w:space="0" w:color="auto"/>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c>
          <w:tcPr>
            <w:tcW w:w="2429" w:type="dxa"/>
            <w:gridSpan w:val="2"/>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2463" w:type="dxa"/>
            <w:gridSpan w:val="2"/>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2369"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2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3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1,036,955,203.58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865,521,911.78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865,521,911.78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19.81%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813,725,572.40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813,725,572.40</w:t>
            </w:r>
          </w:p>
        </w:tc>
      </w:tr>
      <w:tr>
        <w:trPr>
          <w:trHeight w:val="63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 w:right="178"/>
              <w:jc w:val="left"/>
              <w:rPr>
                <w:rFonts w:ascii="宋体" w:hAnsi="宋体" w:cs="宋体" w:eastAsia="宋体" w:hint="default"/>
                <w:sz w:val="18"/>
                <w:szCs w:val="18"/>
              </w:rPr>
            </w:pPr>
            <w:r>
              <w:rPr>
                <w:rFonts w:ascii="宋体" w:hAnsi="宋体" w:cs="宋体" w:eastAsia="宋体" w:hint="default"/>
                <w:sz w:val="18"/>
                <w:szCs w:val="18"/>
              </w:rPr>
              <w:t>归属于上市公司股东的所有 者权益（元）</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691,442,063.33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646,431,275.43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649,197,736.47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611,992,614.78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611,992,614.78</w:t>
            </w:r>
          </w:p>
        </w:tc>
      </w:tr>
    </w:tbl>
    <w:p>
      <w:pPr>
        <w:spacing w:before="8"/>
        <w:ind w:left="17" w:right="20" w:firstLine="0"/>
        <w:jc w:val="center"/>
        <w:rPr>
          <w:rFonts w:ascii="宋体" w:hAnsi="宋体" w:cs="宋体" w:eastAsia="宋体" w:hint="default"/>
          <w:sz w:val="18"/>
          <w:szCs w:val="18"/>
        </w:rPr>
      </w:pPr>
      <w:r>
        <w:rPr>
          <w:rFonts w:ascii="宋体" w:hAnsi="宋体" w:cs="宋体" w:eastAsia="宋体" w:hint="default"/>
          <w:sz w:val="18"/>
          <w:szCs w:val="18"/>
        </w:rPr>
        <w:t>注：</w:t>
      </w:r>
      <w:r>
        <w:rPr>
          <w:rFonts w:ascii="Calibri" w:hAnsi="Calibri" w:cs="Calibri" w:eastAsia="Calibri" w:hint="default"/>
          <w:spacing w:val="-1"/>
          <w:sz w:val="18"/>
          <w:szCs w:val="18"/>
        </w:rPr>
        <w:t>201</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pacing w:val="-1"/>
          <w:sz w:val="18"/>
          <w:szCs w:val="18"/>
        </w:rPr>
        <w:t>1</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4</w:t>
      </w:r>
      <w:r>
        <w:rPr>
          <w:rFonts w:ascii="Calibri" w:hAnsi="Calibri" w:cs="Calibri" w:eastAsia="Calibri" w:hint="default"/>
          <w:spacing w:val="4"/>
          <w:sz w:val="18"/>
          <w:szCs w:val="18"/>
        </w:rPr>
        <w:t> </w:t>
      </w:r>
      <w:r>
        <w:rPr>
          <w:rFonts w:ascii="宋体" w:hAnsi="宋体" w:cs="宋体" w:eastAsia="宋体" w:hint="default"/>
          <w:sz w:val="18"/>
          <w:szCs w:val="18"/>
        </w:rPr>
        <w:t>日，中</w:t>
      </w:r>
      <w:r>
        <w:rPr>
          <w:rFonts w:ascii="宋体" w:hAnsi="宋体" w:cs="宋体" w:eastAsia="宋体" w:hint="default"/>
          <w:spacing w:val="-3"/>
          <w:sz w:val="18"/>
          <w:szCs w:val="18"/>
        </w:rPr>
        <w:t>华</w:t>
      </w:r>
      <w:r>
        <w:rPr>
          <w:rFonts w:ascii="宋体" w:hAnsi="宋体" w:cs="宋体" w:eastAsia="宋体" w:hint="default"/>
          <w:sz w:val="18"/>
          <w:szCs w:val="18"/>
        </w:rPr>
        <w:t>人民共和国财政部（以下简称“财政部</w:t>
      </w:r>
      <w:r>
        <w:rPr>
          <w:rFonts w:ascii="宋体" w:hAnsi="宋体" w:cs="宋体" w:eastAsia="宋体" w:hint="default"/>
          <w:spacing w:val="-92"/>
          <w:sz w:val="18"/>
          <w:szCs w:val="18"/>
        </w:rPr>
        <w:t>”</w:t>
      </w:r>
      <w:r>
        <w:rPr>
          <w:rFonts w:ascii="宋体" w:hAnsi="宋体" w:cs="宋体" w:eastAsia="宋体" w:hint="default"/>
          <w:sz w:val="18"/>
          <w:szCs w:val="18"/>
        </w:rPr>
        <w:t>）发布《企业会计</w:t>
      </w:r>
      <w:r>
        <w:rPr>
          <w:rFonts w:ascii="宋体" w:hAnsi="宋体" w:cs="宋体" w:eastAsia="宋体" w:hint="default"/>
          <w:spacing w:val="2"/>
          <w:sz w:val="18"/>
          <w:szCs w:val="18"/>
        </w:rPr>
        <w:t>准</w:t>
      </w:r>
      <w:r>
        <w:rPr>
          <w:rFonts w:ascii="宋体" w:hAnsi="宋体" w:cs="宋体" w:eastAsia="宋体" w:hint="default"/>
          <w:sz w:val="18"/>
          <w:szCs w:val="18"/>
        </w:rPr>
        <w:t>则解释第</w:t>
      </w:r>
      <w:r>
        <w:rPr>
          <w:rFonts w:ascii="宋体" w:hAnsi="宋体" w:cs="宋体" w:eastAsia="宋体" w:hint="default"/>
          <w:spacing w:val="-43"/>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（财会</w:t>
      </w:r>
    </w:p>
    <w:p>
      <w:pPr>
        <w:spacing w:before="53"/>
        <w:ind w:left="137" w:right="2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pacing w:val="-1"/>
          <w:sz w:val="18"/>
          <w:szCs w:val="18"/>
        </w:rPr>
        <w:t>2015</w:t>
      </w:r>
      <w:r>
        <w:rPr>
          <w:rFonts w:ascii="宋体" w:hAnsi="宋体" w:cs="宋体" w:eastAsia="宋体" w:hint="default"/>
          <w:spacing w:val="-1"/>
          <w:sz w:val="18"/>
          <w:szCs w:val="18"/>
        </w:rPr>
        <w:t>】</w:t>
      </w:r>
      <w:r>
        <w:rPr>
          <w:rFonts w:ascii="Calibri" w:hAnsi="Calibri" w:cs="Calibri" w:eastAsia="Calibri" w:hint="default"/>
          <w:spacing w:val="-1"/>
          <w:sz w:val="18"/>
          <w:szCs w:val="18"/>
        </w:rPr>
        <w:t>1</w:t>
      </w:r>
      <w:r>
        <w:rPr>
          <w:rFonts w:ascii="Calibri" w:hAnsi="Calibri" w:cs="Calibri" w:eastAsia="Calibri" w:hint="default"/>
          <w:sz w:val="18"/>
          <w:szCs w:val="18"/>
        </w:rPr>
        <w:t>9</w:t>
      </w:r>
      <w:r>
        <w:rPr>
          <w:rFonts w:ascii="Calibri" w:hAnsi="Calibri" w:cs="Calibri" w:eastAsia="Calibri"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w:t>
      </w:r>
      <w:r>
        <w:rPr>
          <w:rFonts w:ascii="宋体" w:hAnsi="宋体" w:cs="宋体" w:eastAsia="宋体" w:hint="default"/>
          <w:spacing w:val="2"/>
          <w:sz w:val="18"/>
          <w:szCs w:val="18"/>
        </w:rPr>
        <w:t>准</w:t>
      </w:r>
      <w:r>
        <w:rPr>
          <w:rFonts w:ascii="宋体" w:hAnsi="宋体" w:cs="宋体" w:eastAsia="宋体" w:hint="default"/>
          <w:sz w:val="18"/>
          <w:szCs w:val="18"/>
        </w:rPr>
        <w:t>则解释第</w:t>
      </w:r>
      <w:r>
        <w:rPr>
          <w:rFonts w:ascii="宋体" w:hAnsi="宋体" w:cs="宋体" w:eastAsia="宋体" w:hint="default"/>
          <w:spacing w:val="-44"/>
          <w:sz w:val="18"/>
          <w:szCs w:val="18"/>
        </w:rPr>
        <w:t> </w:t>
      </w:r>
      <w:r>
        <w:rPr>
          <w:rFonts w:ascii="Calibri" w:hAnsi="Calibri" w:cs="Calibri" w:eastAsia="Calibri" w:hint="default"/>
          <w:sz w:val="18"/>
          <w:szCs w:val="18"/>
        </w:rPr>
        <w:t>7</w:t>
      </w:r>
      <w:r>
        <w:rPr>
          <w:rFonts w:ascii="Calibri" w:hAnsi="Calibri" w:cs="Calibri" w:eastAsia="Calibri" w:hint="default"/>
          <w:spacing w:val="4"/>
          <w:sz w:val="18"/>
          <w:szCs w:val="18"/>
        </w:rPr>
        <w:t> </w:t>
      </w:r>
      <w:r>
        <w:rPr>
          <w:rFonts w:ascii="宋体" w:hAnsi="宋体" w:cs="宋体" w:eastAsia="宋体" w:hint="default"/>
          <w:sz w:val="18"/>
          <w:szCs w:val="18"/>
        </w:rPr>
        <w:t>号》中关于授予限制性股票激励计划的会计处理进行了变更，公司自</w:t>
      </w:r>
      <w:r>
        <w:rPr>
          <w:rFonts w:ascii="宋体" w:hAnsi="宋体" w:cs="宋体" w:eastAsia="宋体" w:hint="default"/>
          <w:spacing w:val="-45"/>
          <w:sz w:val="18"/>
          <w:szCs w:val="18"/>
        </w:rPr>
        <w:t> </w:t>
      </w:r>
      <w:r>
        <w:rPr>
          <w:rFonts w:ascii="Calibri" w:hAnsi="Calibri" w:cs="Calibri" w:eastAsia="Calibri" w:hint="default"/>
          <w:spacing w:val="-1"/>
          <w:sz w:val="18"/>
          <w:szCs w:val="18"/>
        </w:rPr>
        <w:t>201</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年</w:t>
      </w:r>
    </w:p>
    <w:p>
      <w:pPr>
        <w:spacing w:line="290" w:lineRule="auto" w:before="53"/>
        <w:ind w:left="137" w:right="177" w:firstLine="0"/>
        <w:jc w:val="left"/>
        <w:rPr>
          <w:rFonts w:ascii="宋体" w:hAnsi="宋体" w:cs="宋体" w:eastAsia="宋体" w:hint="default"/>
          <w:sz w:val="18"/>
          <w:szCs w:val="18"/>
        </w:rPr>
      </w:pPr>
      <w:r>
        <w:rPr>
          <w:rFonts w:ascii="宋体" w:hAnsi="宋体" w:cs="宋体" w:eastAsia="宋体" w:hint="default"/>
          <w:sz w:val="18"/>
          <w:szCs w:val="18"/>
        </w:rPr>
        <w:t>开始执行相关规定，并对</w:t>
      </w:r>
      <w:r>
        <w:rPr>
          <w:rFonts w:ascii="宋体" w:hAnsi="宋体" w:cs="宋体" w:eastAsia="宋体" w:hint="default"/>
          <w:spacing w:val="-47"/>
          <w:sz w:val="18"/>
          <w:szCs w:val="18"/>
        </w:rPr>
        <w:t> </w:t>
      </w:r>
      <w:r>
        <w:rPr>
          <w:rFonts w:ascii="Calibri" w:hAnsi="Calibri" w:cs="Calibri" w:eastAsia="Calibri" w:hint="default"/>
          <w:sz w:val="18"/>
          <w:szCs w:val="18"/>
        </w:rPr>
        <w:t>2014</w:t>
      </w:r>
      <w:r>
        <w:rPr>
          <w:rFonts w:ascii="Calibri" w:hAnsi="Calibri" w:cs="Calibri" w:eastAsia="Calibri" w:hint="default"/>
          <w:spacing w:val="3"/>
          <w:sz w:val="18"/>
          <w:szCs w:val="18"/>
        </w:rPr>
        <w:t> </w:t>
      </w:r>
      <w:r>
        <w:rPr>
          <w:rFonts w:ascii="宋体" w:hAnsi="宋体" w:cs="宋体" w:eastAsia="宋体" w:hint="default"/>
          <w:sz w:val="18"/>
          <w:szCs w:val="18"/>
        </w:rPr>
        <w:t>年相关数据进行了追溯调整，主要涉及其他应款、其他非流动负债、库存股等相关数据， 因此本表中的归属于上市公司股东的所有者权益发生了变动。</w:t>
      </w:r>
    </w:p>
    <w:p>
      <w:pPr>
        <w:spacing w:line="240" w:lineRule="auto" w:before="7"/>
        <w:rPr>
          <w:rFonts w:ascii="宋体" w:hAnsi="宋体" w:cs="宋体" w:eastAsia="宋体" w:hint="default"/>
          <w:sz w:val="16"/>
          <w:szCs w:val="16"/>
        </w:rPr>
      </w:pPr>
    </w:p>
    <w:p>
      <w:pPr>
        <w:pStyle w:val="Heading2"/>
        <w:spacing w:line="240" w:lineRule="auto"/>
        <w:ind w:left="137" w:right="229"/>
        <w:jc w:val="left"/>
        <w:rPr>
          <w:b w:val="0"/>
          <w:bCs w:val="0"/>
        </w:rPr>
      </w:pPr>
      <w:bookmarkStart w:name="_bookmark7" w:id="8"/>
      <w:bookmarkEnd w:id="8"/>
      <w:r>
        <w:rPr>
          <w:b w:val="0"/>
          <w:bCs w:val="0"/>
        </w:rPr>
      </w:r>
      <w:r>
        <w:rPr/>
        <w:t>六、分季度主要财务指标</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3219"/>
        <w:gridCol w:w="1666"/>
        <w:gridCol w:w="1642"/>
        <w:gridCol w:w="1414"/>
        <w:gridCol w:w="1548"/>
      </w:tblGrid>
      <w:tr>
        <w:trPr>
          <w:trHeight w:val="478"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第一季度</w:t>
            </w:r>
            <w:r>
              <w:rPr>
                <w:rFonts w:ascii="Microsoft JhengHei" w:hAnsi="Microsoft JhengHei" w:cs="Microsoft JhengHei" w:eastAsia="Microsoft JhengHei" w:hint="default"/>
                <w:sz w:val="18"/>
                <w:szCs w:val="18"/>
              </w:rPr>
            </w:r>
          </w:p>
        </w:tc>
        <w:tc>
          <w:tcPr>
            <w:tcW w:w="16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第二季度</w:t>
            </w:r>
            <w:r>
              <w:rPr>
                <w:rFonts w:ascii="Microsoft JhengHei" w:hAnsi="Microsoft JhengHei" w:cs="Microsoft JhengHei" w:eastAsia="Microsoft JhengHei"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3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第三季度</w:t>
            </w:r>
            <w:r>
              <w:rPr>
                <w:rFonts w:ascii="Microsoft JhengHei" w:hAnsi="Microsoft JhengHei" w:cs="Microsoft JhengHei" w:eastAsia="Microsoft JhengHei"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第四季度</w:t>
            </w:r>
            <w:r>
              <w:rPr>
                <w:rFonts w:ascii="Microsoft JhengHei" w:hAnsi="Microsoft JhengHei" w:cs="Microsoft JhengHei" w:eastAsia="Microsoft JhengHei" w:hint="default"/>
                <w:sz w:val="18"/>
                <w:szCs w:val="18"/>
              </w:rPr>
            </w:r>
          </w:p>
        </w:tc>
      </w:tr>
      <w:tr>
        <w:trPr>
          <w:trHeight w:val="32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62,312,960.55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94,731,664.59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103,860,860.62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206,245,509.99</w:t>
            </w:r>
          </w:p>
        </w:tc>
      </w:tr>
      <w:tr>
        <w:trPr>
          <w:trHeight w:val="32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-1,694,916.87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5,505,066.45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5,982,649.22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48,986,093.70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85" w:top="1220" w:bottom="1280" w:left="1140" w:right="980"/>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3219"/>
        <w:gridCol w:w="1666"/>
        <w:gridCol w:w="1642"/>
        <w:gridCol w:w="1414"/>
        <w:gridCol w:w="1548"/>
      </w:tblGrid>
      <w:tr>
        <w:trPr>
          <w:trHeight w:val="634"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-2,564,304.43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3,953,052.24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4,669,130.69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47,475,897.73</w:t>
            </w:r>
          </w:p>
        </w:tc>
      </w:tr>
      <w:tr>
        <w:trPr>
          <w:trHeight w:val="32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-58,993,432.44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-16,919,063.75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29,936,959.29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175,022,417.10</w:t>
            </w:r>
          </w:p>
        </w:tc>
      </w:tr>
    </w:tbl>
    <w:p>
      <w:pPr>
        <w:pStyle w:val="BodyText"/>
        <w:spacing w:line="357" w:lineRule="auto" w:before="39"/>
        <w:ind w:right="269" w:firstLine="480"/>
        <w:jc w:val="left"/>
      </w:pPr>
      <w:r>
        <w:rPr/>
        <w:t>上述财务指标或其加总数是否与公司已披露季度报告、半年度报告相关财务指标存在 重大差异</w:t>
      </w:r>
    </w:p>
    <w:p>
      <w:pPr>
        <w:spacing w:line="427" w:lineRule="auto" w:before="36"/>
        <w:ind w:left="137" w:right="578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是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否</w:t>
      </w:r>
      <w:r>
        <w:rPr>
          <w:rFonts w:ascii="宋体" w:hAnsi="宋体" w:cs="宋体" w:eastAsia="宋体" w:hint="default"/>
          <w:w w:val="99"/>
          <w:sz w:val="24"/>
          <w:szCs w:val="24"/>
        </w:rPr>
        <w:t> </w:t>
      </w:r>
      <w:bookmarkStart w:name="_bookmark8" w:id="9"/>
      <w:bookmarkEnd w:id="9"/>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七、境内外会计准则下会计数据差异</w:t>
      </w:r>
      <w:r>
        <w:rPr>
          <w:rFonts w:ascii="Microsoft JhengHei" w:hAnsi="Microsoft JhengHei" w:cs="Microsoft JhengHei" w:eastAsia="Microsoft JhengHei" w:hint="default"/>
          <w:sz w:val="24"/>
          <w:szCs w:val="24"/>
        </w:rPr>
      </w:r>
    </w:p>
    <w:p>
      <w:pPr>
        <w:pStyle w:val="Heading2"/>
        <w:spacing w:line="240" w:lineRule="auto" w:before="24"/>
        <w:ind w:left="137"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326" w:lineRule="auto" w:before="0"/>
        <w:ind w:left="617" w:right="2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公司报告期不存在按照国际会计准则与按照中国会计准则披露的财务报告中净利润和</w:t>
      </w:r>
    </w:p>
    <w:p>
      <w:pPr>
        <w:pStyle w:val="BodyText"/>
        <w:spacing w:line="240" w:lineRule="auto" w:before="67"/>
        <w:ind w:right="229"/>
        <w:jc w:val="left"/>
      </w:pPr>
      <w:r>
        <w:rPr/>
        <w:t>净资产差异情况。</w:t>
      </w:r>
    </w:p>
    <w:p>
      <w:pPr>
        <w:spacing w:line="240" w:lineRule="auto" w:before="11"/>
        <w:rPr>
          <w:rFonts w:ascii="宋体" w:hAnsi="宋体" w:cs="宋体" w:eastAsia="宋体" w:hint="default"/>
          <w:sz w:val="28"/>
          <w:szCs w:val="28"/>
        </w:rPr>
      </w:pPr>
    </w:p>
    <w:p>
      <w:pPr>
        <w:pStyle w:val="Heading2"/>
        <w:spacing w:line="240" w:lineRule="auto"/>
        <w:ind w:left="137"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2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公司报告期不存在按照境外会计准则与按照中国会计准则披露的财务报告中净利润和</w:t>
      </w:r>
    </w:p>
    <w:p>
      <w:pPr>
        <w:spacing w:line="470" w:lineRule="auto" w:before="67"/>
        <w:ind w:left="137" w:right="626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净资产差异情况。 </w:t>
      </w:r>
      <w:bookmarkStart w:name="_bookmark9" w:id="10"/>
      <w:bookmarkEnd w:id="10"/>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八、非经常性损益的项目及金额</w:t>
      </w:r>
      <w:r>
        <w:rPr>
          <w:rFonts w:ascii="Microsoft JhengHei" w:hAnsi="Microsoft JhengHei" w:cs="Microsoft JhengHei" w:eastAsia="Microsoft JhengHei" w:hint="default"/>
          <w:sz w:val="24"/>
          <w:szCs w:val="24"/>
        </w:rPr>
      </w:r>
    </w:p>
    <w:p>
      <w:pPr>
        <w:spacing w:before="69"/>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4328"/>
        <w:gridCol w:w="1397"/>
        <w:gridCol w:w="1395"/>
        <w:gridCol w:w="1397"/>
        <w:gridCol w:w="972"/>
      </w:tblGrid>
      <w:tr>
        <w:trPr>
          <w:trHeight w:val="473"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0" w:lineRule="exact"/>
              <w:ind w:left="48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3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3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39"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2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638"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9" w:right="91"/>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非流动资产处置损益（包括已计提资产减值准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备的冲销部分）</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-394,369.55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-220,160.93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19,621,996.71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9" w:right="91"/>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关，按照国家统一标准定额或定量享受的政府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补助除外）</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6,615,396.68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9,378,424.43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pacing w:val="-1"/>
                <w:sz w:val="18"/>
              </w:rPr>
              <w:t>11,186,769.34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9" w:right="91"/>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益进行一次性调整对当期损益的影响</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9"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pacing w:val="-1"/>
                <w:sz w:val="18"/>
              </w:rPr>
              <w:t>383,923.88</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-54,892.58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-83,072.80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50" w:val="left" w:leader="none"/>
              </w:tabs>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减：</w:t>
              <w:tab/>
              <w:t>所得税影响额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929,280.44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910,688.25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3,108,648.51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-19,445.70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-1,696.44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38,569.59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5,245,116.27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8,194,379.11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27,578,475.15</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w:t>
      </w:r>
    </w:p>
    <w:p>
      <w:pPr>
        <w:pStyle w:val="BodyText"/>
        <w:spacing w:line="240" w:lineRule="auto" w:before="135"/>
        <w:ind w:right="229"/>
        <w:jc w:val="left"/>
        <w:rPr>
          <w:rFonts w:ascii="Times New Roman" w:hAnsi="Times New Roman" w:cs="Times New Roman" w:eastAsia="Times New Roman" w:hint="default"/>
        </w:rPr>
      </w:pPr>
      <w:r>
        <w:rPr/>
        <w:t>义界定的非经常性损益项目，以及把《公开发行证券的公司信息披露解释性公告第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p>
    <w:p>
      <w:pPr>
        <w:pStyle w:val="BodyText"/>
        <w:spacing w:line="240" w:lineRule="auto" w:before="135"/>
        <w:ind w:right="229"/>
        <w:jc w:val="left"/>
      </w:pPr>
      <w:r>
        <w:rPr>
          <w:rFonts w:ascii="Times New Roman" w:hAnsi="Times New Roman" w:cs="Times New Roman" w:eastAsia="Times New Roman" w:hint="default"/>
        </w:rPr>
        <w:t>—</w:t>
      </w:r>
      <w:r>
        <w:rPr/>
        <w:t>非经常性损益》中列举的非经常性损益项目界定为经常性损益的项目，应说明原因：</w:t>
      </w:r>
    </w:p>
    <w:p>
      <w:pPr>
        <w:pStyle w:val="BodyText"/>
        <w:tabs>
          <w:tab w:pos="1853" w:val="left" w:leader="none"/>
        </w:tabs>
        <w:spacing w:line="240" w:lineRule="auto" w:before="135"/>
        <w:ind w:left="617" w:right="229"/>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tab/>
      </w:r>
      <w:r>
        <w:rPr/>
        <w:t>不适用</w:t>
      </w:r>
    </w:p>
    <w:p>
      <w:pPr>
        <w:spacing w:after="0" w:line="240" w:lineRule="auto"/>
        <w:jc w:val="left"/>
        <w:sectPr>
          <w:footerReference w:type="default" r:id="rId13"/>
          <w:pgSz w:w="11910" w:h="16840"/>
          <w:pgMar w:footer="1085" w:header="877" w:top="1220" w:bottom="1280" w:left="1140" w:right="980"/>
          <w:pgNumType w:start="11"/>
        </w:sectPr>
      </w:pPr>
    </w:p>
    <w:p>
      <w:pPr>
        <w:spacing w:line="240" w:lineRule="auto" w:before="6"/>
        <w:rPr>
          <w:rFonts w:ascii="宋体" w:hAnsi="宋体" w:cs="宋体" w:eastAsia="宋体" w:hint="default"/>
          <w:sz w:val="19"/>
          <w:szCs w:val="19"/>
        </w:rPr>
      </w:pPr>
    </w:p>
    <w:p>
      <w:pPr>
        <w:pStyle w:val="Heading1"/>
        <w:tabs>
          <w:tab w:pos="1259" w:val="left" w:leader="none"/>
        </w:tabs>
        <w:spacing w:line="456" w:lineRule="exact"/>
        <w:ind w:right="20"/>
        <w:jc w:val="center"/>
        <w:rPr>
          <w:b w:val="0"/>
          <w:bCs w:val="0"/>
        </w:rPr>
      </w:pPr>
      <w:bookmarkStart w:name="_bookmark10" w:id="11"/>
      <w:bookmarkEnd w:id="11"/>
      <w:r>
        <w:rPr>
          <w:b w:val="0"/>
          <w:bCs w:val="0"/>
        </w:rPr>
      </w:r>
      <w:r>
        <w:rPr>
          <w:spacing w:val="4"/>
          <w:w w:val="95"/>
        </w:rPr>
        <w:t>第三节</w:t>
        <w:tab/>
      </w:r>
      <w:r>
        <w:rPr>
          <w:spacing w:val="4"/>
        </w:rPr>
        <w:t>公司业务概要</w:t>
      </w:r>
      <w:r>
        <w:rPr>
          <w:b w:val="0"/>
          <w:bCs w:val="0"/>
          <w:spacing w:val="4"/>
        </w:rPr>
      </w:r>
    </w:p>
    <w:p>
      <w:pPr>
        <w:spacing w:line="240" w:lineRule="auto" w:before="2"/>
        <w:rPr>
          <w:rFonts w:ascii="Microsoft JhengHei" w:hAnsi="Microsoft JhengHei" w:cs="Microsoft JhengHei" w:eastAsia="Microsoft JhengHei" w:hint="default"/>
          <w:b/>
          <w:bCs/>
          <w:sz w:val="19"/>
          <w:szCs w:val="19"/>
        </w:rPr>
      </w:pPr>
    </w:p>
    <w:p>
      <w:pPr>
        <w:pStyle w:val="Heading2"/>
        <w:spacing w:line="240" w:lineRule="auto"/>
        <w:ind w:left="137" w:right="229"/>
        <w:jc w:val="left"/>
        <w:rPr>
          <w:b w:val="0"/>
          <w:bCs w:val="0"/>
        </w:rPr>
      </w:pPr>
      <w:bookmarkStart w:name="_bookmark11" w:id="12"/>
      <w:bookmarkEnd w:id="12"/>
      <w:r>
        <w:rPr>
          <w:b w:val="0"/>
          <w:bCs w:val="0"/>
        </w:rPr>
      </w:r>
      <w:r>
        <w:rPr/>
        <w:t>一、报告期内公司从事的主要业务</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6" w:lineRule="auto" w:before="0"/>
        <w:ind w:right="269" w:firstLine="480"/>
        <w:jc w:val="left"/>
      </w:pPr>
      <w:r>
        <w:rPr/>
        <w:t>公司的主营业务为</w:t>
      </w:r>
      <w:r>
        <w:rPr>
          <w:spacing w:val="-67"/>
        </w:rPr>
        <w:t> </w:t>
      </w:r>
      <w:r>
        <w:rPr>
          <w:rFonts w:ascii="Calibri" w:hAnsi="Calibri" w:cs="Calibri" w:eastAsia="Calibri" w:hint="default"/>
        </w:rPr>
        <w:t>GIS</w:t>
      </w:r>
      <w:r>
        <w:rPr/>
        <w:t>（</w:t>
      </w:r>
      <w:r>
        <w:rPr>
          <w:rFonts w:ascii="Calibri" w:hAnsi="Calibri" w:cs="Calibri" w:eastAsia="Calibri" w:hint="default"/>
        </w:rPr>
        <w:t>Geographic</w:t>
      </w:r>
      <w:r>
        <w:rPr>
          <w:rFonts w:ascii="Calibri" w:hAnsi="Calibri" w:cs="Calibri" w:eastAsia="Calibri" w:hint="default"/>
          <w:spacing w:val="-6"/>
        </w:rPr>
        <w:t> </w:t>
      </w:r>
      <w:r>
        <w:rPr>
          <w:rFonts w:ascii="Calibri" w:hAnsi="Calibri" w:cs="Calibri" w:eastAsia="Calibri" w:hint="default"/>
        </w:rPr>
        <w:t>Information</w:t>
      </w:r>
      <w:r>
        <w:rPr>
          <w:rFonts w:ascii="Calibri" w:hAnsi="Calibri" w:cs="Calibri" w:eastAsia="Calibri" w:hint="default"/>
          <w:spacing w:val="-5"/>
        </w:rPr>
        <w:t> </w:t>
      </w:r>
      <w:r>
        <w:rPr>
          <w:rFonts w:ascii="Calibri" w:hAnsi="Calibri" w:cs="Calibri" w:eastAsia="Calibri" w:hint="default"/>
        </w:rPr>
        <w:t>System</w:t>
      </w:r>
      <w:r>
        <w:rPr/>
        <w:t>，地理信息系统）基础平台软 件、应用平台软件的研发和销售，同时基于上述平台软件为客户提供各类定制软件增值服 务，包括提供方案咨询、技术支持与技术开发服务及与</w:t>
      </w:r>
      <w:r>
        <w:rPr>
          <w:spacing w:val="-61"/>
        </w:rPr>
        <w:t> </w:t>
      </w:r>
      <w:r>
        <w:rPr>
          <w:rFonts w:ascii="Calibri" w:hAnsi="Calibri" w:cs="Calibri" w:eastAsia="Calibri" w:hint="default"/>
        </w:rPr>
        <w:t>GIS</w:t>
      </w:r>
      <w:r>
        <w:rPr>
          <w:rFonts w:ascii="Calibri" w:hAnsi="Calibri" w:cs="Calibri" w:eastAsia="Calibri" w:hint="default"/>
          <w:spacing w:val="4"/>
        </w:rPr>
        <w:t> </w:t>
      </w:r>
      <w:r>
        <w:rPr/>
        <w:t>应用工程相关配套产品的销售 服务。以下为公司报告期内各类业务的简要介绍：</w:t>
      </w:r>
    </w:p>
    <w:p>
      <w:pPr>
        <w:spacing w:line="240" w:lineRule="auto" w:before="7"/>
        <w:rPr>
          <w:rFonts w:ascii="宋体" w:hAnsi="宋体" w:cs="宋体" w:eastAsia="宋体" w:hint="default"/>
          <w:sz w:val="21"/>
          <w:szCs w:val="21"/>
        </w:rPr>
      </w:pPr>
    </w:p>
    <w:p>
      <w:pPr>
        <w:pStyle w:val="Heading2"/>
        <w:spacing w:line="240" w:lineRule="auto"/>
        <w:ind w:left="137" w:right="229"/>
        <w:jc w:val="left"/>
        <w:rPr>
          <w:b w:val="0"/>
          <w:bCs w:val="0"/>
        </w:rPr>
      </w:pPr>
      <w:r>
        <w:rPr>
          <w:rFonts w:ascii="Times New Roman" w:hAnsi="Times New Roman" w:cs="Times New Roman" w:eastAsia="Times New Roman" w:hint="default"/>
        </w:rPr>
        <w:t>1</w:t>
      </w:r>
      <w:r>
        <w:rPr/>
        <w:t>、公司主营业务介绍</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t>（</w:t>
      </w:r>
      <w:r>
        <w:rPr>
          <w:rFonts w:ascii="Calibri" w:hAnsi="Calibri" w:cs="Calibri" w:eastAsia="Calibri" w:hint="default"/>
        </w:rPr>
        <w:t>1</w:t>
      </w:r>
      <w:r>
        <w:rPr/>
        <w:t>）</w:t>
      </w:r>
      <w:r>
        <w:rPr>
          <w:rFonts w:ascii="Calibri" w:hAnsi="Calibri" w:cs="Calibri" w:eastAsia="Calibri" w:hint="default"/>
        </w:rPr>
        <w:t>GIS</w:t>
      </w:r>
      <w:r>
        <w:rPr>
          <w:rFonts w:ascii="Calibri" w:hAnsi="Calibri" w:cs="Calibri" w:eastAsia="Calibri" w:hint="default"/>
          <w:spacing w:val="4"/>
        </w:rPr>
        <w:t> </w:t>
      </w:r>
      <w:r>
        <w:rPr/>
        <w:t>平台软件的研发和销售</w:t>
      </w:r>
    </w:p>
    <w:p>
      <w:pPr>
        <w:pStyle w:val="BodyText"/>
        <w:spacing w:line="326" w:lineRule="auto" w:before="123"/>
        <w:ind w:right="201" w:firstLine="480"/>
        <w:jc w:val="left"/>
      </w:pPr>
      <w:r>
        <w:rPr/>
        <w:t>任何与空间信息管理相关的</w:t>
      </w:r>
      <w:r>
        <w:rPr>
          <w:spacing w:val="-61"/>
        </w:rPr>
        <w:t> </w:t>
      </w:r>
      <w:r>
        <w:rPr>
          <w:rFonts w:ascii="Calibri" w:hAnsi="Calibri" w:cs="Calibri" w:eastAsia="Calibri" w:hint="default"/>
        </w:rPr>
        <w:t>IT</w:t>
      </w:r>
      <w:r>
        <w:rPr>
          <w:rFonts w:ascii="Calibri" w:hAnsi="Calibri" w:cs="Calibri" w:eastAsia="Calibri" w:hint="default"/>
          <w:spacing w:val="5"/>
        </w:rPr>
        <w:t> </w:t>
      </w:r>
      <w:r>
        <w:rPr/>
        <w:t>系统建设，都需要基于</w:t>
      </w:r>
      <w:r>
        <w:rPr>
          <w:spacing w:val="-61"/>
        </w:rPr>
        <w:t> </w:t>
      </w:r>
      <w:r>
        <w:rPr>
          <w:rFonts w:ascii="Calibri" w:hAnsi="Calibri" w:cs="Calibri" w:eastAsia="Calibri" w:hint="default"/>
        </w:rPr>
        <w:t>GIS</w:t>
      </w:r>
      <w:r>
        <w:rPr>
          <w:rFonts w:ascii="Calibri" w:hAnsi="Calibri" w:cs="Calibri" w:eastAsia="Calibri" w:hint="default"/>
          <w:spacing w:val="4"/>
        </w:rPr>
        <w:t> </w:t>
      </w:r>
      <w:r>
        <w:rPr/>
        <w:t>基础平台软件，换句话说， </w:t>
      </w:r>
      <w:r>
        <w:rPr>
          <w:rFonts w:ascii="Calibri" w:hAnsi="Calibri" w:cs="Calibri" w:eastAsia="Calibri" w:hint="default"/>
        </w:rPr>
        <w:t>GIS</w:t>
      </w:r>
      <w:r>
        <w:rPr>
          <w:rFonts w:ascii="Calibri" w:hAnsi="Calibri" w:cs="Calibri" w:eastAsia="Calibri" w:hint="default"/>
          <w:spacing w:val="4"/>
        </w:rPr>
        <w:t> </w:t>
      </w:r>
      <w:r>
        <w:rPr/>
        <w:t>平台软件是将地理信息与</w:t>
      </w:r>
      <w:r>
        <w:rPr>
          <w:spacing w:val="-61"/>
        </w:rPr>
        <w:t> </w:t>
      </w:r>
      <w:r>
        <w:rPr>
          <w:rFonts w:ascii="Calibri" w:hAnsi="Calibri" w:cs="Calibri" w:eastAsia="Calibri" w:hint="default"/>
        </w:rPr>
        <w:t>IT</w:t>
      </w:r>
      <w:r>
        <w:rPr>
          <w:rFonts w:ascii="Calibri" w:hAnsi="Calibri" w:cs="Calibri" w:eastAsia="Calibri" w:hint="default"/>
          <w:spacing w:val="5"/>
        </w:rPr>
        <w:t> </w:t>
      </w:r>
      <w:r>
        <w:rPr/>
        <w:t>应用衔接起来的底层核心中间件。此类业务，技术门槛 高，研发投入大，是地理信息产业的技术制高点。报告期内，公司发布了</w:t>
      </w:r>
      <w:r>
        <w:rPr>
          <w:spacing w:val="-61"/>
        </w:rPr>
        <w:t> </w:t>
      </w:r>
      <w:r>
        <w:rPr>
          <w:rFonts w:ascii="Calibri" w:hAnsi="Calibri" w:cs="Calibri" w:eastAsia="Calibri" w:hint="default"/>
        </w:rPr>
        <w:t>SuperMap</w:t>
      </w:r>
      <w:r>
        <w:rPr>
          <w:rFonts w:ascii="Calibri" w:hAnsi="Calibri" w:cs="Calibri" w:eastAsia="Calibri" w:hint="default"/>
          <w:spacing w:val="-2"/>
        </w:rPr>
        <w:t> </w:t>
      </w:r>
      <w:r>
        <w:rPr>
          <w:rFonts w:ascii="Calibri" w:hAnsi="Calibri" w:cs="Calibri" w:eastAsia="Calibri" w:hint="default"/>
        </w:rPr>
        <w:t>GIS</w:t>
      </w:r>
      <w:r>
        <w:rPr>
          <w:rFonts w:ascii="Calibri" w:hAnsi="Calibri" w:cs="Calibri" w:eastAsia="Calibri" w:hint="default"/>
          <w:spacing w:val="-1"/>
        </w:rPr>
        <w:t> </w:t>
      </w:r>
      <w:r>
        <w:rPr>
          <w:rFonts w:ascii="Calibri" w:hAnsi="Calibri" w:cs="Calibri" w:eastAsia="Calibri" w:hint="default"/>
        </w:rPr>
        <w:t>8C</w:t>
      </w:r>
      <w:r>
        <w:rPr>
          <w:rFonts w:ascii="Calibri" w:hAnsi="Calibri" w:cs="Calibri" w:eastAsia="Calibri" w:hint="default"/>
        </w:rPr>
        <w:t> </w:t>
      </w:r>
      <w:r>
        <w:rPr/>
        <w:t>系列产品，率先推出跨操作系统的专业</w:t>
      </w:r>
      <w:r>
        <w:rPr>
          <w:spacing w:val="-61"/>
        </w:rPr>
        <w:t> </w:t>
      </w:r>
      <w:r>
        <w:rPr>
          <w:rFonts w:ascii="Calibri" w:hAnsi="Calibri" w:cs="Calibri" w:eastAsia="Calibri" w:hint="default"/>
        </w:rPr>
        <w:t>GIS</w:t>
      </w:r>
      <w:r>
        <w:rPr>
          <w:rFonts w:ascii="Calibri" w:hAnsi="Calibri" w:cs="Calibri" w:eastAsia="Calibri" w:hint="default"/>
          <w:spacing w:val="4"/>
        </w:rPr>
        <w:t> </w:t>
      </w:r>
      <w:r>
        <w:rPr/>
        <w:t>桌面软件，使得</w:t>
      </w:r>
      <w:r>
        <w:rPr>
          <w:spacing w:val="-61"/>
        </w:rPr>
        <w:t> </w:t>
      </w:r>
      <w:r>
        <w:rPr>
          <w:rFonts w:ascii="Calibri" w:hAnsi="Calibri" w:cs="Calibri" w:eastAsia="Calibri" w:hint="default"/>
        </w:rPr>
        <w:t>GIS</w:t>
      </w:r>
      <w:r>
        <w:rPr>
          <w:rFonts w:ascii="Calibri" w:hAnsi="Calibri" w:cs="Calibri" w:eastAsia="Calibri" w:hint="default"/>
          <w:spacing w:val="4"/>
        </w:rPr>
        <w:t> </w:t>
      </w:r>
      <w:r>
        <w:rPr/>
        <w:t>桌面软件也可以在</w:t>
      </w:r>
      <w:r>
        <w:rPr>
          <w:spacing w:val="-61"/>
        </w:rPr>
        <w:t> </w:t>
      </w:r>
      <w:r>
        <w:rPr>
          <w:rFonts w:ascii="Calibri" w:hAnsi="Calibri" w:cs="Calibri" w:eastAsia="Calibri" w:hint="default"/>
        </w:rPr>
        <w:t>Linux</w:t>
      </w:r>
      <w:r>
        <w:rPr>
          <w:rFonts w:ascii="Calibri" w:hAnsi="Calibri" w:cs="Calibri" w:eastAsia="Calibri" w:hint="default"/>
          <w:spacing w:val="4"/>
        </w:rPr>
        <w:t> </w:t>
      </w:r>
      <w:r>
        <w:rPr/>
        <w:t>操 作系统中运行，并支持国产芯片及国产操作系统。</w:t>
      </w:r>
    </w:p>
    <w:p>
      <w:pPr>
        <w:pStyle w:val="BodyText"/>
        <w:spacing w:line="326" w:lineRule="auto" w:before="67"/>
        <w:ind w:right="368" w:firstLine="480"/>
        <w:jc w:val="left"/>
      </w:pPr>
      <w:r>
        <w:rPr/>
        <w:t>报告期内，得益于我国国家安全战略和国产替代等相关政策的影响，</w:t>
      </w:r>
      <w:r>
        <w:rPr>
          <w:rFonts w:ascii="Calibri" w:hAnsi="Calibri" w:cs="Calibri" w:eastAsia="Calibri" w:hint="default"/>
        </w:rPr>
        <w:t>GIS</w:t>
      </w:r>
      <w:r>
        <w:rPr>
          <w:rFonts w:ascii="Calibri" w:hAnsi="Calibri" w:cs="Calibri" w:eastAsia="Calibri" w:hint="default"/>
          <w:spacing w:val="5"/>
        </w:rPr>
        <w:t> </w:t>
      </w:r>
      <w:r>
        <w:rPr/>
        <w:t>平台软件的 销售取得了较大增长。</w:t>
      </w:r>
    </w:p>
    <w:p>
      <w:pPr>
        <w:pStyle w:val="BodyText"/>
        <w:spacing w:line="240" w:lineRule="auto" w:before="67"/>
        <w:ind w:left="617" w:right="229"/>
        <w:jc w:val="left"/>
      </w:pPr>
      <w:r>
        <w:rPr/>
        <w:t>（</w:t>
      </w:r>
      <w:r>
        <w:rPr>
          <w:rFonts w:ascii="Calibri" w:hAnsi="Calibri" w:cs="Calibri" w:eastAsia="Calibri" w:hint="default"/>
        </w:rPr>
        <w:t>2</w:t>
      </w:r>
      <w:r>
        <w:rPr/>
        <w:t>）地理信息应用工程技术开发和服务</w:t>
      </w:r>
    </w:p>
    <w:p>
      <w:pPr>
        <w:pStyle w:val="BodyText"/>
        <w:spacing w:line="340" w:lineRule="auto" w:before="123"/>
        <w:ind w:right="247" w:firstLine="480"/>
        <w:jc w:val="left"/>
      </w:pPr>
      <w:r>
        <w:rPr/>
        <w:t>为验证</w:t>
      </w:r>
      <w:r>
        <w:rPr>
          <w:spacing w:val="-62"/>
        </w:rPr>
        <w:t> </w:t>
      </w:r>
      <w:r>
        <w:rPr>
          <w:rFonts w:ascii="Calibri" w:hAnsi="Calibri" w:cs="Calibri" w:eastAsia="Calibri" w:hint="default"/>
        </w:rPr>
        <w:t>SuperMap</w:t>
      </w:r>
      <w:r>
        <w:rPr>
          <w:rFonts w:ascii="Calibri" w:hAnsi="Calibri" w:cs="Calibri" w:eastAsia="Calibri" w:hint="default"/>
          <w:spacing w:val="-2"/>
        </w:rPr>
        <w:t> </w:t>
      </w:r>
      <w:r>
        <w:rPr>
          <w:rFonts w:ascii="Calibri" w:hAnsi="Calibri" w:cs="Calibri" w:eastAsia="Calibri" w:hint="default"/>
        </w:rPr>
        <w:t>GIS</w:t>
      </w:r>
      <w:r>
        <w:rPr>
          <w:rFonts w:ascii="Calibri" w:hAnsi="Calibri" w:cs="Calibri" w:eastAsia="Calibri" w:hint="default"/>
          <w:spacing w:val="4"/>
        </w:rPr>
        <w:t> </w:t>
      </w:r>
      <w:r>
        <w:rPr/>
        <w:t>的先进性、稳定性，推广</w:t>
      </w:r>
      <w:r>
        <w:rPr>
          <w:spacing w:val="-61"/>
        </w:rPr>
        <w:t> </w:t>
      </w:r>
      <w:r>
        <w:rPr>
          <w:rFonts w:ascii="Calibri" w:hAnsi="Calibri" w:cs="Calibri" w:eastAsia="Calibri" w:hint="default"/>
        </w:rPr>
        <w:t>GIS</w:t>
      </w:r>
      <w:r>
        <w:rPr>
          <w:rFonts w:ascii="Calibri" w:hAnsi="Calibri" w:cs="Calibri" w:eastAsia="Calibri" w:hint="default"/>
          <w:spacing w:val="4"/>
        </w:rPr>
        <w:t> </w:t>
      </w:r>
      <w:r>
        <w:rPr/>
        <w:t>技术的应用，结合公司合作伙伴政 策和平台战略。多年来，公司仅选择了几个战略行业基于自主</w:t>
      </w:r>
      <w:r>
        <w:rPr>
          <w:spacing w:val="-61"/>
        </w:rPr>
        <w:t> </w:t>
      </w:r>
      <w:r>
        <w:rPr>
          <w:rFonts w:ascii="Calibri" w:hAnsi="Calibri" w:cs="Calibri" w:eastAsia="Calibri" w:hint="default"/>
        </w:rPr>
        <w:t>GIS</w:t>
      </w:r>
      <w:r>
        <w:rPr>
          <w:rFonts w:ascii="Calibri" w:hAnsi="Calibri" w:cs="Calibri" w:eastAsia="Calibri" w:hint="default"/>
          <w:spacing w:val="4"/>
        </w:rPr>
        <w:t> </w:t>
      </w:r>
      <w:r>
        <w:rPr/>
        <w:t>平台提供解决方案服 务，主要为国土、智慧城市、水利、房产、气象、统计和军事等行业提供地理信息应用工 程服务，包括技术开发和技术服务。上述行业为地理信息技术的强需求部门，应用难度 大、市场大。</w:t>
      </w:r>
    </w:p>
    <w:p>
      <w:pPr>
        <w:pStyle w:val="BodyText"/>
        <w:spacing w:line="357" w:lineRule="auto" w:before="53"/>
        <w:ind w:right="269" w:firstLine="480"/>
        <w:jc w:val="left"/>
      </w:pPr>
      <w:r>
        <w:rPr/>
        <w:t>报告期内，公司地理信息应用工程业务整体平稳，其中报告期内我国启动不动产登记 登记系统建设，我公司参与了包括国家级不动产登记云平台建设和多个省的示范项目建 设。</w:t>
      </w:r>
    </w:p>
    <w:p>
      <w:pPr>
        <w:pStyle w:val="BodyText"/>
        <w:spacing w:line="326" w:lineRule="auto"/>
        <w:ind w:left="617" w:right="269"/>
        <w:jc w:val="left"/>
      </w:pPr>
      <w:r>
        <w:rPr/>
        <w:t>（</w:t>
      </w:r>
      <w:r>
        <w:rPr>
          <w:rFonts w:ascii="Calibri" w:hAnsi="Calibri" w:cs="Calibri" w:eastAsia="Calibri" w:hint="default"/>
        </w:rPr>
        <w:t>3</w:t>
      </w:r>
      <w:r>
        <w:rPr/>
        <w:t>）地理信息在线服务 结合互联网、移动互联网和云计算相关技术的快速发展和应用，公司近年来在地理信</w:t>
      </w:r>
    </w:p>
    <w:p>
      <w:pPr>
        <w:pStyle w:val="BodyText"/>
        <w:spacing w:line="240" w:lineRule="auto" w:before="67"/>
        <w:ind w:right="229"/>
        <w:jc w:val="left"/>
      </w:pPr>
      <w:r>
        <w:rPr/>
        <w:t>息互联网应用方面做了大量的探索。截止报告期末，公司提供包括面向企业的商业地理信</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38" w:lineRule="auto" w:before="26"/>
        <w:ind w:right="232"/>
        <w:jc w:val="both"/>
      </w:pPr>
      <w:r>
        <w:rPr/>
        <w:t>息服务——地图慧、地理信息在线服务门户——超图云等相关在线服务产品。报告期内， 公司为了在技术体系上全面融入互联网，发布了在线</w:t>
      </w:r>
      <w:r>
        <w:rPr>
          <w:spacing w:val="-62"/>
        </w:rPr>
        <w:t> </w:t>
      </w:r>
      <w:r>
        <w:rPr>
          <w:rFonts w:ascii="Calibri" w:hAnsi="Calibri" w:cs="Calibri" w:eastAsia="Calibri" w:hint="default"/>
        </w:rPr>
        <w:t>GIS</w:t>
      </w:r>
      <w:r>
        <w:rPr>
          <w:rFonts w:ascii="Calibri" w:hAnsi="Calibri" w:cs="Calibri" w:eastAsia="Calibri" w:hint="default"/>
          <w:spacing w:val="3"/>
        </w:rPr>
        <w:t> </w:t>
      </w:r>
      <w:r>
        <w:rPr/>
        <w:t>平台——</w:t>
      </w:r>
      <w:r>
        <w:rPr>
          <w:rFonts w:ascii="Calibri" w:hAnsi="Calibri" w:cs="Calibri" w:eastAsia="Calibri" w:hint="default"/>
        </w:rPr>
        <w:t>SuperMap</w:t>
      </w:r>
      <w:r>
        <w:rPr>
          <w:rFonts w:ascii="Calibri" w:hAnsi="Calibri" w:cs="Calibri" w:eastAsia="Calibri" w:hint="default"/>
          <w:spacing w:val="1"/>
        </w:rPr>
        <w:t> </w:t>
      </w:r>
      <w:r>
        <w:rPr>
          <w:rFonts w:ascii="Calibri" w:hAnsi="Calibri" w:cs="Calibri" w:eastAsia="Calibri" w:hint="default"/>
        </w:rPr>
        <w:t>Online</w:t>
      </w:r>
      <w:r>
        <w:rPr>
          <w:rFonts w:ascii="Calibri" w:hAnsi="Calibri" w:cs="Calibri" w:eastAsia="Calibri" w:hint="default"/>
          <w:spacing w:val="4"/>
        </w:rPr>
        <w:t> </w:t>
      </w:r>
      <w:r>
        <w:rPr/>
        <w:t>和云管 家</w:t>
      </w:r>
      <w:r>
        <w:rPr>
          <w:spacing w:val="-63"/>
        </w:rPr>
        <w:t> </w:t>
      </w:r>
      <w:r>
        <w:rPr>
          <w:rFonts w:ascii="Calibri" w:hAnsi="Calibri" w:cs="Calibri" w:eastAsia="Calibri" w:hint="default"/>
        </w:rPr>
        <w:t>SuperMap</w:t>
      </w:r>
      <w:r>
        <w:rPr>
          <w:rFonts w:ascii="Calibri" w:hAnsi="Calibri" w:cs="Calibri" w:eastAsia="Calibri" w:hint="default"/>
          <w:spacing w:val="-3"/>
        </w:rPr>
        <w:t> </w:t>
      </w:r>
      <w:r>
        <w:rPr>
          <w:rFonts w:ascii="Calibri" w:hAnsi="Calibri" w:cs="Calibri" w:eastAsia="Calibri" w:hint="default"/>
        </w:rPr>
        <w:t>iCloudManager</w:t>
      </w:r>
      <w:r>
        <w:rPr/>
        <w:t>，为专业客户构建高端互联网地图应用及在线软件分发服务提 供了支撑。换句话说，报告期内，公司的</w:t>
      </w:r>
      <w:r>
        <w:rPr>
          <w:spacing w:val="-61"/>
        </w:rPr>
        <w:t> </w:t>
      </w:r>
      <w:r>
        <w:rPr>
          <w:rFonts w:ascii="Calibri" w:hAnsi="Calibri" w:cs="Calibri" w:eastAsia="Calibri" w:hint="default"/>
        </w:rPr>
        <w:t>GIS</w:t>
      </w:r>
      <w:r>
        <w:rPr>
          <w:rFonts w:ascii="Calibri" w:hAnsi="Calibri" w:cs="Calibri" w:eastAsia="Calibri" w:hint="default"/>
          <w:spacing w:val="5"/>
        </w:rPr>
        <w:t> </w:t>
      </w:r>
      <w:r>
        <w:rPr/>
        <w:t>平台软件销售业务从传统的</w:t>
      </w:r>
      <w:r>
        <w:rPr>
          <w:spacing w:val="-61"/>
        </w:rPr>
        <w:t> </w:t>
      </w:r>
      <w:r>
        <w:rPr>
          <w:rFonts w:ascii="Calibri" w:hAnsi="Calibri" w:cs="Calibri" w:eastAsia="Calibri" w:hint="default"/>
        </w:rPr>
        <w:t>license</w:t>
      </w:r>
      <w:r>
        <w:rPr>
          <w:rFonts w:ascii="Calibri" w:hAnsi="Calibri" w:cs="Calibri" w:eastAsia="Calibri" w:hint="default"/>
          <w:spacing w:val="5"/>
        </w:rPr>
        <w:t> </w:t>
      </w:r>
      <w:r>
        <w:rPr/>
        <w:t>模式逐步 向在线分发模式转型，公司将全面融入各类专业互联网应用。报告期内，公司来自互联网 端的收入有限，该业务还处于培育期，公司希望借助该业务实现战略转型。</w:t>
      </w:r>
    </w:p>
    <w:p>
      <w:pPr>
        <w:pStyle w:val="BodyText"/>
        <w:spacing w:line="240" w:lineRule="auto" w:before="55"/>
        <w:ind w:left="617" w:right="229"/>
        <w:jc w:val="left"/>
      </w:pPr>
      <w:r>
        <w:rPr/>
        <w:t>（</w:t>
      </w:r>
      <w:r>
        <w:rPr>
          <w:spacing w:val="-66"/>
        </w:rPr>
        <w:t> </w:t>
      </w:r>
      <w:r>
        <w:rPr>
          <w:rFonts w:ascii="Calibri" w:hAnsi="Calibri" w:cs="Calibri" w:eastAsia="Calibri" w:hint="default"/>
        </w:rPr>
        <w:t>4</w:t>
      </w:r>
      <w:r>
        <w:rPr/>
        <w:t>）</w:t>
      </w:r>
      <w:r>
        <w:rPr>
          <w:rFonts w:ascii="Calibri" w:hAnsi="Calibri" w:cs="Calibri" w:eastAsia="Calibri" w:hint="default"/>
        </w:rPr>
        <w:t>GIS</w:t>
      </w:r>
      <w:r>
        <w:rPr>
          <w:rFonts w:ascii="Calibri" w:hAnsi="Calibri" w:cs="Calibri" w:eastAsia="Calibri" w:hint="default"/>
          <w:spacing w:val="4"/>
        </w:rPr>
        <w:t> </w:t>
      </w:r>
      <w:r>
        <w:rPr/>
        <w:t>配套产品销售</w:t>
      </w:r>
    </w:p>
    <w:p>
      <w:pPr>
        <w:pStyle w:val="BodyText"/>
        <w:spacing w:line="348" w:lineRule="auto" w:before="123"/>
        <w:ind w:right="285" w:firstLine="535"/>
        <w:jc w:val="both"/>
      </w:pPr>
      <w:r>
        <w:rPr/>
        <w:t>作为构建</w:t>
      </w:r>
      <w:r>
        <w:rPr>
          <w:spacing w:val="-62"/>
        </w:rPr>
        <w:t> </w:t>
      </w:r>
      <w:r>
        <w:rPr>
          <w:rFonts w:ascii="Calibri" w:hAnsi="Calibri" w:cs="Calibri" w:eastAsia="Calibri" w:hint="default"/>
        </w:rPr>
        <w:t>GIS</w:t>
      </w:r>
      <w:r>
        <w:rPr>
          <w:rFonts w:ascii="Calibri" w:hAnsi="Calibri" w:cs="Calibri" w:eastAsia="Calibri" w:hint="default"/>
          <w:spacing w:val="4"/>
        </w:rPr>
        <w:t> </w:t>
      </w:r>
      <w:r>
        <w:rPr/>
        <w:t>应用项目的辅助和补充。公司还提供涵盖</w:t>
      </w:r>
      <w:r>
        <w:rPr>
          <w:spacing w:val="-61"/>
        </w:rPr>
        <w:t> </w:t>
      </w:r>
      <w:r>
        <w:rPr>
          <w:rFonts w:ascii="Calibri" w:hAnsi="Calibri" w:cs="Calibri" w:eastAsia="Calibri" w:hint="default"/>
        </w:rPr>
        <w:t>GIS</w:t>
      </w:r>
      <w:r>
        <w:rPr>
          <w:rFonts w:ascii="Calibri" w:hAnsi="Calibri" w:cs="Calibri" w:eastAsia="Calibri" w:hint="default"/>
          <w:spacing w:val="4"/>
        </w:rPr>
        <w:t> </w:t>
      </w:r>
      <w:r>
        <w:rPr/>
        <w:t>工程项目必备的软件、硬 件、电子地图、卫星影像、遥感软件、全数字航空摄影测量系统、无人机软件、倾斜摄影 测量软件等配套产品和相关服务。报告期内，公司配套产品销售收入受市场竞争等影响有 较为明显的下滑。</w:t>
      </w:r>
    </w:p>
    <w:p>
      <w:pPr>
        <w:spacing w:line="240" w:lineRule="auto" w:before="8"/>
        <w:rPr>
          <w:rFonts w:ascii="宋体" w:hAnsi="宋体" w:cs="宋体" w:eastAsia="宋体" w:hint="default"/>
          <w:sz w:val="20"/>
          <w:szCs w:val="20"/>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、经营模式</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before="0"/>
        <w:ind w:right="285" w:firstLine="480"/>
        <w:jc w:val="both"/>
      </w:pPr>
      <w:r>
        <w:rPr/>
        <w:t>公司拥有独立完整的研发、服务、采购和销售模式，根据市场需求及自身情况，独立 进行生产经营活动。公司在保持传统的经营模式的基础上，积极探索新产品、新商业模式 的探索和创新，并有效地利用自身资源积极寻求外延式发展战略，实现公司资源整合最优 化，确保公司持续稳定快速发展。</w:t>
      </w:r>
    </w:p>
    <w:p>
      <w:pPr>
        <w:spacing w:line="768" w:lineRule="exact" w:before="2"/>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、报告期业绩驱动因素</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报告期内，由于公司战略转型并在不动产登记等新业务领域布局建设和投资，相应的</w:t>
      </w:r>
    </w:p>
    <w:p>
      <w:pPr>
        <w:pStyle w:val="BodyText"/>
        <w:spacing w:line="336" w:lineRule="auto" w:before="34"/>
        <w:ind w:right="202"/>
        <w:jc w:val="left"/>
      </w:pPr>
      <w:r>
        <w:rPr/>
        <w:t>费用较上年大幅提升，新业务布局虽取得阶段性成果，但由于政府招投标和签署合同流程 相对滞后，导致收入并未体现快速增长，从而对公司经营利润产生影响。</w:t>
      </w:r>
      <w:r>
        <w:rPr>
          <w:rFonts w:ascii="Calibri" w:hAnsi="Calibri" w:cs="Calibri" w:eastAsia="Calibri" w:hint="default"/>
        </w:rPr>
        <w:t>2015</w:t>
      </w:r>
      <w:r>
        <w:rPr>
          <w:rFonts w:ascii="Calibri" w:hAnsi="Calibri" w:cs="Calibri" w:eastAsia="Calibri" w:hint="default"/>
          <w:spacing w:val="6"/>
        </w:rPr>
        <w:t> </w:t>
      </w:r>
      <w:r>
        <w:rPr/>
        <w:t>年度，公司 实现营业收入</w:t>
      </w:r>
      <w:r>
        <w:rPr>
          <w:spacing w:val="-62"/>
        </w:rPr>
        <w:t> </w:t>
      </w:r>
      <w:r>
        <w:rPr>
          <w:rFonts w:ascii="Calibri" w:hAnsi="Calibri" w:cs="Calibri" w:eastAsia="Calibri" w:hint="default"/>
        </w:rPr>
        <w:t>46,715.10</w:t>
      </w:r>
      <w:r>
        <w:rPr>
          <w:rFonts w:ascii="Calibri" w:hAnsi="Calibri" w:cs="Calibri" w:eastAsia="Calibri" w:hint="default"/>
          <w:spacing w:val="6"/>
        </w:rPr>
        <w:t> </w:t>
      </w:r>
      <w:r>
        <w:rPr/>
        <w:t>万元，同比增长</w:t>
      </w:r>
      <w:r>
        <w:rPr>
          <w:spacing w:val="-61"/>
        </w:rPr>
        <w:t> </w:t>
      </w:r>
      <w:r>
        <w:rPr>
          <w:rFonts w:ascii="Calibri" w:hAnsi="Calibri" w:cs="Calibri" w:eastAsia="Calibri" w:hint="default"/>
        </w:rPr>
        <w:t>29.36%</w:t>
      </w:r>
      <w:r>
        <w:rPr/>
        <w:t>；营业利润</w:t>
      </w:r>
      <w:r>
        <w:rPr>
          <w:spacing w:val="-61"/>
        </w:rPr>
        <w:t> </w:t>
      </w:r>
      <w:r>
        <w:rPr>
          <w:rFonts w:ascii="Calibri" w:hAnsi="Calibri" w:cs="Calibri" w:eastAsia="Calibri" w:hint="default"/>
        </w:rPr>
        <w:t>4,010.80</w:t>
      </w:r>
      <w:r>
        <w:rPr>
          <w:rFonts w:ascii="Calibri" w:hAnsi="Calibri" w:cs="Calibri" w:eastAsia="Calibri" w:hint="default"/>
          <w:spacing w:val="6"/>
        </w:rPr>
        <w:t> </w:t>
      </w:r>
      <w:r>
        <w:rPr/>
        <w:t>万元，同比增长 </w:t>
      </w:r>
      <w:r>
        <w:rPr>
          <w:rFonts w:ascii="Calibri" w:hAnsi="Calibri" w:cs="Calibri" w:eastAsia="Calibri" w:hint="default"/>
        </w:rPr>
        <w:t>43.77%</w:t>
      </w:r>
      <w:r>
        <w:rPr/>
        <w:t>；实现利润总额</w:t>
      </w:r>
      <w:r>
        <w:rPr>
          <w:spacing w:val="-63"/>
        </w:rPr>
        <w:t> </w:t>
      </w:r>
      <w:r>
        <w:rPr>
          <w:rFonts w:ascii="Calibri" w:hAnsi="Calibri" w:cs="Calibri" w:eastAsia="Calibri" w:hint="default"/>
        </w:rPr>
        <w:t>6,319.77</w:t>
      </w:r>
      <w:r>
        <w:rPr>
          <w:rFonts w:ascii="Calibri" w:hAnsi="Calibri" w:cs="Calibri" w:eastAsia="Calibri" w:hint="default"/>
          <w:spacing w:val="3"/>
        </w:rPr>
        <w:t> </w:t>
      </w:r>
      <w:r>
        <w:rPr/>
        <w:t>万元，同比增长</w:t>
      </w:r>
      <w:r>
        <w:rPr>
          <w:spacing w:val="-63"/>
        </w:rPr>
        <w:t> </w:t>
      </w:r>
      <w:r>
        <w:rPr>
          <w:rFonts w:ascii="Calibri" w:hAnsi="Calibri" w:cs="Calibri" w:eastAsia="Calibri" w:hint="default"/>
        </w:rPr>
        <w:t>22.17%</w:t>
      </w:r>
      <w:r>
        <w:rPr/>
        <w:t>，归属于上市公司普通股股东的净</w:t>
      </w:r>
    </w:p>
    <w:p>
      <w:pPr>
        <w:pStyle w:val="BodyText"/>
        <w:spacing w:line="326" w:lineRule="auto" w:before="6"/>
        <w:ind w:right="206"/>
        <w:jc w:val="left"/>
      </w:pPr>
      <w:r>
        <w:rPr/>
        <w:t>利润</w:t>
      </w:r>
      <w:r>
        <w:rPr>
          <w:spacing w:val="-62"/>
        </w:rPr>
        <w:t> </w:t>
      </w:r>
      <w:r>
        <w:rPr>
          <w:rFonts w:ascii="Calibri" w:hAnsi="Calibri" w:cs="Calibri" w:eastAsia="Calibri" w:hint="default"/>
        </w:rPr>
        <w:t>5,877.89</w:t>
      </w:r>
      <w:r>
        <w:rPr>
          <w:rFonts w:ascii="Calibri" w:hAnsi="Calibri" w:cs="Calibri" w:eastAsia="Calibri" w:hint="default"/>
          <w:spacing w:val="4"/>
        </w:rPr>
        <w:t> </w:t>
      </w:r>
      <w:r>
        <w:rPr/>
        <w:t>万元，同比增长</w:t>
      </w:r>
      <w:r>
        <w:rPr>
          <w:spacing w:val="-62"/>
        </w:rPr>
        <w:t> </w:t>
      </w:r>
      <w:r>
        <w:rPr>
          <w:rFonts w:ascii="Calibri" w:hAnsi="Calibri" w:cs="Calibri" w:eastAsia="Calibri" w:hint="default"/>
        </w:rPr>
        <w:t>28.07%</w:t>
      </w:r>
      <w:r>
        <w:rPr/>
        <w:t>，归属于上市公司普通股股东的扣除非经常性损益的 净利润</w:t>
      </w:r>
      <w:r>
        <w:rPr>
          <w:spacing w:val="-63"/>
        </w:rPr>
        <w:t> </w:t>
      </w:r>
      <w:r>
        <w:rPr>
          <w:rFonts w:ascii="Calibri" w:hAnsi="Calibri" w:cs="Calibri" w:eastAsia="Calibri" w:hint="default"/>
        </w:rPr>
        <w:t>5,353.38</w:t>
      </w:r>
      <w:r>
        <w:rPr>
          <w:rFonts w:ascii="Calibri" w:hAnsi="Calibri" w:cs="Calibri" w:eastAsia="Calibri" w:hint="default"/>
          <w:spacing w:val="4"/>
        </w:rPr>
        <w:t> </w:t>
      </w:r>
      <w:r>
        <w:rPr/>
        <w:t>万元，同比增长</w:t>
      </w:r>
      <w:r>
        <w:rPr>
          <w:spacing w:val="-62"/>
        </w:rPr>
        <w:t> </w:t>
      </w:r>
      <w:r>
        <w:rPr>
          <w:rFonts w:ascii="Calibri" w:hAnsi="Calibri" w:cs="Calibri" w:eastAsia="Calibri" w:hint="default"/>
        </w:rPr>
        <w:t>42%</w:t>
      </w:r>
      <w:r>
        <w:rPr/>
        <w:t>。</w:t>
      </w:r>
    </w:p>
    <w:p>
      <w:pPr>
        <w:spacing w:line="240" w:lineRule="auto" w:before="6"/>
        <w:rPr>
          <w:rFonts w:ascii="宋体" w:hAnsi="宋体" w:cs="宋体" w:eastAsia="宋体" w:hint="default"/>
          <w:sz w:val="18"/>
          <w:szCs w:val="18"/>
        </w:rPr>
      </w:pPr>
    </w:p>
    <w:p>
      <w:pPr>
        <w:pStyle w:val="Heading2"/>
        <w:spacing w:line="240" w:lineRule="auto"/>
        <w:ind w:left="137" w:right="229"/>
        <w:jc w:val="left"/>
        <w:rPr>
          <w:b w:val="0"/>
          <w:bCs w:val="0"/>
        </w:rPr>
      </w:pPr>
      <w:r>
        <w:rPr>
          <w:rFonts w:ascii="Times New Roman" w:hAnsi="Times New Roman" w:cs="Times New Roman" w:eastAsia="Times New Roman" w:hint="default"/>
        </w:rPr>
        <w:t>4</w:t>
      </w:r>
      <w:r>
        <w:rPr/>
        <w:t>、行业发展格局</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rFonts w:ascii="Calibri" w:hAnsi="Calibri" w:cs="Calibri" w:eastAsia="Calibri" w:hint="default"/>
        </w:rPr>
        <w:t>2014</w:t>
      </w:r>
      <w:r>
        <w:rPr>
          <w:rFonts w:ascii="Calibri" w:hAnsi="Calibri" w:cs="Calibri" w:eastAsia="Calibri" w:hint="default"/>
          <w:spacing w:val="5"/>
        </w:rPr>
        <w:t> </w:t>
      </w:r>
      <w:r>
        <w:rPr/>
        <w:t>年</w:t>
      </w:r>
      <w:r>
        <w:rPr>
          <w:spacing w:val="-64"/>
        </w:rPr>
        <w:t> </w:t>
      </w:r>
      <w:r>
        <w:rPr>
          <w:rFonts w:ascii="Calibri" w:hAnsi="Calibri" w:cs="Calibri" w:eastAsia="Calibri" w:hint="default"/>
        </w:rPr>
        <w:t>2</w:t>
      </w:r>
      <w:r>
        <w:rPr>
          <w:rFonts w:ascii="Calibri" w:hAnsi="Calibri" w:cs="Calibri" w:eastAsia="Calibri" w:hint="default"/>
          <w:spacing w:val="5"/>
        </w:rPr>
        <w:t> </w:t>
      </w:r>
      <w:r>
        <w:rPr/>
        <w:t>月</w:t>
      </w:r>
      <w:r>
        <w:rPr>
          <w:spacing w:val="-61"/>
        </w:rPr>
        <w:t> </w:t>
      </w:r>
      <w:r>
        <w:rPr>
          <w:rFonts w:ascii="Calibri" w:hAnsi="Calibri" w:cs="Calibri" w:eastAsia="Calibri" w:hint="default"/>
        </w:rPr>
        <w:t>27</w:t>
      </w:r>
      <w:r>
        <w:rPr>
          <w:rFonts w:ascii="Calibri" w:hAnsi="Calibri" w:cs="Calibri" w:eastAsia="Calibri" w:hint="default"/>
          <w:spacing w:val="5"/>
        </w:rPr>
        <w:t> </w:t>
      </w:r>
      <w:r>
        <w:rPr/>
        <w:t>日，中央网络安全和信息化领导小组宣告成立，中共中央总书记、国</w:t>
      </w:r>
    </w:p>
    <w:p>
      <w:pPr>
        <w:spacing w:after="0" w:line="240" w:lineRule="auto"/>
        <w:jc w:val="left"/>
        <w:sectPr>
          <w:footerReference w:type="default" r:id="rId14"/>
          <w:pgSz w:w="11910" w:h="16840"/>
          <w:pgMar w:footer="1085" w:header="877" w:top="1220" w:bottom="1280" w:left="1140" w:right="980"/>
          <w:pgNumType w:start="13"/>
        </w:sectPr>
      </w:pPr>
    </w:p>
    <w:p>
      <w:pPr>
        <w:spacing w:line="240" w:lineRule="auto" w:before="8"/>
        <w:rPr>
          <w:rFonts w:ascii="宋体" w:hAnsi="宋体" w:cs="宋体" w:eastAsia="宋体" w:hint="default"/>
          <w:sz w:val="16"/>
          <w:szCs w:val="16"/>
        </w:rPr>
      </w:pPr>
    </w:p>
    <w:p>
      <w:pPr>
        <w:pStyle w:val="BodyText"/>
        <w:spacing w:line="357" w:lineRule="auto" w:before="26"/>
        <w:ind w:right="228"/>
        <w:jc w:val="both"/>
      </w:pPr>
      <w:r>
        <w:rPr/>
        <w:t>家主席、中央军委主席习近平亲自担任组长，李克强、刘云山任副组长。这是中国共产党 落实十八届三中全会精神的又一重大举措，既表明了网络信息安全目前面临的形势任务复 杂和所处地位的重要，也标志着中国已把信息化和网络信息安全列入了国家发展的最高战 略方向之一。自信息安全列入国家战略后，我国党政军等多个部门均对国产软件，尤其是 操作系统、数据库及中间件等基础软件的国产化提出了要求，部分</w:t>
      </w:r>
      <w:r>
        <w:rPr>
          <w:spacing w:val="-61"/>
        </w:rPr>
        <w:t> </w:t>
      </w:r>
      <w:r>
        <w:rPr>
          <w:rFonts w:ascii="Calibri" w:hAnsi="Calibri" w:cs="Calibri" w:eastAsia="Calibri" w:hint="default"/>
        </w:rPr>
        <w:t>IT</w:t>
      </w:r>
      <w:r>
        <w:rPr>
          <w:rFonts w:ascii="Calibri" w:hAnsi="Calibri" w:cs="Calibri" w:eastAsia="Calibri" w:hint="default"/>
          <w:spacing w:val="6"/>
        </w:rPr>
        <w:t> </w:t>
      </w:r>
      <w:r>
        <w:rPr/>
        <w:t>信息系统项目甚至在</w:t>
      </w:r>
    </w:p>
    <w:p>
      <w:pPr>
        <w:pStyle w:val="BodyText"/>
        <w:spacing w:line="294" w:lineRule="exact" w:before="0"/>
        <w:ind w:right="229"/>
        <w:jc w:val="left"/>
      </w:pPr>
      <w:r>
        <w:rPr/>
        <w:t>招标文件中明确指定了哪些层级的软件必须使用国产软件。相信，随着我国信息安全政策</w:t>
      </w:r>
    </w:p>
    <w:p>
      <w:pPr>
        <w:pStyle w:val="BodyText"/>
        <w:spacing w:line="240" w:lineRule="auto" w:before="154"/>
        <w:ind w:right="229"/>
        <w:jc w:val="left"/>
      </w:pPr>
      <w:r>
        <w:rPr/>
        <w:t>的进一步强化和落实，公司的</w:t>
      </w:r>
      <w:r>
        <w:rPr>
          <w:spacing w:val="-61"/>
        </w:rPr>
        <w:t> </w:t>
      </w:r>
      <w:r>
        <w:rPr>
          <w:rFonts w:ascii="Calibri" w:hAnsi="Calibri" w:cs="Calibri" w:eastAsia="Calibri" w:hint="default"/>
        </w:rPr>
        <w:t>GIS</w:t>
      </w:r>
      <w:r>
        <w:rPr>
          <w:rFonts w:ascii="Calibri" w:hAnsi="Calibri" w:cs="Calibri" w:eastAsia="Calibri" w:hint="default"/>
          <w:spacing w:val="4"/>
        </w:rPr>
        <w:t> </w:t>
      </w:r>
      <w:r>
        <w:rPr/>
        <w:t>平台相关产品会实现国内市场的快速增长。</w:t>
      </w:r>
    </w:p>
    <w:p>
      <w:pPr>
        <w:pStyle w:val="BodyText"/>
        <w:spacing w:line="348" w:lineRule="auto" w:before="123"/>
        <w:ind w:right="229" w:firstLine="720"/>
        <w:jc w:val="left"/>
      </w:pPr>
      <w:r>
        <w:rPr>
          <w:rFonts w:ascii="Calibri" w:hAnsi="Calibri" w:cs="Calibri" w:eastAsia="Calibri" w:hint="default"/>
        </w:rPr>
        <w:t>2015</w:t>
      </w:r>
      <w:r>
        <w:rPr>
          <w:rFonts w:ascii="Calibri" w:hAnsi="Calibri" w:cs="Calibri" w:eastAsia="Calibri" w:hint="default"/>
          <w:spacing w:val="7"/>
        </w:rPr>
        <w:t> </w:t>
      </w:r>
      <w:r>
        <w:rPr/>
        <w:t>年</w:t>
      </w:r>
      <w:r>
        <w:rPr>
          <w:spacing w:val="-62"/>
        </w:rPr>
        <w:t> </w:t>
      </w:r>
      <w:r>
        <w:rPr>
          <w:rFonts w:ascii="Calibri" w:hAnsi="Calibri" w:cs="Calibri" w:eastAsia="Calibri" w:hint="default"/>
        </w:rPr>
        <w:t>3</w:t>
      </w:r>
      <w:r>
        <w:rPr>
          <w:rFonts w:ascii="Calibri" w:hAnsi="Calibri" w:cs="Calibri" w:eastAsia="Calibri" w:hint="default"/>
          <w:spacing w:val="7"/>
        </w:rPr>
        <w:t> </w:t>
      </w:r>
      <w:r>
        <w:rPr/>
        <w:t>月</w:t>
      </w:r>
      <w:r>
        <w:rPr>
          <w:spacing w:val="-59"/>
        </w:rPr>
        <w:t> </w:t>
      </w:r>
      <w:r>
        <w:rPr>
          <w:rFonts w:ascii="Calibri" w:hAnsi="Calibri" w:cs="Calibri" w:eastAsia="Calibri" w:hint="default"/>
        </w:rPr>
        <w:t>1</w:t>
      </w:r>
      <w:r>
        <w:rPr>
          <w:rFonts w:ascii="Calibri" w:hAnsi="Calibri" w:cs="Calibri" w:eastAsia="Calibri" w:hint="default"/>
          <w:spacing w:val="7"/>
        </w:rPr>
        <w:t> </w:t>
      </w:r>
      <w:r>
        <w:rPr>
          <w:spacing w:val="-12"/>
        </w:rPr>
        <w:t>日，《不动产登记暂行条例》（以下简称《条例》正式实施。《条例》</w:t>
      </w:r>
      <w:r>
        <w:rPr/>
        <w:t> 明确规定：土地、房屋建筑、森林所有权，耕地、林地、草地等土地承包经营权，宅基 地、海域等使用权等不动产权利，均需要办理登记。不动产登记由所在地的县级人民政府 不动产登记机构办理；直辖市、设区的市人民政府可以确定本级不动产登记机构统一办理</w:t>
      </w:r>
    </w:p>
    <w:p>
      <w:pPr>
        <w:pStyle w:val="BodyText"/>
        <w:spacing w:line="357" w:lineRule="auto" w:before="46"/>
        <w:ind w:right="149"/>
        <w:jc w:val="left"/>
      </w:pPr>
      <w:r>
        <w:rPr>
          <w:spacing w:val="-3"/>
        </w:rPr>
        <w:t>所属各区的不动产登记。《条例》明确指出，国务院国土资源主管部门牵头建立统一的不动</w:t>
      </w:r>
      <w:r>
        <w:rPr/>
        <w:t> 产登记信息管理基础平台，各级登记机构的信息要纳入统一基础平台，实现信息实时共 享；同时，规定国土资源、公安、民政等有关部门要加强不动产登记有关信息互通共享， 明确了不动产登记机构以及不动产管理部门在统一的不动产登记信息管理平台上实现信息 的实时互通共享机制。</w:t>
      </w:r>
    </w:p>
    <w:p>
      <w:pPr>
        <w:pStyle w:val="BodyText"/>
        <w:spacing w:line="350" w:lineRule="auto"/>
        <w:ind w:right="149" w:firstLine="480"/>
        <w:jc w:val="left"/>
      </w:pPr>
      <w:r>
        <w:rPr/>
        <w:t>由此，公司所处行业迎来了一个千载难逢的市场机遇，整个市场预计总产值超过</w:t>
      </w:r>
      <w:r>
        <w:rPr>
          <w:spacing w:val="-59"/>
        </w:rPr>
        <w:t> </w:t>
      </w:r>
      <w:r>
        <w:rPr>
          <w:rFonts w:ascii="Calibri" w:hAnsi="Calibri" w:cs="Calibri" w:eastAsia="Calibri" w:hint="default"/>
        </w:rPr>
        <w:t>200 </w:t>
      </w:r>
      <w:r>
        <w:rPr>
          <w:spacing w:val="-3"/>
        </w:rPr>
        <w:t>亿（含系统建设、数据服务和相关配套服务）。为此，公司在报告期加大了不动产业务领域</w:t>
      </w:r>
      <w:r>
        <w:rPr/>
        <w:t> 的布局和产品研发，加大了技术人员储备，并通过外延增长的方式，收购了南康科技，并 设立超图道乐并购基金，专注于不动产及相关领域的股权投资，加速产业布局。此外，公 司在报告期末，实施了重大资产事项——拟通过发行股份及支付现金方式收购南京国图。</w:t>
      </w:r>
    </w:p>
    <w:p>
      <w:pPr>
        <w:pStyle w:val="BodyText"/>
        <w:spacing w:line="357" w:lineRule="auto" w:before="43"/>
        <w:ind w:right="269"/>
        <w:jc w:val="left"/>
      </w:pPr>
      <w:r>
        <w:rPr/>
        <w:t>截止本报告报出时，该事项已经通过中国证券监督管理委员会并购重组委工作会议审核， </w:t>
      </w:r>
      <w:r>
        <w:rPr>
          <w:spacing w:val="-8"/>
        </w:rPr>
        <w:t>该事项获得有条件通过。（具体查看公司刊登于巨潮网的相关公告）。</w:t>
      </w:r>
    </w:p>
    <w:p>
      <w:pPr>
        <w:pStyle w:val="BodyText"/>
        <w:spacing w:line="357" w:lineRule="auto"/>
        <w:ind w:right="509" w:firstLine="480"/>
        <w:jc w:val="left"/>
      </w:pPr>
      <w:r>
        <w:rPr/>
        <w:t>未来几年，公司将携手南康科技、南京国图及战略伙伴，快速推进不动产市场的布 局，力争抓住这一历史机遇实现公司的爆发性增长。</w:t>
      </w:r>
    </w:p>
    <w:p>
      <w:pPr>
        <w:pStyle w:val="Heading2"/>
        <w:spacing w:line="240" w:lineRule="auto" w:before="183"/>
        <w:ind w:left="137" w:right="229"/>
        <w:jc w:val="left"/>
        <w:rPr>
          <w:b w:val="0"/>
          <w:bCs w:val="0"/>
        </w:rPr>
      </w:pPr>
      <w:bookmarkStart w:name="_bookmark12" w:id="13"/>
      <w:bookmarkEnd w:id="13"/>
      <w:r>
        <w:rPr>
          <w:b w:val="0"/>
          <w:bCs w:val="0"/>
        </w:rPr>
      </w:r>
      <w:r>
        <w:rPr/>
        <w:t>二、主要资产重大变化情况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、主要资产重大变化情况</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22"/>
          <w:szCs w:val="22"/>
        </w:rPr>
      </w:pPr>
    </w:p>
    <w:tbl>
      <w:tblPr>
        <w:tblW w:w="0" w:type="auto"/>
        <w:jc w:val="left"/>
        <w:tblInd w:w="137" w:type="dxa"/>
        <w:tblLayout w:type="fixed"/>
        <w:tblCellMar>
          <w:top w:w="0" w:type="dxa"/>
          <w:left w:w="0" w:type="dxa"/>
          <w:bottom w:w="0" w:type="dxa"/>
          <w:right w:w="0" w:type="dxa"/>
        </w:tblCellMar>
        <w:tblLook w:val="01E0"/>
      </w:tblPr>
      <w:tblGrid>
        <w:gridCol w:w="2122"/>
        <w:gridCol w:w="7366"/>
      </w:tblGrid>
      <w:tr>
        <w:trPr>
          <w:trHeight w:val="32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6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主要资产</w:t>
            </w:r>
            <w:r>
              <w:rPr>
                <w:rFonts w:ascii="Microsoft JhengHei" w:hAnsi="Microsoft JhengHei" w:cs="Microsoft JhengHei" w:eastAsia="Microsoft JhengHei" w:hint="default"/>
                <w:sz w:val="21"/>
                <w:szCs w:val="21"/>
              </w:rPr>
            </w:r>
          </w:p>
        </w:tc>
        <w:tc>
          <w:tcPr>
            <w:tcW w:w="7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重大变化说明</w:t>
            </w:r>
            <w:r>
              <w:rPr>
                <w:rFonts w:ascii="Microsoft JhengHei" w:hAnsi="Microsoft JhengHei" w:cs="Microsoft JhengHei" w:eastAsia="Microsoft JhengHei" w:hint="default"/>
                <w:sz w:val="21"/>
                <w:szCs w:val="21"/>
              </w:rPr>
            </w:r>
          </w:p>
        </w:tc>
      </w:tr>
    </w:tbl>
    <w:p>
      <w:pPr>
        <w:spacing w:after="0" w:line="287" w:lineRule="exact"/>
        <w:jc w:val="center"/>
        <w:rPr>
          <w:rFonts w:ascii="Microsoft JhengHei" w:hAnsi="Microsoft JhengHei" w:cs="Microsoft JhengHei" w:eastAsia="Microsoft JhengHei" w:hint="default"/>
          <w:sz w:val="21"/>
          <w:szCs w:val="21"/>
        </w:rPr>
        <w:sectPr>
          <w:pgSz w:w="11910" w:h="16840"/>
          <w:pgMar w:header="877" w:footer="1085" w:top="1220" w:bottom="1280" w:left="1140" w:right="980"/>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37" w:type="dxa"/>
        <w:tblLayout w:type="fixed"/>
        <w:tblCellMar>
          <w:top w:w="0" w:type="dxa"/>
          <w:left w:w="0" w:type="dxa"/>
          <w:bottom w:w="0" w:type="dxa"/>
          <w:right w:w="0" w:type="dxa"/>
        </w:tblCellMar>
        <w:tblLook w:val="01E0"/>
      </w:tblPr>
      <w:tblGrid>
        <w:gridCol w:w="2120"/>
        <w:gridCol w:w="7368"/>
      </w:tblGrid>
      <w:tr>
        <w:trPr>
          <w:trHeight w:val="322" w:hRule="exact"/>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股权资产</w:t>
            </w:r>
            <w:r>
              <w:rPr>
                <w:rFonts w:ascii="Microsoft JhengHei" w:hAnsi="Microsoft JhengHei" w:cs="Microsoft JhengHei" w:eastAsia="Microsoft JhengHei" w:hint="default"/>
                <w:sz w:val="21"/>
                <w:szCs w:val="21"/>
              </w:rPr>
            </w:r>
          </w:p>
        </w:tc>
        <w:tc>
          <w:tcPr>
            <w:tcW w:w="736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公司收购南康科技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股权、新增投资芜湖联智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634" w:hRule="exact"/>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tc>
        <w:tc>
          <w:tcPr>
            <w:tcW w:w="7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1" w:right="146"/>
              <w:jc w:val="left"/>
              <w:rPr>
                <w:rFonts w:ascii="宋体" w:hAnsi="宋体" w:cs="宋体" w:eastAsia="宋体" w:hint="default"/>
                <w:sz w:val="21"/>
                <w:szCs w:val="21"/>
              </w:rPr>
            </w:pPr>
            <w:r>
              <w:rPr>
                <w:rFonts w:ascii="宋体" w:hAnsi="宋体" w:cs="宋体" w:eastAsia="宋体" w:hint="default"/>
                <w:sz w:val="21"/>
                <w:szCs w:val="21"/>
              </w:rPr>
              <w:t>无形资产为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47,812,218.58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元，较上期增长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13,849,107.51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元，增幅为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40.78%</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主要原因系公司主自研发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系列产品形成的无形资产增加所致。</w:t>
            </w:r>
          </w:p>
        </w:tc>
      </w:tr>
      <w:tr>
        <w:trPr>
          <w:trHeight w:val="634" w:hRule="exact"/>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tc>
        <w:tc>
          <w:tcPr>
            <w:tcW w:w="736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8,011,313.75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元，较上期增长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5,000,525.84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元，增幅为</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166.09%</w:t>
            </w:r>
            <w:r>
              <w:rPr>
                <w:rFonts w:ascii="宋体" w:hAnsi="宋体" w:cs="宋体" w:eastAsia="宋体" w:hint="default"/>
                <w:sz w:val="21"/>
                <w:szCs w:val="21"/>
              </w:rPr>
              <w:t>。主要原因系公司投资超图道乐</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元所致。</w:t>
            </w:r>
          </w:p>
        </w:tc>
      </w:tr>
      <w:tr>
        <w:trPr>
          <w:trHeight w:val="324" w:hRule="exact"/>
        </w:trPr>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tc>
        <w:tc>
          <w:tcPr>
            <w:tcW w:w="736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本期收购南康科技产生商誉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61,192,082.38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万元，造成商誉余额大幅增加</w:t>
            </w:r>
          </w:p>
        </w:tc>
      </w:tr>
    </w:tbl>
    <w:p>
      <w:pPr>
        <w:spacing w:line="240" w:lineRule="auto" w:before="17"/>
        <w:rPr>
          <w:rFonts w:ascii="Microsoft JhengHei" w:hAnsi="Microsoft JhengHei" w:cs="Microsoft JhengHei" w:eastAsia="Microsoft JhengHei" w:hint="default"/>
          <w:b/>
          <w:bCs/>
          <w:sz w:val="17"/>
          <w:szCs w:val="17"/>
        </w:rPr>
      </w:pPr>
    </w:p>
    <w:p>
      <w:pPr>
        <w:spacing w:line="367" w:lineRule="exact"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、主要境外资产情况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spacing w:line="429" w:lineRule="auto" w:before="0"/>
        <w:ind w:left="137" w:right="650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0"/>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13" w:id="14"/>
      <w:bookmarkEnd w:id="14"/>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三、核心竞争力分析</w:t>
      </w:r>
      <w:r>
        <w:rPr>
          <w:rFonts w:ascii="Microsoft JhengHei" w:hAnsi="Microsoft JhengHei" w:cs="Microsoft JhengHei" w:eastAsia="Microsoft JhengHei" w:hint="default"/>
          <w:sz w:val="24"/>
          <w:szCs w:val="24"/>
        </w:rPr>
      </w:r>
    </w:p>
    <w:p>
      <w:pPr>
        <w:pStyle w:val="BodyText"/>
        <w:spacing w:line="357" w:lineRule="auto" w:before="95"/>
        <w:ind w:left="617" w:right="149"/>
        <w:jc w:val="left"/>
      </w:pPr>
      <w:r>
        <w:rPr/>
        <w:t>报告期内，公司核心竞争力不存在重大变化。 截至期末，公司拥有软件著作权</w:t>
      </w:r>
      <w:r>
        <w:rPr>
          <w:rFonts w:ascii="Times New Roman" w:hAnsi="Times New Roman" w:cs="Times New Roman" w:eastAsia="Times New Roman" w:hint="default"/>
        </w:rPr>
        <w:t>300</w:t>
      </w:r>
      <w:r>
        <w:rPr/>
        <w:t>个，其中</w:t>
      </w:r>
      <w:r>
        <w:rPr>
          <w:rFonts w:ascii="Times New Roman" w:hAnsi="Times New Roman" w:cs="Times New Roman" w:eastAsia="Times New Roman" w:hint="default"/>
        </w:rPr>
        <w:t>2015</w:t>
      </w:r>
      <w:r>
        <w:rPr/>
        <w:t>年公司新增著作权</w:t>
      </w:r>
      <w:r>
        <w:rPr>
          <w:rFonts w:ascii="Times New Roman" w:hAnsi="Times New Roman" w:cs="Times New Roman" w:eastAsia="Times New Roman" w:hint="default"/>
        </w:rPr>
        <w:t>30</w:t>
      </w:r>
      <w:r>
        <w:rPr/>
        <w:t>项，超图信息新</w:t>
      </w:r>
    </w:p>
    <w:p>
      <w:pPr>
        <w:pStyle w:val="BodyText"/>
        <w:spacing w:line="338" w:lineRule="auto" w:before="5"/>
        <w:ind w:right="269"/>
        <w:jc w:val="left"/>
      </w:pPr>
      <w:r>
        <w:rPr/>
        <w:t>增</w:t>
      </w:r>
      <w:r>
        <w:rPr>
          <w:rFonts w:ascii="Times New Roman" w:hAnsi="Times New Roman" w:cs="Times New Roman" w:eastAsia="Times New Roman" w:hint="default"/>
        </w:rPr>
        <w:t>7</w:t>
      </w:r>
      <w:r>
        <w:rPr/>
        <w:t>项，新增南康科技软件著作权</w:t>
      </w:r>
      <w:r>
        <w:rPr>
          <w:rFonts w:ascii="Times New Roman" w:hAnsi="Times New Roman" w:cs="Times New Roman" w:eastAsia="Times New Roman" w:hint="default"/>
        </w:rPr>
        <w:t>44</w:t>
      </w:r>
      <w:r>
        <w:rPr/>
        <w:t>项；商标</w:t>
      </w:r>
      <w:r>
        <w:rPr>
          <w:rFonts w:ascii="Times New Roman" w:hAnsi="Times New Roman" w:cs="Times New Roman" w:eastAsia="Times New Roman" w:hint="default"/>
        </w:rPr>
        <w:t>9</w:t>
      </w:r>
      <w:r>
        <w:rPr/>
        <w:t>个；专利</w:t>
      </w:r>
      <w:r>
        <w:rPr>
          <w:rFonts w:ascii="Times New Roman" w:hAnsi="Times New Roman" w:cs="Times New Roman" w:eastAsia="Times New Roman" w:hint="default"/>
        </w:rPr>
        <w:t>8</w:t>
      </w:r>
      <w:r>
        <w:rPr/>
        <w:t>个，其中新增南康科技专利</w:t>
      </w:r>
      <w:r>
        <w:rPr>
          <w:rFonts w:ascii="Times New Roman" w:hAnsi="Times New Roman" w:cs="Times New Roman" w:eastAsia="Times New Roman" w:hint="default"/>
        </w:rPr>
        <w:t>2</w:t>
      </w:r>
      <w:r>
        <w:rPr/>
        <w:t>项。 新增无形资产具体情况为：</w:t>
      </w:r>
    </w:p>
    <w:p>
      <w:pPr>
        <w:pStyle w:val="BodyText"/>
        <w:spacing w:line="240" w:lineRule="auto" w:before="55"/>
        <w:ind w:left="617" w:right="229"/>
        <w:jc w:val="left"/>
      </w:pPr>
      <w:r>
        <w:rPr>
          <w:rFonts w:ascii="Times New Roman" w:hAnsi="Times New Roman" w:cs="Times New Roman" w:eastAsia="Times New Roman" w:hint="default"/>
        </w:rPr>
        <w:t>1</w:t>
      </w:r>
      <w:r>
        <w:rPr/>
        <w:t>、软件著作权：</w:t>
      </w:r>
    </w:p>
    <w:p>
      <w:pPr>
        <w:spacing w:line="240" w:lineRule="auto" w:before="11"/>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46"/>
        <w:gridCol w:w="2624"/>
        <w:gridCol w:w="1666"/>
        <w:gridCol w:w="607"/>
        <w:gridCol w:w="1476"/>
        <w:gridCol w:w="973"/>
        <w:gridCol w:w="1675"/>
      </w:tblGrid>
      <w:tr>
        <w:trPr>
          <w:trHeight w:val="662" w:hRule="exact"/>
        </w:trPr>
        <w:tc>
          <w:tcPr>
            <w:tcW w:w="4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9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6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92"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6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92"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简称</w:t>
            </w:r>
            <w:r>
              <w:rPr>
                <w:rFonts w:ascii="Microsoft JhengHei" w:hAnsi="Microsoft JhengHei" w:cs="Microsoft JhengHei" w:eastAsia="Microsoft JhengHei" w:hint="default"/>
                <w:sz w:val="21"/>
                <w:szCs w:val="21"/>
              </w:rPr>
            </w:r>
          </w:p>
        </w:tc>
        <w:tc>
          <w:tcPr>
            <w:tcW w:w="60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版本</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号</w:t>
            </w:r>
            <w:r>
              <w:rPr>
                <w:rFonts w:ascii="Microsoft JhengHei" w:hAnsi="Microsoft JhengHei" w:cs="Microsoft JhengHei" w:eastAsia="Microsoft JhengHei" w:hint="default"/>
                <w:w w:val="100"/>
                <w:sz w:val="21"/>
                <w:szCs w:val="21"/>
              </w:rPr>
            </w:r>
          </w:p>
        </w:tc>
        <w:tc>
          <w:tcPr>
            <w:tcW w:w="14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92" w:lineRule="exact"/>
              <w:ind w:left="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登记号</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9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92"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著作权人</w:t>
            </w:r>
            <w:r>
              <w:rPr>
                <w:rFonts w:ascii="Microsoft JhengHei" w:hAnsi="Microsoft JhengHei" w:cs="Microsoft JhengHei" w:eastAsia="Microsoft JhengHei" w:hint="default"/>
                <w:sz w:val="21"/>
                <w:szCs w:val="21"/>
              </w:rPr>
            </w:r>
          </w:p>
        </w:tc>
        <w:tc>
          <w:tcPr>
            <w:tcW w:w="167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92"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登记日期</w:t>
            </w:r>
            <w:r>
              <w:rPr>
                <w:rFonts w:ascii="Microsoft JhengHei" w:hAnsi="Microsoft JhengHei" w:cs="Microsoft JhengHei" w:eastAsia="Microsoft JhengHei" w:hint="default"/>
                <w:sz w:val="21"/>
                <w:szCs w:val="21"/>
              </w:rPr>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鹰潭市国土资源办公自动化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w w:val="100"/>
                <w:sz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2015SR012196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超图电子海图设计平台系统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30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ENC</w:t>
            </w:r>
            <w:r>
              <w:rPr>
                <w:rFonts w:ascii="Times New Roman"/>
                <w:w w:val="100"/>
                <w:sz w:val="21"/>
              </w:rPr>
              <w:t> </w:t>
            </w:r>
            <w:r>
              <w:rPr>
                <w:rFonts w:ascii="Times New Roman"/>
                <w:sz w:val="21"/>
              </w:rPr>
              <w:t>Desinger</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2015SR016954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超图气象数据自动化处理平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692"/>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MeteoDAP</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2015SR029007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超图地理信息服务总线软件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ind w:right="7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GEO</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ESB</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2015SR028926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超图智慧管线综合管理信息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平台软件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22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Smart</w:t>
            </w:r>
            <w:r>
              <w:rPr>
                <w:rFonts w:ascii="Times New Roman"/>
                <w:w w:val="100"/>
                <w:sz w:val="21"/>
              </w:rPr>
              <w:t> </w:t>
            </w:r>
            <w:r>
              <w:rPr>
                <w:rFonts w:ascii="Times New Roman"/>
                <w:sz w:val="21"/>
              </w:rPr>
              <w:t>PipeLine</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2015SR029006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超图智慧社区综合应用平台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273"/>
              <w:jc w:val="left"/>
              <w:rPr>
                <w:rFonts w:ascii="Times New Roman" w:hAnsi="Times New Roman" w:cs="Times New Roman" w:eastAsia="Times New Roman" w:hint="default"/>
                <w:sz w:val="21"/>
                <w:szCs w:val="21"/>
              </w:rPr>
            </w:pPr>
            <w:r>
              <w:rPr>
                <w:rFonts w:ascii="Times New Roman"/>
                <w:sz w:val="21"/>
              </w:rPr>
              <w:t>SuperMapSmart</w:t>
            </w:r>
            <w:r>
              <w:rPr>
                <w:rFonts w:ascii="Times New Roman"/>
                <w:w w:val="100"/>
                <w:sz w:val="21"/>
              </w:rPr>
              <w:t> </w:t>
            </w:r>
            <w:r>
              <w:rPr>
                <w:rFonts w:ascii="Times New Roman"/>
                <w:sz w:val="21"/>
              </w:rPr>
              <w:t>Community</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2015SR056520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超图土地整治规划建库系统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2015SR112977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超图农村土地承包经营权管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理系统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2015SR112980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超图场站应急三维演练平台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2015SR113802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left"/>
              <w:rPr>
                <w:rFonts w:ascii="宋体" w:hAnsi="宋体" w:cs="宋体" w:eastAsia="宋体" w:hint="default"/>
                <w:sz w:val="21"/>
                <w:szCs w:val="21"/>
              </w:rPr>
            </w:pPr>
            <w:r>
              <w:rPr>
                <w:rFonts w:ascii="宋体" w:hAnsi="宋体" w:cs="宋体" w:eastAsia="宋体" w:hint="default"/>
                <w:sz w:val="21"/>
                <w:szCs w:val="21"/>
              </w:rPr>
              <w:t>超图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GIS </w:t>
            </w:r>
            <w:r>
              <w:rPr>
                <w:rFonts w:ascii="宋体" w:hAnsi="宋体" w:cs="宋体" w:eastAsia="宋体" w:hint="default"/>
                <w:sz w:val="21"/>
                <w:szCs w:val="21"/>
              </w:rPr>
              <w:t>云管理系统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32"/>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iCloudManager</w:t>
            </w:r>
            <w:r>
              <w:rPr>
                <w:rFonts w:ascii="Times New Roman"/>
                <w:spacing w:val="-4"/>
                <w:sz w:val="21"/>
              </w:rPr>
              <w:t> </w:t>
            </w:r>
            <w:r>
              <w:rPr>
                <w:rFonts w:ascii="Times New Roman"/>
                <w:sz w:val="21"/>
              </w:rPr>
              <w:t>7C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V7.0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2015SR113271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55" w:hRule="exact"/>
        </w:trPr>
        <w:tc>
          <w:tcPr>
            <w:tcW w:w="4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262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超图耕地后备资源调查评价</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2015SR142666</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12"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8" w:lineRule="exact"/>
        <w:jc w:val="center"/>
        <w:rPr>
          <w:rFonts w:ascii="宋体" w:hAnsi="宋体" w:cs="宋体" w:eastAsia="宋体" w:hint="default"/>
          <w:sz w:val="21"/>
          <w:szCs w:val="21"/>
        </w:rPr>
        <w:sectPr>
          <w:pgSz w:w="11910" w:h="16840"/>
          <w:pgMar w:header="877" w:footer="1085" w:top="1220" w:bottom="1280" w:left="114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446"/>
        <w:gridCol w:w="2624"/>
        <w:gridCol w:w="1666"/>
        <w:gridCol w:w="607"/>
        <w:gridCol w:w="1476"/>
        <w:gridCol w:w="973"/>
        <w:gridCol w:w="1675"/>
      </w:tblGrid>
      <w:tr>
        <w:trPr>
          <w:trHeight w:val="356" w:hRule="exact"/>
        </w:trPr>
        <w:tc>
          <w:tcPr>
            <w:tcW w:w="446" w:type="dxa"/>
            <w:tcBorders>
              <w:top w:val="single" w:sz="12" w:space="0" w:color="000000"/>
              <w:left w:val="single" w:sz="12" w:space="0" w:color="000000"/>
              <w:bottom w:val="single" w:sz="6" w:space="0" w:color="000000"/>
              <w:right w:val="single" w:sz="6" w:space="0" w:color="000000"/>
            </w:tcBorders>
          </w:tcPr>
          <w:p>
            <w:pPr/>
          </w:p>
        </w:tc>
        <w:tc>
          <w:tcPr>
            <w:tcW w:w="26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建库系统</w:t>
            </w:r>
          </w:p>
        </w:tc>
        <w:tc>
          <w:tcPr>
            <w:tcW w:w="1666" w:type="dxa"/>
            <w:tcBorders>
              <w:top w:val="single" w:sz="12" w:space="0" w:color="000000"/>
              <w:left w:val="single" w:sz="6" w:space="0" w:color="000000"/>
              <w:bottom w:val="single" w:sz="6" w:space="0" w:color="000000"/>
              <w:right w:val="single" w:sz="6" w:space="0" w:color="000000"/>
            </w:tcBorders>
          </w:tcPr>
          <w:p>
            <w:pPr/>
          </w:p>
        </w:tc>
        <w:tc>
          <w:tcPr>
            <w:tcW w:w="607"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973" w:type="dxa"/>
            <w:tcBorders>
              <w:top w:val="single" w:sz="12" w:space="0" w:color="000000"/>
              <w:left w:val="single" w:sz="6" w:space="0" w:color="000000"/>
              <w:bottom w:val="single" w:sz="6" w:space="0" w:color="000000"/>
              <w:right w:val="single" w:sz="6" w:space="0" w:color="000000"/>
            </w:tcBorders>
          </w:tcPr>
          <w:p>
            <w:pPr/>
          </w:p>
        </w:tc>
        <w:tc>
          <w:tcPr>
            <w:tcW w:w="1675" w:type="dxa"/>
            <w:tcBorders>
              <w:top w:val="single" w:sz="12" w:space="0" w:color="000000"/>
              <w:left w:val="single" w:sz="6" w:space="0" w:color="000000"/>
              <w:bottom w:val="single" w:sz="6" w:space="0" w:color="000000"/>
              <w:right w:val="single" w:sz="12" w:space="0" w:color="000000"/>
            </w:tcBorders>
          </w:tcPr>
          <w:p>
            <w:pP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超图土地登记信息上报系统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2015SR142745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超图不动产测绘及成果管理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2015SR158580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超图不动产登记信息系统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2015SR158465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超图不动产权籍调查管理系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2015SR158460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超图不动产登记数据整合建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库系统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2015SR158469</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开发平台系统</w:t>
            </w:r>
            <w:r>
              <w:rPr>
                <w:rFonts w:ascii="Times New Roman" w:hAnsi="Times New Roman" w:cs="Times New Roman" w:eastAsia="Times New Roman" w:hint="default"/>
                <w:sz w:val="21"/>
                <w:szCs w:val="21"/>
              </w:rPr>
              <w:t>(.NET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193"/>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iObjects.NET</w:t>
            </w:r>
            <w:r>
              <w:rPr>
                <w:rFonts w:ascii="Times New Roman"/>
                <w:spacing w:val="-8"/>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2015SR165971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开发平台系统</w:t>
            </w:r>
            <w:r>
              <w:rPr>
                <w:rFonts w:ascii="Times New Roman" w:hAnsi="Times New Roman" w:cs="Times New Roman" w:eastAsia="Times New Roman" w:hint="default"/>
                <w:sz w:val="21"/>
                <w:szCs w:val="21"/>
              </w:rPr>
              <w:t>(C++</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19"/>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iObjects</w:t>
            </w:r>
            <w:r>
              <w:rPr>
                <w:rFonts w:ascii="Times New Roman"/>
                <w:w w:val="100"/>
                <w:sz w:val="21"/>
              </w:rPr>
              <w:t> </w:t>
            </w:r>
            <w:r>
              <w:rPr>
                <w:rFonts w:ascii="Times New Roman"/>
                <w:sz w:val="21"/>
              </w:rPr>
              <w:t>C++</w:t>
            </w:r>
            <w:r>
              <w:rPr>
                <w:rFonts w:ascii="Times New Roman"/>
                <w:spacing w:val="-2"/>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2015SR166239</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开发平台系统</w:t>
            </w:r>
            <w:r>
              <w:rPr>
                <w:rFonts w:ascii="Times New Roman" w:hAnsi="Times New Roman" w:cs="Times New Roman" w:eastAsia="Times New Roman" w:hint="default"/>
                <w:sz w:val="21"/>
                <w:szCs w:val="21"/>
              </w:rPr>
              <w:t>(Java</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19"/>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iObjects</w:t>
            </w:r>
            <w:r>
              <w:rPr>
                <w:rFonts w:ascii="Times New Roman"/>
                <w:w w:val="100"/>
                <w:sz w:val="21"/>
              </w:rPr>
              <w:t> </w:t>
            </w:r>
            <w:r>
              <w:rPr>
                <w:rFonts w:ascii="Times New Roman"/>
                <w:sz w:val="21"/>
              </w:rPr>
              <w:t>Java</w:t>
            </w:r>
            <w:r>
              <w:rPr>
                <w:rFonts w:ascii="Times New Roman"/>
                <w:spacing w:val="-2"/>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2015SR166132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超图地图浏览软件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iExplorer</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2015SR166128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超图数据采集器软件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iCollector</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2015SR166143</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1"/>
                <w:szCs w:val="21"/>
              </w:rPr>
            </w:pPr>
            <w:r>
              <w:rPr>
                <w:rFonts w:ascii="宋体" w:hAnsi="宋体" w:cs="宋体" w:eastAsia="宋体" w:hint="default"/>
                <w:sz w:val="21"/>
                <w:szCs w:val="21"/>
              </w:rPr>
              <w:t>超图云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分发服务器软件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627"/>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iExpress</w:t>
            </w:r>
            <w:r>
              <w:rPr>
                <w:rFonts w:ascii="Times New Roman"/>
                <w:spacing w:val="-1"/>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2015SR166222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超图云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门户平台软件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16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iPortal</w:t>
            </w:r>
            <w:r>
              <w:rPr>
                <w:rFonts w:ascii="Times New Roman"/>
                <w:w w:val="100"/>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2015SR166223</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1"/>
                <w:szCs w:val="21"/>
              </w:rPr>
            </w:pPr>
            <w:r>
              <w:rPr>
                <w:rFonts w:ascii="宋体" w:hAnsi="宋体" w:cs="宋体" w:eastAsia="宋体" w:hint="default"/>
                <w:sz w:val="21"/>
                <w:szCs w:val="21"/>
              </w:rPr>
              <w:t>超图云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应用服务器软件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114"/>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iServer</w:t>
            </w:r>
            <w:r>
              <w:rPr>
                <w:rFonts w:ascii="Times New Roman"/>
                <w:w w:val="100"/>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2015SR166238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left"/>
              <w:rPr>
                <w:rFonts w:ascii="宋体" w:hAnsi="宋体" w:cs="宋体" w:eastAsia="宋体" w:hint="default"/>
                <w:sz w:val="21"/>
                <w:szCs w:val="21"/>
              </w:rPr>
            </w:pPr>
            <w:r>
              <w:rPr>
                <w:rFonts w:ascii="宋体" w:hAnsi="宋体" w:cs="宋体" w:eastAsia="宋体" w:hint="default"/>
                <w:sz w:val="21"/>
                <w:szCs w:val="21"/>
              </w:rPr>
              <w:t>超图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GIS </w:t>
            </w:r>
            <w:r>
              <w:rPr>
                <w:rFonts w:ascii="宋体" w:hAnsi="宋体" w:cs="宋体" w:eastAsia="宋体" w:hint="default"/>
                <w:sz w:val="21"/>
                <w:szCs w:val="21"/>
              </w:rPr>
              <w:t>云管理系统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32"/>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iCloudManager</w:t>
            </w:r>
            <w:r>
              <w:rPr>
                <w:rFonts w:ascii="Times New Roman"/>
                <w:spacing w:val="-4"/>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2015SR166217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right="65"/>
              <w:jc w:val="left"/>
              <w:rPr>
                <w:rFonts w:ascii="宋体" w:hAnsi="宋体" w:cs="宋体" w:eastAsia="宋体" w:hint="default"/>
                <w:sz w:val="21"/>
                <w:szCs w:val="21"/>
              </w:rPr>
            </w:pPr>
            <w:r>
              <w:rPr>
                <w:rFonts w:ascii="宋体" w:hAnsi="宋体" w:cs="宋体" w:eastAsia="宋体" w:hint="default"/>
                <w:sz w:val="21"/>
                <w:szCs w:val="21"/>
              </w:rPr>
              <w:t>超图跨平台桌面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GIS </w:t>
            </w:r>
            <w:r>
              <w:rPr>
                <w:rFonts w:ascii="宋体" w:hAnsi="宋体" w:cs="宋体" w:eastAsia="宋体" w:hint="default"/>
                <w:spacing w:val="-3"/>
                <w:sz w:val="21"/>
                <w:szCs w:val="21"/>
              </w:rPr>
              <w:t>开发平</w:t>
            </w:r>
            <w:r>
              <w:rPr>
                <w:rFonts w:ascii="宋体" w:hAnsi="宋体" w:cs="宋体" w:eastAsia="宋体" w:hint="default"/>
                <w:spacing w:val="-3"/>
                <w:w w:val="100"/>
                <w:sz w:val="21"/>
                <w:szCs w:val="21"/>
              </w:rPr>
              <w:t> </w:t>
            </w:r>
            <w:r>
              <w:rPr>
                <w:rFonts w:ascii="宋体" w:hAnsi="宋体" w:cs="宋体" w:eastAsia="宋体" w:hint="default"/>
                <w:sz w:val="21"/>
                <w:szCs w:val="21"/>
              </w:rPr>
              <w:t>台系统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6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iDesktop Cross</w:t>
            </w:r>
            <w:r>
              <w:rPr>
                <w:rFonts w:ascii="Times New Roman"/>
                <w:spacing w:val="-4"/>
                <w:sz w:val="21"/>
              </w:rPr>
              <w:t> </w:t>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2015SR166116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超图二三维一体化桌面</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GIS</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开发平台系统</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tabs>
                <w:tab w:pos="969" w:val="left" w:leader="none"/>
              </w:tabs>
              <w:spacing w:line="309" w:lineRule="auto" w:before="44"/>
              <w:ind w:right="433"/>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pacing w:val="-1"/>
                <w:sz w:val="21"/>
              </w:rPr>
              <w:t>iDesktop</w:t>
              <w:tab/>
            </w:r>
            <w:r>
              <w:rPr>
                <w:rFonts w:ascii="Times New Roman"/>
                <w:sz w:val="21"/>
              </w:rPr>
              <w:t>8C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2015SR166130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1"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超图移动地理信息系统开发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平台软件（苹果版）</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55"/>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iMobile</w:t>
            </w:r>
            <w:r>
              <w:rPr>
                <w:rFonts w:ascii="Times New Roman"/>
                <w:w w:val="100"/>
                <w:sz w:val="21"/>
              </w:rPr>
              <w:t> </w:t>
            </w:r>
            <w:r>
              <w:rPr>
                <w:rFonts w:ascii="Times New Roman"/>
                <w:sz w:val="21"/>
              </w:rPr>
              <w:t>8C for</w:t>
            </w:r>
            <w:r>
              <w:rPr>
                <w:rFonts w:ascii="Times New Roman"/>
                <w:spacing w:val="-1"/>
                <w:sz w:val="21"/>
              </w:rPr>
              <w:t> </w:t>
            </w:r>
            <w:r>
              <w:rPr>
                <w:rFonts w:ascii="Times New Roman"/>
                <w:sz w:val="21"/>
              </w:rPr>
              <w:t>iOS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2015SR166235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超图移动地理信息系统开发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平台软件（安卓版）</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55"/>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iMobile</w:t>
            </w:r>
            <w:r>
              <w:rPr>
                <w:rFonts w:ascii="Times New Roman"/>
                <w:w w:val="100"/>
                <w:sz w:val="21"/>
              </w:rPr>
              <w:t> </w:t>
            </w:r>
            <w:r>
              <w:rPr>
                <w:rFonts w:ascii="Times New Roman"/>
                <w:sz w:val="21"/>
              </w:rPr>
              <w:t>8C for</w:t>
            </w:r>
            <w:r>
              <w:rPr>
                <w:rFonts w:ascii="Times New Roman"/>
                <w:spacing w:val="-13"/>
                <w:sz w:val="21"/>
              </w:rPr>
              <w:t> </w:t>
            </w:r>
            <w:r>
              <w:rPr>
                <w:rFonts w:ascii="Times New Roman"/>
                <w:sz w:val="21"/>
              </w:rPr>
              <w:t>Android</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2015SR166236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超图军用组件式地理信息系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统开发平台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6"/>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mObjects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2015SR172115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超图军用移动地理信息系统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mMobile</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2015SR172141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超图军用应用服务器地理信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息系统开发平台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4"/>
                <w:sz w:val="21"/>
              </w:rPr>
              <w:t> </w:t>
            </w:r>
            <w:r>
              <w:rPr>
                <w:rFonts w:ascii="Times New Roman"/>
                <w:sz w:val="21"/>
              </w:rPr>
              <w:t>mServer</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2015SR172320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55" w:hRule="exact"/>
        </w:trPr>
        <w:tc>
          <w:tcPr>
            <w:tcW w:w="4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33</w:t>
            </w:r>
          </w:p>
        </w:tc>
        <w:tc>
          <w:tcPr>
            <w:tcW w:w="262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超图军用二维动态标绘软件</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SuperMap</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2015SR172324</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12" w:space="0" w:color="000000"/>
              <w:right w:val="single" w:sz="12" w:space="0" w:color="000000"/>
            </w:tcBorders>
          </w:tcPr>
          <w:p>
            <w:pPr>
              <w:pStyle w:val="TableParagraph"/>
              <w:spacing w:line="288"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8" w:lineRule="exact"/>
        <w:jc w:val="center"/>
        <w:rPr>
          <w:rFonts w:ascii="宋体" w:hAnsi="宋体" w:cs="宋体" w:eastAsia="宋体" w:hint="default"/>
          <w:sz w:val="21"/>
          <w:szCs w:val="21"/>
        </w:rPr>
        <w:sectPr>
          <w:pgSz w:w="11910" w:h="16840"/>
          <w:pgMar w:header="877" w:footer="1085" w:top="1220" w:bottom="1280" w:left="114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446"/>
        <w:gridCol w:w="2624"/>
        <w:gridCol w:w="1666"/>
        <w:gridCol w:w="607"/>
        <w:gridCol w:w="1476"/>
        <w:gridCol w:w="973"/>
        <w:gridCol w:w="1675"/>
      </w:tblGrid>
      <w:tr>
        <w:trPr>
          <w:trHeight w:val="356" w:hRule="exact"/>
        </w:trPr>
        <w:tc>
          <w:tcPr>
            <w:tcW w:w="446" w:type="dxa"/>
            <w:tcBorders>
              <w:top w:val="single" w:sz="12" w:space="0" w:color="000000"/>
              <w:left w:val="single" w:sz="12" w:space="0" w:color="000000"/>
              <w:bottom w:val="single" w:sz="6" w:space="0" w:color="000000"/>
              <w:right w:val="single" w:sz="6" w:space="0" w:color="000000"/>
            </w:tcBorders>
          </w:tcPr>
          <w:p>
            <w:pPr/>
          </w:p>
        </w:tc>
        <w:tc>
          <w:tcPr>
            <w:tcW w:w="2624" w:type="dxa"/>
            <w:tcBorders>
              <w:top w:val="single" w:sz="12" w:space="0" w:color="000000"/>
              <w:left w:val="single" w:sz="6" w:space="0" w:color="000000"/>
              <w:bottom w:val="single" w:sz="6" w:space="0" w:color="000000"/>
              <w:right w:val="single" w:sz="6" w:space="0" w:color="000000"/>
            </w:tcBorders>
          </w:tcPr>
          <w:p>
            <w:pP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mGraphics</w:t>
            </w:r>
          </w:p>
        </w:tc>
        <w:tc>
          <w:tcPr>
            <w:tcW w:w="607"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
        </w:tc>
        <w:tc>
          <w:tcPr>
            <w:tcW w:w="973" w:type="dxa"/>
            <w:tcBorders>
              <w:top w:val="single" w:sz="12" w:space="0" w:color="000000"/>
              <w:left w:val="single" w:sz="6" w:space="0" w:color="000000"/>
              <w:bottom w:val="single" w:sz="6" w:space="0" w:color="000000"/>
              <w:right w:val="single" w:sz="6" w:space="0" w:color="000000"/>
            </w:tcBorders>
          </w:tcPr>
          <w:p>
            <w:pPr/>
          </w:p>
        </w:tc>
        <w:tc>
          <w:tcPr>
            <w:tcW w:w="1675" w:type="dxa"/>
            <w:tcBorders>
              <w:top w:val="single" w:sz="12" w:space="0" w:color="000000"/>
              <w:left w:val="single" w:sz="6" w:space="0" w:color="000000"/>
              <w:bottom w:val="single" w:sz="6" w:space="0" w:color="000000"/>
              <w:right w:val="single" w:sz="12" w:space="0" w:color="000000"/>
            </w:tcBorders>
          </w:tcPr>
          <w:p>
            <w:pP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超图军用桌面地理信息系统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mDesktop</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2015SR172556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超图智慧城市时空信息云平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tabs>
                <w:tab w:pos="1086" w:val="left" w:leader="none"/>
              </w:tabs>
              <w:spacing w:line="240" w:lineRule="auto" w:before="46"/>
              <w:ind w:right="0"/>
              <w:jc w:val="left"/>
              <w:rPr>
                <w:rFonts w:ascii="Times New Roman" w:hAnsi="Times New Roman" w:cs="Times New Roman" w:eastAsia="Times New Roman" w:hint="default"/>
                <w:sz w:val="21"/>
                <w:szCs w:val="21"/>
              </w:rPr>
            </w:pPr>
            <w:r>
              <w:rPr>
                <w:rFonts w:ascii="Times New Roman"/>
                <w:spacing w:val="-1"/>
                <w:sz w:val="21"/>
              </w:rPr>
              <w:t>SuperMap</w:t>
              <w:tab/>
              <w:t>SGS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2015SR83076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超图软件</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超图军用门户服务器地理信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息系统开发平台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2"/>
                <w:sz w:val="21"/>
              </w:rPr>
              <w:t> </w:t>
            </w:r>
            <w:r>
              <w:rPr>
                <w:rFonts w:ascii="Times New Roman"/>
                <w:sz w:val="21"/>
              </w:rPr>
              <w:t>mPortal</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2015SR200763</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超图军用分发服务器地理信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息系统开发平台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right="771"/>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0"/>
                <w:sz w:val="21"/>
              </w:rPr>
              <w:t> </w:t>
            </w:r>
            <w:r>
              <w:rPr>
                <w:rFonts w:ascii="Times New Roman"/>
                <w:spacing w:val="-50"/>
                <w:sz w:val="21"/>
              </w:rPr>
            </w:r>
            <w:r>
              <w:rPr>
                <w:rFonts w:ascii="Times New Roman"/>
                <w:sz w:val="21"/>
              </w:rPr>
              <w:t>mExpress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2015SR200758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南康自定义表单软件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NKAFF</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2014SR147397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南康不动产登记管理软件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NKBDCDJ</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2014SR147392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南康新建商品房网上备案管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NKXJSPF</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2014SR147325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南康自定义查询软件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NKAFQ</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2014SR147281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南康银行抵押贷后监控管理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NKDYDH</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2014SR147278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南康房地产交易查询服务管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NKYHCX</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2014SR147194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3"/>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南康个人住房信息管理软件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NKGRZF</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2014SR147190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南康规划土地房屋电子政务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NKGTFEGOV</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2014SR131604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南康社会调查与分析软件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175"/>
              <w:jc w:val="left"/>
              <w:rPr>
                <w:rFonts w:ascii="宋体" w:hAnsi="宋体" w:cs="宋体" w:eastAsia="宋体" w:hint="default"/>
                <w:sz w:val="21"/>
                <w:szCs w:val="21"/>
              </w:rPr>
            </w:pPr>
            <w:r>
              <w:rPr>
                <w:rFonts w:ascii="宋体" w:hAnsi="宋体" w:cs="宋体" w:eastAsia="宋体" w:hint="default"/>
                <w:sz w:val="21"/>
                <w:szCs w:val="21"/>
              </w:rPr>
              <w:t>南康调查分析软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2013SR114835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47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南康宗地统一代码编制软件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NKSTDGIS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2013SR114382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南康统一用户管理软件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NKUUMS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2013SR114378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南康软交换与排队机软件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SoftACD</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2013SR114374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南康电话接口代理软件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CTI </w:t>
            </w:r>
            <w:r>
              <w:rPr>
                <w:rFonts w:ascii="宋体" w:hAnsi="宋体" w:cs="宋体" w:eastAsia="宋体" w:hint="default"/>
                <w:sz w:val="21"/>
                <w:szCs w:val="21"/>
              </w:rPr>
              <w:t>代理</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2013SR113779</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南康合同管理软件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NKCMS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2013SR100152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南康移动数据采集软件苹果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版</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南康数据采集</w:t>
            </w:r>
          </w:p>
          <w:p>
            <w:pPr>
              <w:pStyle w:val="TableParagraph"/>
              <w:spacing w:line="240" w:lineRule="auto" w:before="37"/>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IOS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2013SR100144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5"/>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南康工作流管理软件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XMETEOR</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2013SR100141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南康网络调查专家软件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6"/>
                <w:sz w:val="21"/>
              </w:rPr>
              <w:t>ITACAWI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2012SR114404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27</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南康集体土地所有权调查管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2012SR112937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23</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7" w:hRule="exact"/>
        </w:trPr>
        <w:tc>
          <w:tcPr>
            <w:tcW w:w="4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56</w:t>
            </w:r>
          </w:p>
        </w:tc>
        <w:tc>
          <w:tcPr>
            <w:tcW w:w="26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南康移动面访专家软件</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4"/>
                <w:sz w:val="21"/>
              </w:rPr>
              <w:t>ITACAMI</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2012SR112351</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12"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22</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085" w:top="1220" w:bottom="1280" w:left="114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446"/>
        <w:gridCol w:w="2624"/>
        <w:gridCol w:w="1666"/>
        <w:gridCol w:w="607"/>
        <w:gridCol w:w="1476"/>
        <w:gridCol w:w="973"/>
        <w:gridCol w:w="1675"/>
      </w:tblGrid>
      <w:tr>
        <w:trPr>
          <w:trHeight w:val="668" w:hRule="exact"/>
        </w:trPr>
        <w:tc>
          <w:tcPr>
            <w:tcW w:w="4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57</w:t>
            </w:r>
          </w:p>
        </w:tc>
        <w:tc>
          <w:tcPr>
            <w:tcW w:w="262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南康土地数据调查变更管理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软件</w:t>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2012SR112347</w:t>
            </w:r>
          </w:p>
        </w:tc>
        <w:tc>
          <w:tcPr>
            <w:tcW w:w="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22</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南康集体土地所有权登记管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2012SR112341</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22</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南康空间统计专家软件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CAI_GIS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2012SR109538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15</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南康电访专家软件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7"/>
                <w:sz w:val="21"/>
              </w:rPr>
              <w:t>ITACATI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2011SR081518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南康阅神报表处理软件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阅神报表</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2011SR073392</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1"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left"/>
              <w:rPr>
                <w:rFonts w:ascii="宋体" w:hAnsi="宋体" w:cs="宋体" w:eastAsia="宋体" w:hint="default"/>
                <w:sz w:val="21"/>
                <w:szCs w:val="21"/>
              </w:rPr>
            </w:pPr>
            <w:r>
              <w:rPr>
                <w:rFonts w:ascii="宋体" w:hAnsi="宋体" w:cs="宋体" w:eastAsia="宋体" w:hint="default"/>
                <w:sz w:val="21"/>
                <w:szCs w:val="21"/>
              </w:rPr>
              <w:t>南康测绘成果管理软件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NKCHCG</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2011SR073390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40" w:lineRule="auto" w:before="22"/>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南康房产测绘管理软件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测绘管理</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2011SR073387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南康房地产统计分析与信息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发布软件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统计分析</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2011SR073386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13</w:t>
            </w:r>
            <w:r>
              <w:rPr>
                <w:rFonts w:ascii="Times New Roman" w:hAnsi="Times New Roman" w:cs="Times New Roman" w:eastAsia="Times New Roman" w:hint="default"/>
                <w:sz w:val="21"/>
                <w:szCs w:val="21"/>
              </w:rPr>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南康访谈专家软件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pacing w:val="-4"/>
                <w:sz w:val="21"/>
              </w:rPr>
              <w:t>NET-FGD</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2011SR010248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13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南康测绘成果管理软件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NKCHCG</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2010SR071168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南康快易呼软件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NK</w:t>
            </w:r>
            <w:r>
              <w:rPr>
                <w:rFonts w:ascii="Times New Roman"/>
                <w:spacing w:val="-3"/>
                <w:sz w:val="21"/>
              </w:rPr>
              <w:t> </w:t>
            </w:r>
            <w:r>
              <w:rPr>
                <w:rFonts w:ascii="Times New Roman"/>
                <w:sz w:val="21"/>
              </w:rPr>
              <w:t>ERIC</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2010SR055696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南康房屋属性分类管理软件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南康分类软件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2010SR055694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南康面访专家软件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4"/>
                <w:sz w:val="21"/>
              </w:rPr>
              <w:t>ITACAPI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2009SR058914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70</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right="107"/>
              <w:jc w:val="left"/>
              <w:rPr>
                <w:rFonts w:ascii="宋体" w:hAnsi="宋体" w:cs="宋体" w:eastAsia="宋体" w:hint="default"/>
                <w:sz w:val="21"/>
                <w:szCs w:val="21"/>
              </w:rPr>
            </w:pPr>
            <w:r>
              <w:rPr>
                <w:rFonts w:ascii="宋体" w:hAnsi="宋体" w:cs="宋体" w:eastAsia="宋体" w:hint="default"/>
                <w:sz w:val="21"/>
                <w:szCs w:val="21"/>
              </w:rPr>
              <w:t>南康房地产</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WebGIS</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发布软</w:t>
            </w:r>
            <w:r>
              <w:rPr>
                <w:rFonts w:ascii="宋体" w:hAnsi="宋体" w:cs="宋体" w:eastAsia="宋体" w:hint="default"/>
                <w:spacing w:val="-3"/>
                <w:w w:val="100"/>
                <w:sz w:val="21"/>
                <w:szCs w:val="21"/>
              </w:rPr>
              <w:t> </w:t>
            </w:r>
            <w:r>
              <w:rPr>
                <w:rFonts w:ascii="宋体" w:hAnsi="宋体" w:cs="宋体" w:eastAsia="宋体" w:hint="default"/>
                <w:sz w:val="21"/>
                <w:szCs w:val="21"/>
              </w:rPr>
              <w:t>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南康</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WebGIS</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2009SR058905</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71</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南康网络调查专家软件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网络调查软件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2009SR039236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72</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南康住房保障信息管理软件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住房保障软件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2009SR027950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73</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right="84"/>
              <w:jc w:val="left"/>
              <w:rPr>
                <w:rFonts w:ascii="宋体" w:hAnsi="宋体" w:cs="宋体" w:eastAsia="宋体" w:hint="default"/>
                <w:sz w:val="21"/>
                <w:szCs w:val="21"/>
              </w:rPr>
            </w:pPr>
            <w:r>
              <w:rPr>
                <w:rFonts w:ascii="宋体" w:hAnsi="宋体" w:cs="宋体" w:eastAsia="宋体" w:hint="default"/>
                <w:spacing w:val="-2"/>
                <w:sz w:val="21"/>
                <w:szCs w:val="21"/>
              </w:rPr>
              <w:t>南康房地产市场信息管理软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2008SR37737</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1"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74</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0"/>
              <w:jc w:val="left"/>
              <w:rPr>
                <w:rFonts w:ascii="宋体" w:hAnsi="宋体" w:cs="宋体" w:eastAsia="宋体" w:hint="default"/>
                <w:sz w:val="21"/>
                <w:szCs w:val="21"/>
              </w:rPr>
            </w:pPr>
            <w:r>
              <w:rPr>
                <w:rFonts w:ascii="宋体" w:hAnsi="宋体" w:cs="宋体" w:eastAsia="宋体" w:hint="default"/>
                <w:sz w:val="21"/>
                <w:szCs w:val="21"/>
              </w:rPr>
              <w:t>南康访谈专家软件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4"/>
                <w:sz w:val="21"/>
              </w:rPr>
              <w:t>NET-FGD</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2008SR37738</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5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75</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0"/>
              <w:jc w:val="left"/>
              <w:rPr>
                <w:rFonts w:ascii="宋体" w:hAnsi="宋体" w:cs="宋体" w:eastAsia="宋体" w:hint="default"/>
                <w:sz w:val="21"/>
                <w:szCs w:val="21"/>
              </w:rPr>
            </w:pPr>
            <w:r>
              <w:rPr>
                <w:rFonts w:ascii="宋体" w:hAnsi="宋体" w:cs="宋体" w:eastAsia="宋体" w:hint="default"/>
                <w:sz w:val="21"/>
                <w:szCs w:val="21"/>
              </w:rPr>
              <w:t>南康电访专家软件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pacing w:val="-7"/>
                <w:sz w:val="21"/>
              </w:rPr>
              <w:t>ITACATI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V3.0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2008SR37740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60"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76</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南康信息管理系统平台软件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left"/>
              <w:rPr>
                <w:rFonts w:ascii="宋体" w:hAnsi="宋体" w:cs="宋体" w:eastAsia="宋体" w:hint="default"/>
                <w:sz w:val="21"/>
                <w:szCs w:val="21"/>
              </w:rPr>
            </w:pPr>
            <w:r>
              <w:rPr>
                <w:rFonts w:ascii="宋体" w:hAnsi="宋体" w:cs="宋体" w:eastAsia="宋体" w:hint="default"/>
                <w:sz w:val="21"/>
                <w:szCs w:val="21"/>
              </w:rPr>
              <w:t>南康平台软件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2008SR37739</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46"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77</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南康面访专家软件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pacing w:val="-4"/>
                <w:sz w:val="21"/>
              </w:rPr>
              <w:t>ITACAPI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2007SR19224</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78</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南康信息管理系统平台软件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南康平台软件</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2006SR09260</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48" w:hRule="exact"/>
        </w:trPr>
        <w:tc>
          <w:tcPr>
            <w:tcW w:w="4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79</w:t>
            </w:r>
          </w:p>
        </w:tc>
        <w:tc>
          <w:tcPr>
            <w:tcW w:w="26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电访专家软件</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Itacati</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2002SR2196</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1" w:right="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55" w:hRule="exact"/>
        </w:trPr>
        <w:tc>
          <w:tcPr>
            <w:tcW w:w="4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80</w:t>
            </w:r>
          </w:p>
        </w:tc>
        <w:tc>
          <w:tcPr>
            <w:tcW w:w="262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left"/>
              <w:rPr>
                <w:rFonts w:ascii="宋体" w:hAnsi="宋体" w:cs="宋体" w:eastAsia="宋体" w:hint="default"/>
                <w:sz w:val="21"/>
                <w:szCs w:val="21"/>
              </w:rPr>
            </w:pPr>
            <w:r>
              <w:rPr>
                <w:rFonts w:ascii="宋体" w:hAnsi="宋体" w:cs="宋体" w:eastAsia="宋体" w:hint="default"/>
                <w:sz w:val="21"/>
                <w:szCs w:val="21"/>
              </w:rPr>
              <w:t>南洋呼叫中心软件</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NY Call</w:t>
            </w:r>
            <w:r>
              <w:rPr>
                <w:rFonts w:ascii="Times New Roman"/>
                <w:spacing w:val="-10"/>
                <w:sz w:val="21"/>
              </w:rPr>
              <w:t> </w:t>
            </w:r>
            <w:r>
              <w:rPr>
                <w:rFonts w:ascii="Times New Roman"/>
                <w:sz w:val="21"/>
              </w:rPr>
              <w:t>Center</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V2.0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2001SR3566</w:t>
            </w:r>
          </w:p>
        </w:tc>
        <w:tc>
          <w:tcPr>
            <w:tcW w:w="9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6" w:space="0" w:color="000000"/>
              <w:left w:val="single" w:sz="6" w:space="0" w:color="000000"/>
              <w:bottom w:val="single" w:sz="12" w:space="0" w:color="000000"/>
              <w:right w:val="single" w:sz="12" w:space="0" w:color="000000"/>
            </w:tcBorders>
          </w:tcPr>
          <w:p>
            <w:pPr>
              <w:pStyle w:val="TableParagraph"/>
              <w:spacing w:line="288" w:lineRule="exact"/>
              <w:ind w:right="127"/>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8" w:lineRule="exact"/>
        <w:jc w:val="center"/>
        <w:rPr>
          <w:rFonts w:ascii="宋体" w:hAnsi="宋体" w:cs="宋体" w:eastAsia="宋体" w:hint="default"/>
          <w:sz w:val="21"/>
          <w:szCs w:val="21"/>
        </w:rPr>
        <w:sectPr>
          <w:pgSz w:w="11910" w:h="16840"/>
          <w:pgMar w:header="877" w:footer="1085" w:top="1220" w:bottom="1280" w:left="114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446"/>
        <w:gridCol w:w="2624"/>
        <w:gridCol w:w="1666"/>
        <w:gridCol w:w="607"/>
        <w:gridCol w:w="1476"/>
        <w:gridCol w:w="973"/>
        <w:gridCol w:w="1675"/>
      </w:tblGrid>
      <w:tr>
        <w:trPr>
          <w:trHeight w:val="363" w:hRule="exact"/>
        </w:trPr>
        <w:tc>
          <w:tcPr>
            <w:tcW w:w="44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46"/>
              <w:ind w:left="105" w:right="0"/>
              <w:jc w:val="left"/>
              <w:rPr>
                <w:rFonts w:ascii="Times New Roman" w:hAnsi="Times New Roman" w:cs="Times New Roman" w:eastAsia="Times New Roman" w:hint="default"/>
                <w:sz w:val="21"/>
                <w:szCs w:val="21"/>
              </w:rPr>
            </w:pPr>
            <w:r>
              <w:rPr>
                <w:rFonts w:ascii="Times New Roman"/>
                <w:sz w:val="21"/>
              </w:rPr>
              <w:t>81</w:t>
            </w:r>
          </w:p>
        </w:tc>
        <w:tc>
          <w:tcPr>
            <w:tcW w:w="2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南洋电子公告牌软件</w:t>
            </w:r>
          </w:p>
        </w:tc>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pacing w:val="-5"/>
                <w:sz w:val="21"/>
              </w:rPr>
              <w:t>NY-BBS</w:t>
            </w:r>
          </w:p>
        </w:tc>
        <w:tc>
          <w:tcPr>
            <w:tcW w:w="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V1.0</w:t>
            </w:r>
          </w:p>
        </w:tc>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0"/>
              <w:jc w:val="left"/>
              <w:rPr>
                <w:rFonts w:ascii="Times New Roman" w:hAnsi="Times New Roman" w:cs="Times New Roman" w:eastAsia="Times New Roman" w:hint="default"/>
                <w:sz w:val="21"/>
                <w:szCs w:val="21"/>
              </w:rPr>
            </w:pPr>
            <w:r>
              <w:rPr>
                <w:rFonts w:ascii="Times New Roman"/>
                <w:sz w:val="21"/>
              </w:rPr>
              <w:t>2001SR3565</w:t>
            </w:r>
          </w:p>
        </w:tc>
        <w:tc>
          <w:tcPr>
            <w:tcW w:w="9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南康科技</w:t>
            </w:r>
          </w:p>
        </w:tc>
        <w:tc>
          <w:tcPr>
            <w:tcW w:w="167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BodyText"/>
        <w:spacing w:line="240" w:lineRule="auto" w:before="39"/>
        <w:ind w:left="617" w:right="229"/>
        <w:jc w:val="left"/>
      </w:pPr>
      <w:r>
        <w:rPr>
          <w:rFonts w:ascii="Times New Roman" w:hAnsi="Times New Roman" w:cs="Times New Roman" w:eastAsia="Times New Roman" w:hint="default"/>
        </w:rPr>
        <w:t>2</w:t>
      </w:r>
      <w:r>
        <w:rPr/>
        <w:t>、专利权</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701"/>
        <w:gridCol w:w="1298"/>
        <w:gridCol w:w="1217"/>
        <w:gridCol w:w="2513"/>
        <w:gridCol w:w="2199"/>
        <w:gridCol w:w="1538"/>
      </w:tblGrid>
      <w:tr>
        <w:trPr>
          <w:trHeight w:val="728" w:hRule="exact"/>
        </w:trPr>
        <w:tc>
          <w:tcPr>
            <w:tcW w:w="70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8"/>
              <w:ind w:right="1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2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专利权人</w:t>
            </w:r>
            <w:r>
              <w:rPr>
                <w:rFonts w:ascii="Microsoft JhengHei" w:hAnsi="Microsoft JhengHei" w:cs="Microsoft JhengHei" w:eastAsia="Microsoft JhengHei" w:hint="default"/>
                <w:sz w:val="21"/>
                <w:szCs w:val="21"/>
              </w:rPr>
            </w:r>
          </w:p>
        </w:tc>
        <w:tc>
          <w:tcPr>
            <w:tcW w:w="12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专利类别</w:t>
            </w:r>
            <w:r>
              <w:rPr>
                <w:rFonts w:ascii="Microsoft JhengHei" w:hAnsi="Microsoft JhengHei" w:cs="Microsoft JhengHei" w:eastAsia="Microsoft JhengHei" w:hint="default"/>
                <w:sz w:val="21"/>
                <w:szCs w:val="21"/>
              </w:rPr>
            </w:r>
          </w:p>
        </w:tc>
        <w:tc>
          <w:tcPr>
            <w:tcW w:w="251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21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15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8"/>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授权日</w:t>
            </w:r>
            <w:r>
              <w:rPr>
                <w:rFonts w:ascii="Microsoft JhengHei" w:hAnsi="Microsoft JhengHei" w:cs="Microsoft JhengHei" w:eastAsia="Microsoft JhengHei" w:hint="default"/>
                <w:sz w:val="21"/>
                <w:szCs w:val="21"/>
              </w:rPr>
            </w:r>
          </w:p>
        </w:tc>
      </w:tr>
      <w:tr>
        <w:trPr>
          <w:trHeight w:val="480"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right="11"/>
              <w:jc w:val="center"/>
              <w:rPr>
                <w:rFonts w:ascii="Times New Roman" w:hAnsi="Times New Roman" w:cs="Times New Roman" w:eastAsia="Times New Roman" w:hint="default"/>
                <w:sz w:val="21"/>
                <w:szCs w:val="21"/>
              </w:rPr>
            </w:pPr>
            <w:r>
              <w:rPr>
                <w:rFonts w:ascii="Times New Roman"/>
                <w:w w:val="100"/>
                <w:sz w:val="21"/>
              </w:rPr>
              <w:t>1</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社区管理服务智能机</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CN201130509855</w:t>
            </w:r>
          </w:p>
        </w:tc>
        <w:tc>
          <w:tcPr>
            <w:tcW w:w="15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2012.08.01</w:t>
            </w:r>
          </w:p>
        </w:tc>
      </w:tr>
      <w:tr>
        <w:trPr>
          <w:trHeight w:val="485" w:hRule="exact"/>
        </w:trPr>
        <w:tc>
          <w:tcPr>
            <w:tcW w:w="7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1"/>
              <w:ind w:right="11"/>
              <w:jc w:val="center"/>
              <w:rPr>
                <w:rFonts w:ascii="Times New Roman" w:hAnsi="Times New Roman" w:cs="Times New Roman" w:eastAsia="Times New Roman" w:hint="default"/>
                <w:sz w:val="21"/>
                <w:szCs w:val="21"/>
              </w:rPr>
            </w:pPr>
            <w:r>
              <w:rPr>
                <w:rFonts w:ascii="Times New Roman"/>
                <w:w w:val="100"/>
                <w:sz w:val="21"/>
              </w:rPr>
              <w:t>2</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3"/>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社区管理服务智能机</w:t>
            </w:r>
          </w:p>
        </w:tc>
        <w:tc>
          <w:tcPr>
            <w:tcW w:w="2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3"/>
              <w:jc w:val="center"/>
              <w:rPr>
                <w:rFonts w:ascii="Times New Roman" w:hAnsi="Times New Roman" w:cs="Times New Roman" w:eastAsia="Times New Roman" w:hint="default"/>
                <w:sz w:val="21"/>
                <w:szCs w:val="21"/>
              </w:rPr>
            </w:pPr>
            <w:r>
              <w:rPr>
                <w:rFonts w:ascii="Times New Roman"/>
                <w:sz w:val="21"/>
              </w:rPr>
              <w:t>CN201120573383</w:t>
            </w:r>
          </w:p>
        </w:tc>
        <w:tc>
          <w:tcPr>
            <w:tcW w:w="15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2012.08.08</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085" w:top="1220" w:bottom="1280" w:left="1140" w:right="980"/>
        </w:sectPr>
      </w:pPr>
    </w:p>
    <w:p>
      <w:pPr>
        <w:spacing w:line="240" w:lineRule="auto" w:before="6"/>
        <w:rPr>
          <w:rFonts w:ascii="宋体" w:hAnsi="宋体" w:cs="宋体" w:eastAsia="宋体" w:hint="default"/>
          <w:sz w:val="19"/>
          <w:szCs w:val="19"/>
        </w:rPr>
      </w:pPr>
    </w:p>
    <w:p>
      <w:pPr>
        <w:pStyle w:val="Heading1"/>
        <w:tabs>
          <w:tab w:pos="4212" w:val="left" w:leader="none"/>
        </w:tabs>
        <w:spacing w:line="456" w:lineRule="exact"/>
        <w:ind w:left="2953" w:right="229"/>
        <w:jc w:val="left"/>
        <w:rPr>
          <w:b w:val="0"/>
          <w:bCs w:val="0"/>
        </w:rPr>
      </w:pPr>
      <w:bookmarkStart w:name="_bookmark14" w:id="15"/>
      <w:bookmarkEnd w:id="15"/>
      <w:r>
        <w:rPr>
          <w:b w:val="0"/>
          <w:bCs w:val="0"/>
        </w:rPr>
      </w:r>
      <w:r>
        <w:rPr>
          <w:spacing w:val="4"/>
          <w:w w:val="95"/>
        </w:rPr>
        <w:t>第四节</w:t>
        <w:tab/>
      </w:r>
      <w:r>
        <w:rPr>
          <w:spacing w:val="5"/>
        </w:rPr>
        <w:t>管理层讨论与分析</w:t>
      </w:r>
      <w:r>
        <w:rPr>
          <w:b w:val="0"/>
          <w:bCs w:val="0"/>
          <w:spacing w:val="5"/>
        </w:rPr>
      </w:r>
    </w:p>
    <w:p>
      <w:pPr>
        <w:spacing w:line="240" w:lineRule="auto" w:before="17"/>
        <w:rPr>
          <w:rFonts w:ascii="Microsoft JhengHei" w:hAnsi="Microsoft JhengHei" w:cs="Microsoft JhengHei" w:eastAsia="Microsoft JhengHei" w:hint="default"/>
          <w:b/>
          <w:bCs/>
          <w:sz w:val="21"/>
          <w:szCs w:val="21"/>
        </w:rPr>
      </w:pPr>
    </w:p>
    <w:p>
      <w:pPr>
        <w:pStyle w:val="Heading2"/>
        <w:spacing w:line="367" w:lineRule="exact"/>
        <w:ind w:left="137" w:right="229"/>
        <w:jc w:val="left"/>
        <w:rPr>
          <w:b w:val="0"/>
          <w:bCs w:val="0"/>
        </w:rPr>
      </w:pPr>
      <w:bookmarkStart w:name="_bookmark15" w:id="16"/>
      <w:bookmarkEnd w:id="16"/>
      <w:r>
        <w:rPr>
          <w:b w:val="0"/>
          <w:bCs w:val="0"/>
        </w:rPr>
      </w: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before="0"/>
        <w:ind w:right="149" w:firstLine="360"/>
        <w:jc w:val="left"/>
      </w:pPr>
      <w:r>
        <w:rPr>
          <w:rFonts w:ascii="Times New Roman" w:hAnsi="Times New Roman" w:cs="Times New Roman" w:eastAsia="Times New Roman" w:hint="default"/>
        </w:rPr>
        <w:t>2015</w:t>
      </w:r>
      <w:r>
        <w:rPr/>
        <w:t>年，是公司积极变革、谋求发展的重要之年，公司抓住国家大力建设不动产登记机 遇，适时调整经营策略，积极布局不动产登记领域，加快推进行业整合和并购重组，推动 公司快速发展。</w:t>
      </w:r>
    </w:p>
    <w:p>
      <w:pPr>
        <w:pStyle w:val="BodyText"/>
        <w:spacing w:line="326" w:lineRule="auto" w:before="46"/>
        <w:ind w:right="204" w:firstLine="480"/>
        <w:jc w:val="left"/>
      </w:pPr>
      <w:r>
        <w:rPr/>
        <w:t>在报告期内，公司实现营业收入</w:t>
      </w:r>
      <w:r>
        <w:rPr>
          <w:spacing w:val="-59"/>
        </w:rPr>
        <w:t> </w:t>
      </w:r>
      <w:r>
        <w:rPr>
          <w:rFonts w:ascii="Calibri" w:hAnsi="Calibri" w:cs="Calibri" w:eastAsia="Calibri" w:hint="default"/>
        </w:rPr>
        <w:t>46,715.10</w:t>
      </w:r>
      <w:r>
        <w:rPr>
          <w:rFonts w:ascii="Calibri" w:hAnsi="Calibri" w:cs="Calibri" w:eastAsia="Calibri" w:hint="default"/>
          <w:spacing w:val="8"/>
        </w:rPr>
        <w:t> </w:t>
      </w:r>
      <w:r>
        <w:rPr/>
        <w:t>万元，同比增长</w:t>
      </w:r>
      <w:r>
        <w:rPr>
          <w:spacing w:val="-59"/>
        </w:rPr>
        <w:t> </w:t>
      </w:r>
      <w:r>
        <w:rPr>
          <w:rFonts w:ascii="Calibri" w:hAnsi="Calibri" w:cs="Calibri" w:eastAsia="Calibri" w:hint="default"/>
        </w:rPr>
        <w:t>29.36%</w:t>
      </w:r>
      <w:r>
        <w:rPr/>
        <w:t>；营业利润 </w:t>
      </w:r>
      <w:r>
        <w:rPr>
          <w:rFonts w:ascii="Calibri" w:hAnsi="Calibri" w:cs="Calibri" w:eastAsia="Calibri" w:hint="default"/>
        </w:rPr>
        <w:t>4,010.80</w:t>
      </w:r>
      <w:r>
        <w:rPr>
          <w:rFonts w:ascii="Calibri" w:hAnsi="Calibri" w:cs="Calibri" w:eastAsia="Calibri" w:hint="default"/>
          <w:spacing w:val="3"/>
        </w:rPr>
        <w:t> </w:t>
      </w:r>
      <w:r>
        <w:rPr/>
        <w:t>万元，同比增长</w:t>
      </w:r>
      <w:r>
        <w:rPr>
          <w:spacing w:val="-63"/>
        </w:rPr>
        <w:t> </w:t>
      </w:r>
      <w:r>
        <w:rPr>
          <w:rFonts w:ascii="Calibri" w:hAnsi="Calibri" w:cs="Calibri" w:eastAsia="Calibri" w:hint="default"/>
        </w:rPr>
        <w:t>43.77%</w:t>
      </w:r>
      <w:r>
        <w:rPr/>
        <w:t>；实现利润总额</w:t>
      </w:r>
      <w:r>
        <w:rPr>
          <w:spacing w:val="-63"/>
        </w:rPr>
        <w:t> </w:t>
      </w:r>
      <w:r>
        <w:rPr>
          <w:rFonts w:ascii="Calibri" w:hAnsi="Calibri" w:cs="Calibri" w:eastAsia="Calibri" w:hint="default"/>
        </w:rPr>
        <w:t>6,319.77</w:t>
      </w:r>
      <w:r>
        <w:rPr>
          <w:rFonts w:ascii="Calibri" w:hAnsi="Calibri" w:cs="Calibri" w:eastAsia="Calibri" w:hint="default"/>
          <w:spacing w:val="4"/>
        </w:rPr>
        <w:t> </w:t>
      </w:r>
      <w:r>
        <w:rPr/>
        <w:t>万元，同比增长</w:t>
      </w:r>
      <w:r>
        <w:rPr>
          <w:spacing w:val="-63"/>
        </w:rPr>
        <w:t> </w:t>
      </w:r>
      <w:r>
        <w:rPr>
          <w:rFonts w:ascii="Calibri" w:hAnsi="Calibri" w:cs="Calibri" w:eastAsia="Calibri" w:hint="default"/>
        </w:rPr>
        <w:t>22.17%</w:t>
      </w:r>
      <w:r>
        <w:rPr/>
        <w:t>，归属于 上市公司普通股股东的净利润</w:t>
      </w:r>
      <w:r>
        <w:rPr>
          <w:spacing w:val="-63"/>
        </w:rPr>
        <w:t> </w:t>
      </w:r>
      <w:r>
        <w:rPr>
          <w:rFonts w:ascii="Calibri" w:hAnsi="Calibri" w:cs="Calibri" w:eastAsia="Calibri" w:hint="default"/>
        </w:rPr>
        <w:t>5,877.89</w:t>
      </w:r>
      <w:r>
        <w:rPr>
          <w:rFonts w:ascii="Calibri" w:hAnsi="Calibri" w:cs="Calibri" w:eastAsia="Calibri" w:hint="default"/>
          <w:spacing w:val="4"/>
        </w:rPr>
        <w:t> </w:t>
      </w:r>
      <w:r>
        <w:rPr/>
        <w:t>万元，同比增长</w:t>
      </w:r>
      <w:r>
        <w:rPr>
          <w:spacing w:val="-63"/>
        </w:rPr>
        <w:t> </w:t>
      </w:r>
      <w:r>
        <w:rPr>
          <w:rFonts w:ascii="Calibri" w:hAnsi="Calibri" w:cs="Calibri" w:eastAsia="Calibri" w:hint="default"/>
        </w:rPr>
        <w:t>28.07%</w:t>
      </w:r>
      <w:r>
        <w:rPr/>
        <w:t>，归属于上市公司普通股股 东的扣除非经常性损益的净利润</w:t>
      </w:r>
      <w:r>
        <w:rPr>
          <w:spacing w:val="-63"/>
        </w:rPr>
        <w:t> </w:t>
      </w:r>
      <w:r>
        <w:rPr>
          <w:rFonts w:ascii="Calibri" w:hAnsi="Calibri" w:cs="Calibri" w:eastAsia="Calibri" w:hint="default"/>
        </w:rPr>
        <w:t>5,353.38</w:t>
      </w:r>
      <w:r>
        <w:rPr>
          <w:rFonts w:ascii="Calibri" w:hAnsi="Calibri" w:cs="Calibri" w:eastAsia="Calibri" w:hint="default"/>
          <w:spacing w:val="4"/>
        </w:rPr>
        <w:t> </w:t>
      </w:r>
      <w:r>
        <w:rPr/>
        <w:t>万元，同比增长</w:t>
      </w:r>
      <w:r>
        <w:rPr>
          <w:spacing w:val="-63"/>
        </w:rPr>
        <w:t> </w:t>
      </w:r>
      <w:r>
        <w:rPr>
          <w:rFonts w:ascii="Calibri" w:hAnsi="Calibri" w:cs="Calibri" w:eastAsia="Calibri" w:hint="default"/>
        </w:rPr>
        <w:t>42%</w:t>
      </w:r>
      <w:r>
        <w:rPr/>
        <w:t>。</w:t>
      </w:r>
    </w:p>
    <w:p>
      <w:pPr>
        <w:pStyle w:val="BodyText"/>
        <w:spacing w:line="240" w:lineRule="auto" w:before="17"/>
        <w:ind w:left="617" w:right="229"/>
        <w:jc w:val="left"/>
      </w:pPr>
      <w:r>
        <w:rPr/>
        <w:t>报告期内，公司围绕长期发展规划和年度经营目标，完成了以下工作：</w:t>
      </w:r>
    </w:p>
    <w:p>
      <w:pPr>
        <w:spacing w:line="240" w:lineRule="auto" w:before="11"/>
        <w:rPr>
          <w:rFonts w:ascii="宋体" w:hAnsi="宋体" w:cs="宋体" w:eastAsia="宋体" w:hint="default"/>
          <w:sz w:val="28"/>
          <w:szCs w:val="28"/>
        </w:rPr>
      </w:pPr>
    </w:p>
    <w:p>
      <w:pPr>
        <w:pStyle w:val="Heading2"/>
        <w:spacing w:line="240" w:lineRule="auto"/>
        <w:ind w:left="137" w:right="229"/>
        <w:jc w:val="left"/>
        <w:rPr>
          <w:b w:val="0"/>
          <w:bCs w:val="0"/>
        </w:rPr>
      </w:pPr>
      <w:r>
        <w:rPr>
          <w:rFonts w:ascii="Times New Roman" w:hAnsi="Times New Roman" w:cs="Times New Roman" w:eastAsia="Times New Roman" w:hint="default"/>
        </w:rPr>
        <w:t>1</w:t>
      </w:r>
      <w:r>
        <w:rPr/>
        <w:t>、产品研发及技术创新方面</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before="0"/>
        <w:ind w:left="619" w:right="229" w:firstLine="0"/>
        <w:jc w:val="left"/>
        <w:rPr>
          <w:rFonts w:ascii="Times New Roman" w:hAnsi="Times New Roman" w:cs="Times New Roman" w:eastAsia="Times New Roman"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）发布了 </w:t>
      </w:r>
      <w:r>
        <w:rPr>
          <w:rFonts w:ascii="Times New Roman" w:hAnsi="Times New Roman" w:cs="Times New Roman" w:eastAsia="Times New Roman" w:hint="default"/>
          <w:b/>
          <w:bCs/>
          <w:sz w:val="24"/>
          <w:szCs w:val="24"/>
        </w:rPr>
        <w:t>SuperMap GIS 8C</w:t>
      </w:r>
      <w:r>
        <w:rPr>
          <w:rFonts w:ascii="Times New Roman" w:hAnsi="Times New Roman" w:cs="Times New Roman" w:eastAsia="Times New Roman" w:hint="default"/>
          <w:sz w:val="24"/>
          <w:szCs w:val="24"/>
        </w:rPr>
      </w:r>
    </w:p>
    <w:p>
      <w:pPr>
        <w:pStyle w:val="BodyText"/>
        <w:spacing w:line="338" w:lineRule="auto" w:before="127"/>
        <w:ind w:right="215"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月，公司发布了新一代产品</w:t>
      </w:r>
      <w:r>
        <w:rPr>
          <w:rFonts w:ascii="Times New Roman" w:hAnsi="Times New Roman" w:cs="Times New Roman" w:eastAsia="Times New Roman" w:hint="default"/>
        </w:rPr>
        <w:t>——</w:t>
      </w:r>
      <w:r>
        <w:rPr>
          <w:rFonts w:ascii="Times New Roman" w:hAnsi="Times New Roman" w:cs="Times New Roman" w:eastAsia="Times New Roman" w:hint="default"/>
        </w:rPr>
        <w:t>SuperMap GIS</w:t>
      </w:r>
      <w:r>
        <w:rPr>
          <w:rFonts w:ascii="Times New Roman" w:hAnsi="Times New Roman" w:cs="Times New Roman" w:eastAsia="Times New Roman" w:hint="default"/>
          <w:spacing w:val="-3"/>
        </w:rPr>
        <w:t> </w:t>
      </w:r>
      <w:r>
        <w:rPr>
          <w:rFonts w:ascii="Times New Roman" w:hAnsi="Times New Roman" w:cs="Times New Roman" w:eastAsia="Times New Roman" w:hint="default"/>
        </w:rPr>
        <w:t>8C</w:t>
      </w:r>
      <w:r>
        <w:rPr/>
        <w:t>系列产品，融合了云端一体 化</w:t>
      </w:r>
      <w:r>
        <w:rPr>
          <w:rFonts w:ascii="Times New Roman" w:hAnsi="Times New Roman" w:cs="Times New Roman" w:eastAsia="Times New Roman" w:hint="default"/>
        </w:rPr>
        <w:t>GIS</w:t>
      </w:r>
      <w:r>
        <w:rPr/>
        <w:t>、二三维一体化</w:t>
      </w:r>
      <w:r>
        <w:rPr>
          <w:rFonts w:ascii="Times New Roman" w:hAnsi="Times New Roman" w:cs="Times New Roman" w:eastAsia="Times New Roman" w:hint="default"/>
        </w:rPr>
        <w:t>GIS</w:t>
      </w:r>
      <w:r>
        <w:rPr/>
        <w:t>和跨平台</w:t>
      </w:r>
      <w:r>
        <w:rPr>
          <w:rFonts w:ascii="Times New Roman" w:hAnsi="Times New Roman" w:cs="Times New Roman" w:eastAsia="Times New Roman" w:hint="default"/>
        </w:rPr>
        <w:t>GIS</w:t>
      </w:r>
      <w:r>
        <w:rPr/>
        <w:t>三大技术体系，涵盖了云</w:t>
      </w:r>
      <w:r>
        <w:rPr>
          <w:rFonts w:ascii="Times New Roman" w:hAnsi="Times New Roman" w:cs="Times New Roman" w:eastAsia="Times New Roman" w:hint="default"/>
        </w:rPr>
        <w:t>GIS</w:t>
      </w:r>
      <w:r>
        <w:rPr/>
        <w:t>平台软件、移动</w:t>
      </w:r>
      <w:r>
        <w:rPr>
          <w:rFonts w:ascii="Times New Roman" w:hAnsi="Times New Roman" w:cs="Times New Roman" w:eastAsia="Times New Roman" w:hint="default"/>
        </w:rPr>
        <w:t>GIS</w:t>
      </w:r>
      <w:r>
        <w:rPr/>
        <w:t>开 发平台、组件式</w:t>
      </w:r>
      <w:r>
        <w:rPr>
          <w:rFonts w:ascii="Times New Roman" w:hAnsi="Times New Roman" w:cs="Times New Roman" w:eastAsia="Times New Roman" w:hint="default"/>
        </w:rPr>
        <w:t>GIS</w:t>
      </w:r>
      <w:r>
        <w:rPr/>
        <w:t>开发平台、桌面</w:t>
      </w:r>
      <w:r>
        <w:rPr>
          <w:rFonts w:ascii="Times New Roman" w:hAnsi="Times New Roman" w:cs="Times New Roman" w:eastAsia="Times New Roman" w:hint="default"/>
        </w:rPr>
        <w:t>GIS</w:t>
      </w:r>
      <w:r>
        <w:rPr/>
        <w:t>平台、轻量移动端</w:t>
      </w:r>
      <w:r>
        <w:rPr>
          <w:rFonts w:ascii="Times New Roman" w:hAnsi="Times New Roman" w:cs="Times New Roman" w:eastAsia="Times New Roman" w:hint="default"/>
        </w:rPr>
        <w:t>SDK</w:t>
      </w:r>
      <w:r>
        <w:rPr/>
        <w:t>和浏览器端</w:t>
      </w:r>
      <w:r>
        <w:rPr>
          <w:rFonts w:ascii="Times New Roman" w:hAnsi="Times New Roman" w:cs="Times New Roman" w:eastAsia="Times New Roman" w:hint="default"/>
        </w:rPr>
        <w:t>SDK</w:t>
      </w:r>
      <w:r>
        <w:rPr/>
        <w:t>等全系列的 </w:t>
      </w:r>
      <w:r>
        <w:rPr>
          <w:rFonts w:ascii="Times New Roman" w:hAnsi="Times New Roman" w:cs="Times New Roman" w:eastAsia="Times New Roman" w:hint="default"/>
        </w:rPr>
        <w:t>GIS</w:t>
      </w:r>
      <w:r>
        <w:rPr/>
        <w:t>平台产品。</w:t>
      </w:r>
      <w:r>
        <w:rPr>
          <w:rFonts w:ascii="Times New Roman" w:hAnsi="Times New Roman" w:cs="Times New Roman" w:eastAsia="Times New Roman" w:hint="default"/>
        </w:rPr>
        <w:t>8C</w:t>
      </w:r>
      <w:r>
        <w:rPr/>
        <w:t>版本增加了多款新产品和众多新特性，包括支持国产芯片、增强云运维 管理能力等，用更强的高性能计算技术，助力强云富端新体验。</w:t>
      </w:r>
    </w:p>
    <w:p>
      <w:pPr>
        <w:pStyle w:val="BodyText"/>
        <w:spacing w:line="338" w:lineRule="auto" w:before="55"/>
        <w:ind w:right="167" w:firstLine="480"/>
        <w:jc w:val="left"/>
      </w:pPr>
      <w:r>
        <w:rPr/>
        <w:t>在</w:t>
      </w:r>
      <w:r>
        <w:rPr>
          <w:rFonts w:ascii="Times New Roman" w:hAnsi="Times New Roman" w:cs="Times New Roman" w:eastAsia="Times New Roman" w:hint="default"/>
        </w:rPr>
        <w:t>8C</w:t>
      </w:r>
      <w:r>
        <w:rPr/>
        <w:t>版本中，云</w:t>
      </w:r>
      <w:r>
        <w:rPr>
          <w:rFonts w:ascii="Times New Roman" w:hAnsi="Times New Roman" w:cs="Times New Roman" w:eastAsia="Times New Roman" w:hint="default"/>
        </w:rPr>
        <w:t>GIS</w:t>
      </w:r>
      <w:r>
        <w:rPr/>
        <w:t>一体机、在线</w:t>
      </w:r>
      <w:r>
        <w:rPr>
          <w:rFonts w:ascii="Times New Roman" w:hAnsi="Times New Roman" w:cs="Times New Roman" w:eastAsia="Times New Roman" w:hint="default"/>
        </w:rPr>
        <w:t>GIS</w:t>
      </w:r>
      <w:r>
        <w:rPr/>
        <w:t>平台</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Online</w:t>
      </w:r>
      <w:r>
        <w:rPr/>
        <w:t>、云管家</w:t>
      </w:r>
      <w:r>
        <w:rPr>
          <w:rFonts w:ascii="Times New Roman" w:hAnsi="Times New Roman" w:cs="Times New Roman" w:eastAsia="Times New Roman" w:hint="default"/>
        </w:rPr>
        <w:t>SuperMap iCloudManager</w:t>
      </w:r>
      <w:r>
        <w:rPr/>
        <w:t>、跨平台桌面开源软件</w:t>
      </w:r>
      <w:r>
        <w:rPr>
          <w:rFonts w:ascii="Times New Roman" w:hAnsi="Times New Roman" w:cs="Times New Roman" w:eastAsia="Times New Roman" w:hint="default"/>
        </w:rPr>
        <w:t>SuperMap iDesktop</w:t>
      </w:r>
      <w:r>
        <w:rPr>
          <w:rFonts w:ascii="Times New Roman" w:hAnsi="Times New Roman" w:cs="Times New Roman" w:eastAsia="Times New Roman" w:hint="default"/>
          <w:spacing w:val="-3"/>
        </w:rPr>
        <w:t> </w:t>
      </w:r>
      <w:r>
        <w:rPr>
          <w:rFonts w:ascii="Times New Roman" w:hAnsi="Times New Roman" w:cs="Times New Roman" w:eastAsia="Times New Roman" w:hint="default"/>
        </w:rPr>
        <w:t>Cross</w:t>
      </w:r>
      <w:r>
        <w:rPr/>
        <w:t>是全新的四款产品。其中， 云</w:t>
      </w:r>
      <w:r>
        <w:rPr>
          <w:rFonts w:ascii="Times New Roman" w:hAnsi="Times New Roman" w:cs="Times New Roman" w:eastAsia="Times New Roman" w:hint="default"/>
        </w:rPr>
        <w:t>GIS</w:t>
      </w:r>
      <w:r>
        <w:rPr/>
        <w:t>一体机、</w:t>
      </w:r>
      <w:r>
        <w:rPr>
          <w:rFonts w:ascii="Times New Roman" w:hAnsi="Times New Roman" w:cs="Times New Roman" w:eastAsia="Times New Roman" w:hint="default"/>
        </w:rPr>
        <w:t>SuperMap iCloudManager</w:t>
      </w:r>
      <w:r>
        <w:rPr/>
        <w:t>和</w:t>
      </w:r>
      <w:r>
        <w:rPr>
          <w:rFonts w:ascii="Times New Roman" w:hAnsi="Times New Roman" w:cs="Times New Roman" w:eastAsia="Times New Roman" w:hint="default"/>
        </w:rPr>
        <w:t>SuperMap iDesktop</w:t>
      </w:r>
      <w:r>
        <w:rPr>
          <w:rFonts w:ascii="Times New Roman" w:hAnsi="Times New Roman" w:cs="Times New Roman" w:eastAsia="Times New Roman" w:hint="default"/>
          <w:spacing w:val="-11"/>
        </w:rPr>
        <w:t> </w:t>
      </w:r>
      <w:r>
        <w:rPr>
          <w:rFonts w:ascii="Times New Roman" w:hAnsi="Times New Roman" w:cs="Times New Roman" w:eastAsia="Times New Roman" w:hint="default"/>
        </w:rPr>
        <w:t>Cross</w:t>
      </w:r>
      <w:r>
        <w:rPr/>
        <w:t>三款在国内外主流</w:t>
      </w:r>
      <w:r>
        <w:rPr>
          <w:rFonts w:ascii="Times New Roman" w:hAnsi="Times New Roman" w:cs="Times New Roman" w:eastAsia="Times New Roman" w:hint="default"/>
        </w:rPr>
        <w:t>GIS</w:t>
      </w:r>
      <w:r>
        <w:rPr/>
        <w:t>平 台软件中未见同类产品。</w:t>
      </w:r>
    </w:p>
    <w:p>
      <w:pPr>
        <w:pStyle w:val="BodyText"/>
        <w:spacing w:line="338" w:lineRule="auto" w:before="55"/>
        <w:ind w:right="215" w:firstLine="480"/>
        <w:jc w:val="left"/>
      </w:pPr>
      <w:r>
        <w:rPr/>
        <w:t>即插即用的云</w:t>
      </w:r>
      <w:r>
        <w:rPr>
          <w:rFonts w:ascii="Times New Roman" w:hAnsi="Times New Roman" w:cs="Times New Roman" w:eastAsia="Times New Roman" w:hint="default"/>
        </w:rPr>
        <w:t>GIS</w:t>
      </w:r>
      <w:r>
        <w:rPr/>
        <w:t>一体机，改变了传统模式搭建云</w:t>
      </w:r>
      <w:r>
        <w:rPr>
          <w:rFonts w:ascii="Times New Roman" w:hAnsi="Times New Roman" w:cs="Times New Roman" w:eastAsia="Times New Roman" w:hint="default"/>
        </w:rPr>
        <w:t>GIS</w:t>
      </w:r>
      <w:r>
        <w:rPr/>
        <w:t>应用需要自行购买硬件设备和设 备选择、搭配上的难度，大大缩短了云</w:t>
      </w:r>
      <w:r>
        <w:rPr>
          <w:rFonts w:ascii="Times New Roman" w:hAnsi="Times New Roman" w:cs="Times New Roman" w:eastAsia="Times New Roman" w:hint="default"/>
        </w:rPr>
        <w:t>GIS</w:t>
      </w:r>
      <w:r>
        <w:rPr/>
        <w:t>的搭建和实施周期。</w:t>
      </w:r>
    </w:p>
    <w:p>
      <w:pPr>
        <w:pStyle w:val="BodyText"/>
        <w:spacing w:line="338" w:lineRule="auto" w:before="27"/>
        <w:ind w:right="199" w:firstLine="480"/>
        <w:jc w:val="left"/>
      </w:pPr>
      <w:r>
        <w:rPr>
          <w:rFonts w:ascii="Times New Roman" w:hAnsi="Times New Roman" w:cs="Times New Roman" w:eastAsia="Times New Roman" w:hint="default"/>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iCloudManager</w:t>
      </w:r>
      <w:r>
        <w:rPr/>
        <w:t>这个全新推出的</w:t>
      </w:r>
      <w:r>
        <w:rPr>
          <w:rFonts w:ascii="Times New Roman" w:hAnsi="Times New Roman" w:cs="Times New Roman" w:eastAsia="Times New Roman" w:hint="default"/>
        </w:rPr>
        <w:t>GIS</w:t>
      </w:r>
      <w:r>
        <w:rPr/>
        <w:t>云管理器，依托于云计算平台，协助用户 部署和运维</w:t>
      </w:r>
      <w:r>
        <w:rPr>
          <w:rFonts w:ascii="Times New Roman" w:hAnsi="Times New Roman" w:cs="Times New Roman" w:eastAsia="Times New Roman" w:hint="default"/>
        </w:rPr>
        <w:t>GIS</w:t>
      </w:r>
      <w:r>
        <w:rPr/>
        <w:t>业务环境，解决了云</w:t>
      </w:r>
      <w:r>
        <w:rPr>
          <w:rFonts w:ascii="Times New Roman" w:hAnsi="Times New Roman" w:cs="Times New Roman" w:eastAsia="Times New Roman" w:hint="default"/>
        </w:rPr>
        <w:t>GIS</w:t>
      </w:r>
      <w:r>
        <w:rPr/>
        <w:t>平台管理难的问题，让运维监控</w:t>
      </w:r>
      <w:r>
        <w:rPr>
          <w:rFonts w:ascii="Times New Roman" w:hAnsi="Times New Roman" w:cs="Times New Roman" w:eastAsia="Times New Roman" w:hint="default"/>
        </w:rPr>
        <w:t>GIS</w:t>
      </w:r>
      <w:r>
        <w:rPr/>
        <w:t>系统一目了 然。</w:t>
      </w:r>
    </w:p>
    <w:p>
      <w:pPr>
        <w:pStyle w:val="BodyText"/>
        <w:spacing w:line="240" w:lineRule="auto" w:before="55"/>
        <w:ind w:left="617" w:right="229"/>
        <w:jc w:val="left"/>
      </w:pPr>
      <w:r>
        <w:rPr/>
        <w:t>平台桌面开源软件</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iDesktop</w:t>
      </w:r>
      <w:r>
        <w:rPr/>
        <w:t>是支持跨平台、全开源、可扩展、二三维一体化</w:t>
      </w:r>
    </w:p>
    <w:p>
      <w:pPr>
        <w:spacing w:after="0" w:line="240" w:lineRule="auto"/>
        <w:jc w:val="left"/>
        <w:sectPr>
          <w:footerReference w:type="default" r:id="rId15"/>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BodyText"/>
        <w:spacing w:line="338" w:lineRule="auto" w:before="26"/>
        <w:ind w:right="229"/>
        <w:jc w:val="left"/>
      </w:pPr>
      <w:r>
        <w:rPr>
          <w:spacing w:val="-1"/>
        </w:rPr>
        <w:t>的桌面</w:t>
      </w:r>
      <w:r>
        <w:rPr>
          <w:rFonts w:ascii="Times New Roman" w:hAnsi="Times New Roman" w:cs="Times New Roman" w:eastAsia="Times New Roman" w:hint="default"/>
          <w:spacing w:val="-1"/>
        </w:rPr>
        <w:t>GIS</w:t>
      </w:r>
      <w:r>
        <w:rPr>
          <w:spacing w:val="-1"/>
        </w:rPr>
        <w:t>应用与开发平台软件，支持</w:t>
      </w:r>
      <w:r>
        <w:rPr>
          <w:rFonts w:ascii="Times New Roman" w:hAnsi="Times New Roman" w:cs="Times New Roman" w:eastAsia="Times New Roman" w:hint="default"/>
          <w:spacing w:val="-1"/>
        </w:rPr>
        <w:t>Windows</w:t>
      </w:r>
      <w:r>
        <w:rPr>
          <w:spacing w:val="-1"/>
        </w:rPr>
        <w:t>和</w:t>
      </w:r>
      <w:r>
        <w:rPr>
          <w:rFonts w:ascii="Times New Roman" w:hAnsi="Times New Roman" w:cs="Times New Roman" w:eastAsia="Times New Roman" w:hint="default"/>
          <w:spacing w:val="-1"/>
        </w:rPr>
        <w:t>Linux</w:t>
      </w:r>
      <w:r>
        <w:rPr>
          <w:spacing w:val="-1"/>
        </w:rPr>
        <w:t>操作系统，是国内首款可在</w:t>
      </w:r>
      <w:r>
        <w:rPr>
          <w:rFonts w:ascii="Times New Roman" w:hAnsi="Times New Roman" w:cs="Times New Roman" w:eastAsia="Times New Roman" w:hint="default"/>
          <w:spacing w:val="-1"/>
        </w:rPr>
        <w:t>Linux</w:t>
      </w:r>
      <w:r>
        <w:rPr>
          <w:spacing w:val="-1"/>
        </w:rPr>
        <w:t>操</w:t>
      </w:r>
      <w:r>
        <w:rPr>
          <w:spacing w:val="-87"/>
        </w:rPr>
        <w:t> </w:t>
      </w:r>
      <w:r>
        <w:rPr/>
        <w:t>作系统上运行的桌面</w:t>
      </w:r>
      <w:r>
        <w:rPr>
          <w:rFonts w:ascii="Times New Roman" w:hAnsi="Times New Roman" w:cs="Times New Roman" w:eastAsia="Times New Roman" w:hint="default"/>
        </w:rPr>
        <w:t>GIS</w:t>
      </w:r>
      <w:r>
        <w:rPr/>
        <w:t>平台软件，实现了</w:t>
      </w:r>
      <w:r>
        <w:rPr>
          <w:rFonts w:ascii="Times New Roman" w:hAnsi="Times New Roman" w:cs="Times New Roman" w:eastAsia="Times New Roman" w:hint="default"/>
        </w:rPr>
        <w:t>GIS</w:t>
      </w:r>
      <w:r>
        <w:rPr/>
        <w:t>数据在跨平台环境下的展示。</w:t>
      </w:r>
    </w:p>
    <w:p>
      <w:pPr>
        <w:pStyle w:val="Heading2"/>
        <w:spacing w:line="368" w:lineRule="exact"/>
        <w:ind w:left="619" w:right="229"/>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2</w:t>
      </w:r>
      <w:r>
        <w:rPr/>
        <w:t>）三维</w:t>
      </w:r>
      <w:r>
        <w:rPr>
          <w:rFonts w:ascii="Times New Roman" w:hAnsi="Times New Roman" w:cs="Times New Roman" w:eastAsia="Times New Roman" w:hint="default"/>
        </w:rPr>
        <w:t>GIS</w:t>
      </w:r>
      <w:r>
        <w:rPr>
          <w:rFonts w:ascii="Times New Roman" w:hAnsi="Times New Roman" w:cs="Times New Roman" w:eastAsia="Times New Roman" w:hint="default"/>
          <w:b w:val="0"/>
          <w:bCs w:val="0"/>
        </w:rPr>
      </w:r>
    </w:p>
    <w:p>
      <w:pPr>
        <w:pStyle w:val="BodyText"/>
        <w:spacing w:line="338" w:lineRule="auto" w:before="126"/>
        <w:ind w:right="229" w:firstLine="480"/>
        <w:jc w:val="left"/>
      </w:pPr>
      <w:r>
        <w:rPr>
          <w:spacing w:val="-1"/>
        </w:rPr>
        <w:t>报告期内，公司三维</w:t>
      </w:r>
      <w:r>
        <w:rPr>
          <w:rFonts w:ascii="Times New Roman" w:hAnsi="Times New Roman" w:cs="Times New Roman" w:eastAsia="Times New Roman" w:hint="default"/>
          <w:spacing w:val="-1"/>
        </w:rPr>
        <w:t>GIS</w:t>
      </w:r>
      <w:r>
        <w:rPr>
          <w:spacing w:val="-1"/>
        </w:rPr>
        <w:t>技术在倾斜摄影、</w:t>
      </w:r>
      <w:r>
        <w:rPr>
          <w:rFonts w:ascii="Times New Roman" w:hAnsi="Times New Roman" w:cs="Times New Roman" w:eastAsia="Times New Roman" w:hint="default"/>
          <w:spacing w:val="-1"/>
        </w:rPr>
        <w:t>BIM</w:t>
      </w:r>
      <w:r>
        <w:rPr>
          <w:spacing w:val="-1"/>
        </w:rPr>
        <w:t>、管线、</w:t>
      </w:r>
      <w:r>
        <w:rPr>
          <w:rFonts w:ascii="Times New Roman" w:hAnsi="Times New Roman" w:cs="Times New Roman" w:eastAsia="Times New Roman" w:hint="default"/>
          <w:spacing w:val="-1"/>
        </w:rPr>
        <w:t>WebGL</w:t>
      </w:r>
      <w:r>
        <w:rPr>
          <w:spacing w:val="-1"/>
        </w:rPr>
        <w:t>等多个领域继续发</w:t>
      </w:r>
      <w:r>
        <w:rPr/>
        <w:t> 力。</w:t>
      </w:r>
    </w:p>
    <w:p>
      <w:pPr>
        <w:pStyle w:val="BodyText"/>
        <w:spacing w:line="338" w:lineRule="auto" w:before="55"/>
        <w:ind w:right="252" w:firstLine="480"/>
        <w:jc w:val="both"/>
      </w:pPr>
      <w:r>
        <w:rPr/>
        <w:t>在倾斜摄影领域，在</w:t>
      </w:r>
      <w:r>
        <w:rPr>
          <w:rFonts w:ascii="Times New Roman" w:hAnsi="Times New Roman" w:cs="Times New Roman" w:eastAsia="Times New Roman" w:hint="default"/>
        </w:rPr>
        <w:t>2014</w:t>
      </w:r>
      <w:r>
        <w:rPr/>
        <w:t>年率先支持倾斜摄影模型基础上，增加了多项能力，包括： 通过</w:t>
      </w:r>
      <w:r>
        <w:rPr>
          <w:rFonts w:ascii="Times New Roman" w:hAnsi="Times New Roman" w:cs="Times New Roman" w:eastAsia="Times New Roman" w:hint="default"/>
        </w:rPr>
        <w:t>MongoDB</w:t>
      </w:r>
      <w:r>
        <w:rPr/>
        <w:t>数据库存储、对单层楼房进行管理、叠加视频、可转换为</w:t>
      </w:r>
      <w:r>
        <w:rPr>
          <w:rFonts w:ascii="Times New Roman" w:hAnsi="Times New Roman" w:cs="Times New Roman" w:eastAsia="Times New Roman" w:hint="default"/>
        </w:rPr>
        <w:t>DSM</w:t>
      </w:r>
      <w:r>
        <w:rPr/>
        <w:t>和</w:t>
      </w:r>
      <w:r>
        <w:rPr>
          <w:rFonts w:ascii="Times New Roman" w:hAnsi="Times New Roman" w:cs="Times New Roman" w:eastAsia="Times New Roman" w:hint="default"/>
        </w:rPr>
        <w:t>DOM</w:t>
      </w:r>
      <w:r>
        <w:rPr/>
        <w:t>、自 </w:t>
      </w:r>
      <w:r>
        <w:rPr>
          <w:spacing w:val="-1"/>
        </w:rPr>
        <w:t>动化提取建筑矢量底面、支持移动设备和</w:t>
      </w:r>
      <w:r>
        <w:rPr>
          <w:rFonts w:ascii="Times New Roman" w:hAnsi="Times New Roman" w:cs="Times New Roman" w:eastAsia="Times New Roman" w:hint="default"/>
          <w:spacing w:val="-1"/>
        </w:rPr>
        <w:t>WebGL</w:t>
      </w:r>
      <w:r>
        <w:rPr>
          <w:spacing w:val="-1"/>
        </w:rPr>
        <w:t>客户端等，为倾斜摄影模型进一步走向各</w:t>
      </w:r>
      <w:r>
        <w:rPr>
          <w:spacing w:val="-101"/>
        </w:rPr>
        <w:t> </w:t>
      </w:r>
      <w:r>
        <w:rPr>
          <w:spacing w:val="-101"/>
        </w:rPr>
      </w:r>
      <w:r>
        <w:rPr/>
        <w:t>行各业的应用奠定了基础。</w:t>
      </w:r>
    </w:p>
    <w:p>
      <w:pPr>
        <w:pStyle w:val="BodyText"/>
        <w:spacing w:line="338" w:lineRule="auto" w:before="55"/>
        <w:ind w:right="256" w:firstLine="480"/>
        <w:jc w:val="left"/>
      </w:pPr>
      <w:r>
        <w:rPr/>
        <w:t>在</w:t>
      </w:r>
      <w:r>
        <w:rPr>
          <w:rFonts w:ascii="Times New Roman" w:hAnsi="Times New Roman" w:cs="Times New Roman" w:eastAsia="Times New Roman" w:hint="default"/>
        </w:rPr>
        <w:t>BIM</w:t>
      </w:r>
      <w:r>
        <w:rPr/>
        <w:t>领域，能很好的集成专业</w:t>
      </w:r>
      <w:r>
        <w:rPr>
          <w:rFonts w:ascii="Times New Roman" w:hAnsi="Times New Roman" w:cs="Times New Roman" w:eastAsia="Times New Roman" w:hint="default"/>
        </w:rPr>
        <w:t>BIM</w:t>
      </w:r>
      <w:r>
        <w:rPr/>
        <w:t>软件如</w:t>
      </w:r>
      <w:r>
        <w:rPr>
          <w:rFonts w:ascii="Times New Roman" w:hAnsi="Times New Roman" w:cs="Times New Roman" w:eastAsia="Times New Roman" w:hint="default"/>
        </w:rPr>
        <w:t>Revit</w:t>
      </w:r>
      <w:r>
        <w:rPr/>
        <w:t>、</w:t>
      </w:r>
      <w:r>
        <w:rPr>
          <w:rFonts w:ascii="Times New Roman" w:hAnsi="Times New Roman" w:cs="Times New Roman" w:eastAsia="Times New Roman" w:hint="default"/>
        </w:rPr>
        <w:t>Catia</w:t>
      </w:r>
      <w:r>
        <w:rPr/>
        <w:t>等输出的三维模型数据，并在 多个项目中得到实际应用。</w:t>
      </w:r>
    </w:p>
    <w:p>
      <w:pPr>
        <w:pStyle w:val="BodyText"/>
        <w:spacing w:line="357" w:lineRule="auto" w:before="55"/>
        <w:ind w:right="509" w:firstLine="480"/>
        <w:jc w:val="left"/>
      </w:pPr>
      <w:r>
        <w:rPr/>
        <w:t>在管线领域，突破了海量高密度管线的高效浏览，以及自动生成管点等多项关键技 术，在国内外达到先进水平。</w:t>
      </w:r>
    </w:p>
    <w:p>
      <w:pPr>
        <w:pStyle w:val="BodyText"/>
        <w:spacing w:line="338" w:lineRule="auto"/>
        <w:ind w:right="219" w:firstLine="480"/>
        <w:jc w:val="both"/>
      </w:pPr>
      <w:r>
        <w:rPr>
          <w:spacing w:val="-1"/>
        </w:rPr>
        <w:t>在</w:t>
      </w:r>
      <w:r>
        <w:rPr>
          <w:rFonts w:ascii="Times New Roman" w:hAnsi="Times New Roman" w:cs="Times New Roman" w:eastAsia="Times New Roman" w:hint="default"/>
          <w:spacing w:val="-1"/>
        </w:rPr>
        <w:t>WebGL</w:t>
      </w:r>
      <w:r>
        <w:rPr>
          <w:spacing w:val="-1"/>
        </w:rPr>
        <w:t>领域，</w:t>
      </w:r>
      <w:r>
        <w:rPr>
          <w:rFonts w:ascii="Times New Roman" w:hAnsi="Times New Roman" w:cs="Times New Roman" w:eastAsia="Times New Roman" w:hint="default"/>
          <w:spacing w:val="-1"/>
        </w:rPr>
        <w:t>WebGL</w:t>
      </w:r>
      <w:r>
        <w:rPr>
          <w:spacing w:val="-1"/>
        </w:rPr>
        <w:t>作为在浏览器上可以免插件运行三维的新技术，公司也在积极</w:t>
      </w:r>
      <w:r>
        <w:rPr/>
        <w:t> 研发中，</w:t>
      </w:r>
      <w:r>
        <w:rPr>
          <w:rFonts w:ascii="Times New Roman" w:hAnsi="Times New Roman" w:cs="Times New Roman" w:eastAsia="Times New Roman" w:hint="default"/>
        </w:rPr>
        <w:t>2015</w:t>
      </w:r>
      <w:r>
        <w:rPr/>
        <w:t>年已经取得了长足进展，发布了第一个测试版本，支持地形、影像和倾斜摄 影模型等数据，并将在</w:t>
      </w:r>
      <w:r>
        <w:rPr>
          <w:rFonts w:ascii="Times New Roman" w:hAnsi="Times New Roman" w:cs="Times New Roman" w:eastAsia="Times New Roman" w:hint="default"/>
        </w:rPr>
        <w:t>2016</w:t>
      </w:r>
      <w:r>
        <w:rPr/>
        <w:t>年继续加大投入，尽快发布正式版本。</w:t>
      </w:r>
    </w:p>
    <w:p>
      <w:pPr>
        <w:pStyle w:val="Heading2"/>
        <w:spacing w:line="368" w:lineRule="exact"/>
        <w:ind w:left="619" w:right="229"/>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3</w:t>
      </w:r>
      <w:r>
        <w:rPr/>
        <w:t>）移动</w:t>
      </w:r>
      <w:r>
        <w:rPr>
          <w:spacing w:val="3"/>
        </w:rPr>
        <w:t> </w:t>
      </w:r>
      <w:r>
        <w:rPr>
          <w:rFonts w:ascii="Times New Roman" w:hAnsi="Times New Roman" w:cs="Times New Roman" w:eastAsia="Times New Roman" w:hint="default"/>
        </w:rPr>
        <w:t>GIS</w:t>
      </w:r>
      <w:r>
        <w:rPr>
          <w:rFonts w:ascii="Times New Roman" w:hAnsi="Times New Roman" w:cs="Times New Roman" w:eastAsia="Times New Roman" w:hint="default"/>
          <w:b w:val="0"/>
          <w:bCs w:val="0"/>
        </w:rPr>
      </w:r>
    </w:p>
    <w:p>
      <w:pPr>
        <w:pStyle w:val="BodyText"/>
        <w:spacing w:line="345" w:lineRule="auto" w:before="126"/>
        <w:ind w:right="260" w:firstLine="480"/>
        <w:jc w:val="both"/>
      </w:pPr>
      <w:r>
        <w:rPr/>
        <w:t>产品研发方面，发布了移动</w:t>
      </w:r>
      <w:r>
        <w:rPr>
          <w:rFonts w:ascii="Times New Roman" w:hAnsi="Times New Roman" w:cs="Times New Roman" w:eastAsia="Times New Roman" w:hint="default"/>
        </w:rPr>
        <w:t>GIS</w:t>
      </w:r>
      <w:r>
        <w:rPr/>
        <w:t>基础平台产品</w:t>
      </w:r>
      <w:r>
        <w:rPr>
          <w:rFonts w:ascii="Times New Roman" w:hAnsi="Times New Roman" w:cs="Times New Roman" w:eastAsia="Times New Roman" w:hint="default"/>
        </w:rPr>
        <w:t>8C</w:t>
      </w:r>
      <w:r>
        <w:rPr/>
        <w:t>版本，新版本在离线能力、在线能力 以及性能方面都有很大提升。离线方面增加对专业态势标绘支持、对倾斜摄影的支持；在 线方面集成消息总线、支持多种</w:t>
      </w:r>
      <w:r>
        <w:rPr>
          <w:rFonts w:ascii="Times New Roman" w:hAnsi="Times New Roman" w:cs="Times New Roman" w:eastAsia="Times New Roman" w:hint="default"/>
        </w:rPr>
        <w:t>OGC</w:t>
      </w:r>
      <w:r>
        <w:rPr/>
        <w:t>标准服务；地图显示方面采用全新的显示技术，大幅 度提高终端显示效率和用户体验。</w:t>
      </w:r>
    </w:p>
    <w:p>
      <w:pPr>
        <w:pStyle w:val="BodyText"/>
        <w:spacing w:line="350" w:lineRule="auto" w:before="48"/>
        <w:ind w:right="162" w:firstLine="480"/>
        <w:jc w:val="left"/>
      </w:pPr>
      <w:r>
        <w:rPr/>
        <w:t>市场应用方面，移动</w:t>
      </w:r>
      <w:r>
        <w:rPr>
          <w:rFonts w:ascii="Times New Roman" w:hAnsi="Times New Roman" w:cs="Times New Roman" w:eastAsia="Times New Roman" w:hint="default"/>
        </w:rPr>
        <w:t>GIS</w:t>
      </w:r>
      <w:r>
        <w:rPr/>
        <w:t>应用更加丰富，市场有</w:t>
      </w:r>
      <w:r>
        <w:rPr>
          <w:rFonts w:ascii="Times New Roman" w:hAnsi="Times New Roman" w:cs="Times New Roman" w:eastAsia="Times New Roman" w:hint="default"/>
        </w:rPr>
        <w:t>50%</w:t>
      </w:r>
      <w:r>
        <w:rPr/>
        <w:t>以上的突破，行业应用的广度和深 度都有明显增加；态势标绘、倾斜摄影以及消息总线等这些新技术增加了行业应用的深 度，推进了行业移动应用的新模式；北斗高精度应用继续在区域导航深入应用，并积极探 索在执法、城市管线选件以及资源普查领域的深度应用。</w:t>
      </w:r>
    </w:p>
    <w:p>
      <w:pPr>
        <w:pStyle w:val="BodyText"/>
        <w:spacing w:line="768" w:lineRule="exact" w:before="9"/>
        <w:ind w:left="617" w:right="269" w:hanging="48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、市场开拓方面</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公司进一步加强了销售力量建设，扩编了应用销售团队，提升了销售力量的市场覆盖</w:t>
      </w:r>
    </w:p>
    <w:p>
      <w:pPr>
        <w:pStyle w:val="BodyText"/>
        <w:spacing w:line="240" w:lineRule="auto" w:before="34"/>
        <w:ind w:right="229"/>
        <w:jc w:val="left"/>
      </w:pPr>
      <w:r>
        <w:rPr/>
        <w:t>度；行业应用销售已下沉至各地方区域，进一步提升了北京以外办公区的售前销售能力。</w:t>
      </w:r>
    </w:p>
    <w:p>
      <w:pPr>
        <w:spacing w:after="0" w:line="240" w:lineRule="auto"/>
        <w:jc w:val="left"/>
        <w:sectPr>
          <w:footerReference w:type="default" r:id="rId16"/>
          <w:pgSz w:w="11910" w:h="16840"/>
          <w:pgMar w:footer="1085" w:header="877" w:top="1220" w:bottom="1280" w:left="1140" w:right="980"/>
          <w:pgNumType w:start="21"/>
        </w:sectPr>
      </w:pPr>
    </w:p>
    <w:p>
      <w:pPr>
        <w:spacing w:line="240" w:lineRule="auto" w:before="8"/>
        <w:rPr>
          <w:rFonts w:ascii="宋体" w:hAnsi="宋体" w:cs="宋体" w:eastAsia="宋体" w:hint="default"/>
          <w:sz w:val="16"/>
          <w:szCs w:val="16"/>
        </w:rPr>
      </w:pPr>
    </w:p>
    <w:p>
      <w:pPr>
        <w:pStyle w:val="BodyText"/>
        <w:spacing w:line="355" w:lineRule="auto" w:before="26"/>
        <w:ind w:right="0"/>
        <w:jc w:val="left"/>
      </w:pPr>
      <w:r>
        <w:rPr/>
        <w:t>此外，公司针对不动产登记信息领域这个重点市场，加强了销售布局，将原有国土和房产 业务部门的营销团队做了全面梳理和整合，在成都、西安和武汉等地部署了销售和售前服 务团队。报告期内，公司充分发挥资本手段，以现金方式全资并购了南康科技，通过超图 道乐并购基金参股北京世纪安图数码科技发展有限公司（以下简称</w:t>
      </w:r>
      <w:r>
        <w:rPr>
          <w:rFonts w:ascii="Times New Roman" w:hAnsi="Times New Roman" w:cs="Times New Roman" w:eastAsia="Times New Roman" w:hint="default"/>
        </w:rPr>
        <w:t>“</w:t>
      </w:r>
      <w:r>
        <w:rPr/>
        <w:t>世纪安图</w:t>
      </w:r>
      <w:r>
        <w:rPr>
          <w:rFonts w:ascii="Times New Roman" w:hAnsi="Times New Roman" w:cs="Times New Roman" w:eastAsia="Times New Roman" w:hint="default"/>
        </w:rPr>
        <w:t>”</w:t>
      </w:r>
      <w:r>
        <w:rPr/>
        <w:t>），此外， 在报告期末，实施了重大资产事项——拟通过发行股份及支付现金方式收购南京国图（截 止本报告报出时，该事项已经通过中国证券监督管理委员会并购重组委工作会议审核，该 </w:t>
      </w:r>
      <w:r>
        <w:rPr>
          <w:spacing w:val="-4"/>
        </w:rPr>
        <w:t>事项获得有条件通过）。通过内部夯实研发、服务和销售团队，外延收购和吸收优秀公司，</w:t>
      </w:r>
      <w:r>
        <w:rPr>
          <w:spacing w:val="-81"/>
        </w:rPr>
        <w:t> </w:t>
      </w:r>
      <w:r>
        <w:rPr>
          <w:spacing w:val="-81"/>
        </w:rPr>
      </w:r>
      <w:r>
        <w:rPr/>
        <w:t>加速不动产登记业务领域的市场布局。</w:t>
      </w:r>
    </w:p>
    <w:p>
      <w:pPr>
        <w:spacing w:line="240" w:lineRule="auto" w:before="1"/>
        <w:rPr>
          <w:rFonts w:ascii="宋体" w:hAnsi="宋体" w:cs="宋体" w:eastAsia="宋体" w:hint="default"/>
          <w:sz w:val="20"/>
          <w:szCs w:val="20"/>
        </w:rPr>
      </w:pPr>
    </w:p>
    <w:p>
      <w:pPr>
        <w:pStyle w:val="Heading2"/>
        <w:spacing w:line="240" w:lineRule="auto"/>
        <w:ind w:left="137" w:right="229"/>
        <w:jc w:val="left"/>
        <w:rPr>
          <w:b w:val="0"/>
          <w:bCs w:val="0"/>
        </w:rPr>
      </w:pPr>
      <w:r>
        <w:rPr>
          <w:rFonts w:ascii="Times New Roman" w:hAnsi="Times New Roman" w:cs="Times New Roman" w:eastAsia="Times New Roman" w:hint="default"/>
        </w:rPr>
        <w:t>3</w:t>
      </w:r>
      <w:r>
        <w:rPr/>
        <w:t>、项目及质量监控方面</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312" w:lineRule="auto" w:before="0"/>
        <w:ind w:left="617" w:right="269"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）项目管理方面</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z w:val="24"/>
          <w:szCs w:val="24"/>
        </w:rPr>
        <w:t>报告期内，公司在应用项目中全面推行敏捷开发模式，对项目经理进行了多期培训，</w:t>
      </w:r>
    </w:p>
    <w:p>
      <w:pPr>
        <w:pStyle w:val="BodyText"/>
        <w:spacing w:line="348" w:lineRule="auto" w:before="82"/>
        <w:ind w:right="0"/>
        <w:jc w:val="left"/>
      </w:pPr>
      <w:r>
        <w:rPr/>
        <w:t>进一步缩短了项目开发周期，提升了客户满意度；进一步改进了</w:t>
      </w:r>
      <w:r>
        <w:rPr>
          <w:spacing w:val="-61"/>
        </w:rPr>
        <w:t> </w:t>
      </w:r>
      <w:r>
        <w:rPr>
          <w:rFonts w:ascii="Times New Roman" w:hAnsi="Times New Roman" w:cs="Times New Roman" w:eastAsia="Times New Roman" w:hint="default"/>
        </w:rPr>
        <w:t>SERP </w:t>
      </w:r>
      <w:r>
        <w:rPr/>
        <w:t>项目管理功能，对 项目进度、人工成本精细化管理、项目</w:t>
      </w:r>
      <w:r>
        <w:rPr>
          <w:spacing w:val="-62"/>
        </w:rPr>
        <w:t> </w:t>
      </w:r>
      <w:r>
        <w:rPr>
          <w:rFonts w:ascii="Times New Roman" w:hAnsi="Times New Roman" w:cs="Times New Roman" w:eastAsia="Times New Roman" w:hint="default"/>
        </w:rPr>
        <w:t>Review</w:t>
      </w:r>
      <w:r>
        <w:rPr/>
        <w:t>、项目管理报表等进行了改进；修改了《应 </w:t>
      </w:r>
      <w:r>
        <w:rPr>
          <w:spacing w:val="-4"/>
        </w:rPr>
        <w:t>用项目作业规程》，引入敏捷开发操作规程，将项目管理经验进行汇总，此外，对于项目经</w:t>
      </w:r>
      <w:r>
        <w:rPr>
          <w:spacing w:val="-81"/>
        </w:rPr>
        <w:t> </w:t>
      </w:r>
      <w:r>
        <w:rPr>
          <w:spacing w:val="-81"/>
        </w:rPr>
      </w:r>
      <w:r>
        <w:rPr/>
        <w:t>理指导意义较强的工作点如项目启动、验收阶段等进行了细化，提供了更多的模板及操作</w:t>
      </w:r>
      <w:r>
        <w:rPr/>
        <w:t> 要求。</w:t>
      </w:r>
    </w:p>
    <w:p>
      <w:pPr>
        <w:pStyle w:val="Heading2"/>
        <w:spacing w:line="387" w:lineRule="exact"/>
        <w:ind w:left="619" w:right="229"/>
        <w:jc w:val="left"/>
        <w:rPr>
          <w:b w:val="0"/>
          <w:bCs w:val="0"/>
        </w:rPr>
      </w:pPr>
      <w:r>
        <w:rPr/>
        <w:t>（</w:t>
      </w:r>
      <w:r>
        <w:rPr>
          <w:rFonts w:ascii="Times New Roman" w:hAnsi="Times New Roman" w:cs="Times New Roman" w:eastAsia="Times New Roman" w:hint="default"/>
        </w:rPr>
        <w:t>2</w:t>
      </w:r>
      <w:r>
        <w:rPr/>
        <w:t>）产品质量监控方面</w:t>
      </w:r>
      <w:r>
        <w:rPr>
          <w:b w:val="0"/>
          <w:bCs w:val="0"/>
        </w:rPr>
      </w:r>
    </w:p>
    <w:p>
      <w:pPr>
        <w:pStyle w:val="BodyText"/>
        <w:spacing w:line="345" w:lineRule="auto" w:before="126"/>
        <w:ind w:right="217" w:firstLine="480"/>
        <w:jc w:val="left"/>
      </w:pPr>
      <w:r>
        <w:rPr/>
        <w:t>报告期内，公司通过二次开发，设计、集成、研发上线了</w:t>
      </w:r>
      <w:r>
        <w:rPr>
          <w:spacing w:val="-61"/>
        </w:rPr>
        <w:t> </w:t>
      </w:r>
      <w:r>
        <w:rPr>
          <w:rFonts w:ascii="Times New Roman" w:hAnsi="Times New Roman" w:cs="Times New Roman" w:eastAsia="Times New Roman" w:hint="default"/>
        </w:rPr>
        <w:t>BenchMark </w:t>
      </w:r>
      <w:r>
        <w:rPr/>
        <w:t>产品自动化性能 测试评分系统。该系统旨在通过与同行同类产品及</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t>产品基于同等测试环境下进 行每日性能自动跑分，对同行和跨版本产品对比、校验，按同一规则匹配以不同分值输出 后，可在自动化测试监控系统大屏中快速、方便地查看结果。</w:t>
      </w:r>
      <w:r>
        <w:rPr>
          <w:rFonts w:ascii="Times New Roman" w:hAnsi="Times New Roman" w:cs="Times New Roman" w:eastAsia="Times New Roman" w:hint="default"/>
        </w:rPr>
        <w:t>BenchMark</w:t>
      </w:r>
      <w:r>
        <w:rPr>
          <w:rFonts w:ascii="Times New Roman" w:hAnsi="Times New Roman" w:cs="Times New Roman" w:eastAsia="Times New Roman" w:hint="default"/>
          <w:spacing w:val="-1"/>
        </w:rPr>
        <w:t> </w:t>
      </w:r>
      <w:r>
        <w:rPr/>
        <w:t>系统通过对同行</w:t>
      </w:r>
      <w:r>
        <w:rPr>
          <w:w w:val="99"/>
        </w:rPr>
        <w:t> </w:t>
      </w:r>
      <w:r>
        <w:rPr/>
        <w:t>产品性能校验和交叉对比，直观地展示了公司产品性能优劣状态，对于服务器产品性能相</w:t>
      </w:r>
      <w:r>
        <w:rPr>
          <w:w w:val="99"/>
        </w:rPr>
        <w:t> </w:t>
      </w:r>
      <w:r>
        <w:rPr/>
        <w:t>关重要指标值如用户响应时间、吞吐率、点击率、内存使用、</w:t>
      </w:r>
      <w:r>
        <w:rPr>
          <w:rFonts w:ascii="Times New Roman" w:hAnsi="Times New Roman" w:cs="Times New Roman" w:eastAsia="Times New Roman" w:hint="default"/>
        </w:rPr>
        <w:t>CPU</w:t>
      </w:r>
      <w:r>
        <w:rPr>
          <w:rFonts w:ascii="Times New Roman" w:hAnsi="Times New Roman" w:cs="Times New Roman" w:eastAsia="Times New Roman" w:hint="default"/>
          <w:spacing w:val="-1"/>
        </w:rPr>
        <w:t> </w:t>
      </w:r>
      <w:r>
        <w:rPr/>
        <w:t>利用率等均可方便查看 其指标值，直观地反应产品的性能状况。该平台为公司产品性能改进提供了可靠的依据， 通过公司的持续构建和产品性能改进，公司产品性能和效率稳步提升。</w:t>
      </w:r>
    </w:p>
    <w:p>
      <w:pPr>
        <w:spacing w:line="240" w:lineRule="auto" w:before="10"/>
        <w:rPr>
          <w:rFonts w:ascii="宋体" w:hAnsi="宋体" w:cs="宋体" w:eastAsia="宋体" w:hint="default"/>
          <w:sz w:val="20"/>
          <w:szCs w:val="20"/>
        </w:rPr>
      </w:pPr>
    </w:p>
    <w:p>
      <w:pPr>
        <w:pStyle w:val="BodyText"/>
        <w:spacing w:line="484" w:lineRule="auto" w:before="0"/>
        <w:ind w:left="617" w:right="269" w:hanging="480"/>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、人力资源方面</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报告期内，公司进一步加强了员工培训：组织了销售精英初级班集训，进一步提升销</w:t>
      </w:r>
    </w:p>
    <w:p>
      <w:pPr>
        <w:spacing w:after="0" w:line="484"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right="0"/>
        <w:jc w:val="left"/>
      </w:pPr>
      <w:r>
        <w:rPr/>
        <w:t>售人员信心，为公司新进销售人才培养、销售队伍建设打下良好基础；组织了</w:t>
      </w:r>
      <w:r>
        <w:rPr>
          <w:spacing w:val="-60"/>
        </w:rPr>
        <w:t> </w:t>
      </w:r>
      <w:r>
        <w:rPr>
          <w:rFonts w:ascii="Times New Roman" w:hAnsi="Times New Roman" w:cs="Times New Roman" w:eastAsia="Times New Roman" w:hint="default"/>
        </w:rPr>
        <w:t>2015 </w:t>
      </w:r>
      <w:r>
        <w:rPr/>
        <w:t>年雏鹰</w:t>
      </w:r>
    </w:p>
    <w:p>
      <w:pPr>
        <w:pStyle w:val="BodyText"/>
        <w:spacing w:line="350" w:lineRule="auto" w:before="135"/>
        <w:ind w:right="269"/>
        <w:jc w:val="left"/>
      </w:pPr>
      <w:r>
        <w:rPr/>
        <w:t>训练营，通过对</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80 </w:t>
      </w:r>
      <w:r>
        <w:rPr/>
        <w:t>名新进毕业生的系统培训，为公司储备了一批后备人才；组织 了初级项目经理训练营，为公司项目经理培养积累了一批基础课程，有效提升初级项目经 理的综合素质和基础能力；组织了超图大讲堂十期，通过开展超图大讲堂，宣传公司品 牌，使员工开阔视野。</w:t>
      </w:r>
    </w:p>
    <w:p>
      <w:pPr>
        <w:pStyle w:val="BodyText"/>
        <w:spacing w:line="357" w:lineRule="auto" w:before="43"/>
        <w:ind w:right="285" w:firstLine="480"/>
        <w:jc w:val="both"/>
      </w:pPr>
      <w:r>
        <w:rPr/>
        <w:t>报告期内，公司进一步加强了企业文化建设：组织员工集体活动，进一步活跃员工生 活，提升全员凝聚力，宣传公司企业文化；实施月度生日抢礼物活动，关怀员工，提升了 公司员工满意度；建设公司新内网，优化界面和内容，版块化呈现公司新闻和各项内容， 构建公司内部文化呈现新平台。</w:t>
      </w:r>
    </w:p>
    <w:p>
      <w:pPr>
        <w:pStyle w:val="BodyText"/>
        <w:spacing w:line="357" w:lineRule="auto"/>
        <w:ind w:right="269" w:firstLine="480"/>
        <w:jc w:val="left"/>
      </w:pPr>
      <w:r>
        <w:rPr/>
        <w:t>报告期内，公司进一步完善了员工激励机制：实施了预留限制性股票的第一期解锁和 首次授予的限制性股票第二期解锁，并通过设立员工持股计划，拟参与认购公司发行股份 购买资产配套融资中的非公开发行股份，使员工个人利益与公司利益得到有效结合在一 起，进一步稳定了员工，增强了员工归属感与向心力；开展了优秀员工出境游活动，增强 业绩优秀人员的荣誉感和自豪感；开展了企业文化奖评选工作，遴选公司范围内优秀团队 和个人，树立标杆，激励更多的团队和个人在公司平台上奋发有为。</w:t>
      </w:r>
    </w:p>
    <w:p>
      <w:pPr>
        <w:spacing w:line="240" w:lineRule="auto" w:before="12"/>
        <w:rPr>
          <w:rFonts w:ascii="宋体" w:hAnsi="宋体" w:cs="宋体" w:eastAsia="宋体" w:hint="default"/>
          <w:sz w:val="19"/>
          <w:szCs w:val="19"/>
        </w:rPr>
      </w:pPr>
    </w:p>
    <w:p>
      <w:pPr>
        <w:pStyle w:val="Heading2"/>
        <w:spacing w:line="240" w:lineRule="auto"/>
        <w:ind w:left="137" w:right="229"/>
        <w:jc w:val="left"/>
        <w:rPr>
          <w:b w:val="0"/>
          <w:bCs w:val="0"/>
        </w:rPr>
      </w:pPr>
      <w:r>
        <w:rPr>
          <w:rFonts w:ascii="Times New Roman" w:hAnsi="Times New Roman" w:cs="Times New Roman" w:eastAsia="Times New Roman" w:hint="default"/>
        </w:rPr>
        <w:t>5</w:t>
      </w:r>
      <w:r>
        <w:rPr/>
        <w:t>、品牌建设方面</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38" w:lineRule="auto" w:before="0"/>
        <w:ind w:right="165" w:firstLine="480"/>
        <w:jc w:val="both"/>
      </w:pPr>
      <w:r>
        <w:rPr/>
        <w:t>报告期内，公司在北京国际会议中心举办 </w:t>
      </w:r>
      <w:r>
        <w:rPr>
          <w:rFonts w:ascii="Times New Roman" w:hAnsi="Times New Roman" w:cs="Times New Roman" w:eastAsia="Times New Roman" w:hint="default"/>
        </w:rPr>
        <w:t>2015 SuperMap GIS </w:t>
      </w:r>
      <w:r>
        <w:rPr/>
        <w:t>技术大会。</w:t>
      </w:r>
      <w:r>
        <w:rPr>
          <w:spacing w:val="-63"/>
        </w:rPr>
        <w:t> </w:t>
      </w:r>
      <w:r>
        <w:rPr/>
        <w:t>大会以“不</w:t>
      </w:r>
      <w:r>
        <w:rPr/>
        <w:t> 一样的</w:t>
      </w:r>
      <w:r>
        <w:rPr>
          <w:spacing w:val="-63"/>
        </w:rPr>
        <w:t> </w:t>
      </w:r>
      <w:r>
        <w:rPr>
          <w:rFonts w:ascii="Times New Roman" w:hAnsi="Times New Roman" w:cs="Times New Roman" w:eastAsia="Times New Roman" w:hint="default"/>
        </w:rPr>
        <w:t>GIS</w:t>
      </w:r>
      <w:r>
        <w:rPr/>
        <w:t>，不一样的价值”为主题，集中展现前沿的</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技术、业界领先的</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58"/>
        </w:rPr>
        <w:t> </w:t>
      </w:r>
      <w:r>
        <w:rPr/>
        <w:t>平台软 件产品，以及丰富的行业解决方案，探讨新时代的</w:t>
      </w:r>
      <w:r>
        <w:rPr>
          <w:spacing w:val="-61"/>
        </w:rPr>
        <w:t> </w:t>
      </w:r>
      <w:r>
        <w:rPr>
          <w:rFonts w:ascii="Times New Roman" w:hAnsi="Times New Roman" w:cs="Times New Roman" w:eastAsia="Times New Roman" w:hint="default"/>
        </w:rPr>
        <w:t>GIS </w:t>
      </w:r>
      <w:r>
        <w:rPr/>
        <w:t>技术及应用发展趋势。本次会议吸 引了业内外专家、政府和企事业单位信息化从业者、科研及教育机构人员等约</w:t>
      </w:r>
      <w:r>
        <w:rPr>
          <w:spacing w:val="-59"/>
        </w:rPr>
        <w:t> </w:t>
      </w:r>
      <w:r>
        <w:rPr>
          <w:rFonts w:ascii="Times New Roman" w:hAnsi="Times New Roman" w:cs="Times New Roman" w:eastAsia="Times New Roman" w:hint="default"/>
        </w:rPr>
        <w:t>6000 </w:t>
      </w:r>
      <w:r>
        <w:rPr/>
        <w:t>人前来 参会，公司影响力得到进一步提升。</w:t>
      </w:r>
    </w:p>
    <w:p>
      <w:pPr>
        <w:pStyle w:val="BodyText"/>
        <w:spacing w:line="348" w:lineRule="auto" w:before="56"/>
        <w:ind w:right="151" w:firstLine="480"/>
        <w:jc w:val="left"/>
      </w:pPr>
      <w:r>
        <w:rPr/>
        <w:t>报告期内，公司携手倾斜摄影联盟、行业多家上下游公司分别在大连、沈阳、哈尔 滨、长春、深圳、重庆、杭州、北京、乌鲁木齐等</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个城市举办了全国倾斜摄影技术联盟 百城巡展，全面展示了倾斜摄影自动三维建模技术的优点及未来的广泛应用前景，着力突 出了倾斜摄影测量技术与三维</w:t>
      </w:r>
      <w:r>
        <w:rPr>
          <w:spacing w:val="-61"/>
        </w:rPr>
        <w:t> </w:t>
      </w:r>
      <w:r>
        <w:rPr>
          <w:rFonts w:ascii="Times New Roman" w:hAnsi="Times New Roman" w:cs="Times New Roman" w:eastAsia="Times New Roman" w:hint="default"/>
        </w:rPr>
        <w:t>GIS </w:t>
      </w:r>
      <w:r>
        <w:rPr/>
        <w:t>技术对新一代地理信息应用趋势的引领意义，在业界产 生的较大的反响。</w:t>
      </w:r>
    </w:p>
    <w:p>
      <w:pPr>
        <w:pStyle w:val="BodyText"/>
        <w:spacing w:line="338" w:lineRule="auto" w:before="46"/>
        <w:ind w:right="268" w:firstLine="480"/>
        <w:jc w:val="left"/>
      </w:pPr>
      <w:r>
        <w:rPr/>
        <w:t>报告期内，公司“云端一体化</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软件平台研发及产业化”项目获</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 </w:t>
      </w:r>
      <w:r>
        <w:rPr>
          <w:spacing w:val="-7"/>
        </w:rPr>
        <w:t>北京市科学技术奖一等奖（技术发明类），</w:t>
      </w:r>
      <w:r>
        <w:rPr>
          <w:spacing w:val="12"/>
        </w:rPr>
        <w:t> </w:t>
      </w:r>
      <w:r>
        <w:rPr/>
        <w:t>“国家数字城市地理空间框架技术体系构建与</w:t>
      </w:r>
    </w:p>
    <w:p>
      <w:pPr>
        <w:spacing w:after="0" w:line="338"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48" w:lineRule="auto" w:before="26"/>
        <w:ind w:right="285"/>
        <w:jc w:val="both"/>
      </w:pPr>
      <w:r>
        <w:rPr/>
        <w:t>应用”项目获国家科学技术进步二等奖，公司的研发实力得到充分认可；此外，在中国地 理信息产业大会颁发的</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中国地理信息产业优秀工程奖中，公司获得</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金</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银</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铜， 获奖项目涉及国土资源、数字城市、教育、应急救灾、地下管线、房地产等多个领域，这 表明，</w:t>
      </w:r>
      <w:r>
        <w:rPr>
          <w:spacing w:val="-4"/>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作为国产</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平台软件的代表，已经得到了多个行业的实际检验， 并取得了良好的成绩。</w:t>
      </w:r>
    </w:p>
    <w:p>
      <w:pPr>
        <w:spacing w:line="768" w:lineRule="exact" w:before="12"/>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、新兴业务发展方面</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报告期内，企业云服务与地图汇整合为地图慧，建立了大众制图、企业服务、商业分</w:t>
      </w:r>
    </w:p>
    <w:p>
      <w:pPr>
        <w:pStyle w:val="BodyText"/>
        <w:spacing w:line="338" w:lineRule="auto" w:before="34"/>
        <w:ind w:right="226"/>
        <w:jc w:val="both"/>
      </w:pPr>
      <w:r>
        <w:rPr/>
        <w:t>析三大产品体系，</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年底，地图慧新发布了数据资源服务，该模块将合作伙伴大数据从 地理纬度进行整合，为用户提供真实可靠的数据资源及服务。</w:t>
      </w:r>
    </w:p>
    <w:p>
      <w:pPr>
        <w:pStyle w:val="BodyText"/>
        <w:spacing w:line="345" w:lineRule="auto" w:before="55"/>
        <w:ind w:right="158" w:firstLine="480"/>
        <w:jc w:val="left"/>
      </w:pPr>
      <w:r>
        <w:rPr/>
        <w:t>报告期内，大众制图新发布上线了热力图展示模板，并发布上线了</w:t>
      </w:r>
      <w:r>
        <w:rPr>
          <w:spacing w:val="-60"/>
        </w:rPr>
        <w:t> </w:t>
      </w:r>
      <w:r>
        <w:rPr>
          <w:rFonts w:ascii="Times New Roman" w:hAnsi="Times New Roman" w:cs="Times New Roman" w:eastAsia="Times New Roman" w:hint="default"/>
        </w:rPr>
        <w:t>Android</w:t>
      </w:r>
      <w:r>
        <w:rPr>
          <w:rFonts w:ascii="Times New Roman" w:hAnsi="Times New Roman" w:cs="Times New Roman" w:eastAsia="Times New Roman" w:hint="default"/>
          <w:spacing w:val="-15"/>
        </w:rPr>
        <w:t> </w:t>
      </w:r>
      <w:r>
        <w:rPr>
          <w:rFonts w:ascii="Times New Roman" w:hAnsi="Times New Roman" w:cs="Times New Roman" w:eastAsia="Times New Roman" w:hint="default"/>
        </w:rPr>
        <w:t>APP</w:t>
      </w:r>
      <w:r>
        <w:rPr/>
        <w:t>，及 </w:t>
      </w:r>
      <w:r>
        <w:rPr>
          <w:rFonts w:ascii="Times New Roman" w:hAnsi="Times New Roman" w:cs="Times New Roman" w:eastAsia="Times New Roman" w:hint="default"/>
        </w:rPr>
        <w:t>IOS</w:t>
      </w:r>
      <w:r>
        <w:rPr>
          <w:rFonts w:ascii="Times New Roman" w:hAnsi="Times New Roman" w:cs="Times New Roman" w:eastAsia="Times New Roman" w:hint="default"/>
          <w:spacing w:val="-13"/>
        </w:rPr>
        <w:t> </w:t>
      </w:r>
      <w:r>
        <w:rPr>
          <w:rFonts w:ascii="Times New Roman" w:hAnsi="Times New Roman" w:cs="Times New Roman" w:eastAsia="Times New Roman" w:hint="default"/>
        </w:rPr>
        <w:t>APP</w:t>
      </w:r>
      <w:r>
        <w:rPr>
          <w:rFonts w:ascii="Times New Roman" w:hAnsi="Times New Roman" w:cs="Times New Roman" w:eastAsia="Times New Roman" w:hint="default"/>
          <w:spacing w:val="-1"/>
        </w:rPr>
        <w:t> </w:t>
      </w:r>
      <w:r>
        <w:rPr/>
        <w:t>多个版本，实现了</w:t>
      </w:r>
      <w:r>
        <w:rPr>
          <w:spacing w:val="-62"/>
        </w:rPr>
        <w:t> </w:t>
      </w:r>
      <w:r>
        <w:rPr>
          <w:rFonts w:ascii="Times New Roman" w:hAnsi="Times New Roman" w:cs="Times New Roman" w:eastAsia="Times New Roman" w:hint="default"/>
        </w:rPr>
        <w:t>PC</w:t>
      </w:r>
      <w:r>
        <w:rPr>
          <w:rFonts w:ascii="Times New Roman" w:hAnsi="Times New Roman" w:cs="Times New Roman" w:eastAsia="Times New Roman" w:hint="default"/>
          <w:spacing w:val="-2"/>
        </w:rPr>
        <w:t> </w:t>
      </w:r>
      <w:r>
        <w:rPr/>
        <w:t>端，</w:t>
      </w:r>
      <w:r>
        <w:rPr>
          <w:rFonts w:ascii="Times New Roman" w:hAnsi="Times New Roman" w:cs="Times New Roman" w:eastAsia="Times New Roman" w:hint="default"/>
        </w:rPr>
        <w:t>Andriod</w:t>
      </w:r>
      <w:r>
        <w:rPr/>
        <w:t>、</w:t>
      </w:r>
      <w:r>
        <w:rPr>
          <w:rFonts w:ascii="Times New Roman" w:hAnsi="Times New Roman" w:cs="Times New Roman" w:eastAsia="Times New Roman" w:hint="default"/>
        </w:rPr>
        <w:t>IOS</w:t>
      </w:r>
      <w:r>
        <w:rPr>
          <w:rFonts w:ascii="Times New Roman" w:hAnsi="Times New Roman" w:cs="Times New Roman" w:eastAsia="Times New Roman" w:hint="default"/>
          <w:spacing w:val="-2"/>
        </w:rPr>
        <w:t> </w:t>
      </w:r>
      <w:r>
        <w:rPr/>
        <w:t>等多端统一；企业服务产品发布上线并 迭代更新至</w:t>
      </w:r>
      <w:r>
        <w:rPr>
          <w:spacing w:val="-61"/>
        </w:rPr>
        <w:t> </w:t>
      </w:r>
      <w:r>
        <w:rPr>
          <w:rFonts w:ascii="Times New Roman" w:hAnsi="Times New Roman" w:cs="Times New Roman" w:eastAsia="Times New Roman" w:hint="default"/>
        </w:rPr>
        <w:t>V1.5</w:t>
      </w:r>
      <w:r>
        <w:rPr>
          <w:rFonts w:ascii="Times New Roman" w:hAnsi="Times New Roman" w:cs="Times New Roman" w:eastAsia="Times New Roman" w:hint="default"/>
          <w:spacing w:val="-1"/>
        </w:rPr>
        <w:t> </w:t>
      </w:r>
      <w:r>
        <w:rPr/>
        <w:t>版本，优化了网点管理、区划管理、分单管理的用户体验，并增加了统计 分析、地址匹配、地址纠错、路线规划等新的产品模块；商业分析设计并开发了慧选址产 品，用户只需注册便可在线体验产品的功能，同时规划并设计了慧分析等地理商业类产 品。</w:t>
      </w:r>
    </w:p>
    <w:p>
      <w:pPr>
        <w:pStyle w:val="BodyText"/>
        <w:spacing w:line="350" w:lineRule="auto" w:before="48"/>
        <w:ind w:right="149" w:firstLine="480"/>
        <w:jc w:val="left"/>
      </w:pPr>
      <w:r>
        <w:rPr/>
        <w:t>报告期内，地图慧大众制图注册用户已超过</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万，并新签署了全峰快递、龙邦快递、 航天恒星、美的、中铁物流等客户，中标海尔车辆轨迹等项目。此外，地图慧获得第十二 </w:t>
      </w:r>
      <w:r>
        <w:rPr>
          <w:spacing w:val="-3"/>
        </w:rPr>
        <w:t>届中国国际物流节暨第十五届中国国际运输与物流博览会颁发的“物流科技服务金奖”，这</w:t>
      </w:r>
      <w:r>
        <w:rPr/>
        <w:t> 也是国内首家及唯一一家获奖的企业地图服务品牌。</w:t>
      </w:r>
    </w:p>
    <w:p>
      <w:pPr>
        <w:pStyle w:val="BodyText"/>
        <w:spacing w:line="357" w:lineRule="auto" w:before="43"/>
        <w:ind w:right="149" w:firstLine="600"/>
        <w:jc w:val="left"/>
      </w:pPr>
      <w:r>
        <w:rPr/>
        <w:t>报告期内，公司将地图慧业务进行剥离，并以地图慧部分资产及货币资金作为出资， 与管理团队共同设立成都地图慧科技公司，地图慧科技公司的设立有利于建立符合地图慧 业务特点的研发管理、市场营销和人员激励等体制，有利于促进新型互联网业务的发展。 未来，公司针对地图慧类似的创新业务，将采取更为多样化的组织架构和投资方式，鼓励 公司内部及行业内年轻精英与超图一些携手发展，探索多样地理信息服务模式、创新商业 模式。</w:t>
      </w:r>
    </w:p>
    <w:p>
      <w:pPr>
        <w:spacing w:line="240" w:lineRule="auto" w:before="11"/>
        <w:rPr>
          <w:rFonts w:ascii="宋体" w:hAnsi="宋体" w:cs="宋体" w:eastAsia="宋体" w:hint="default"/>
          <w:sz w:val="19"/>
          <w:szCs w:val="19"/>
        </w:rPr>
      </w:pPr>
    </w:p>
    <w:p>
      <w:pPr>
        <w:pStyle w:val="Heading2"/>
        <w:spacing w:line="240" w:lineRule="auto"/>
        <w:ind w:left="137" w:right="0"/>
        <w:jc w:val="both"/>
        <w:rPr>
          <w:b w:val="0"/>
          <w:bCs w:val="0"/>
        </w:rPr>
      </w:pPr>
      <w:r>
        <w:rPr>
          <w:rFonts w:ascii="Times New Roman" w:hAnsi="Times New Roman" w:cs="Times New Roman" w:eastAsia="Times New Roman" w:hint="default"/>
        </w:rPr>
        <w:t>7</w:t>
      </w:r>
      <w:r>
        <w:rPr/>
        <w:t>、国际化方面</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t>报告期内，公司进一步加强了市场开拓，在印度、印尼、巴基斯坦、南非、泰国、俄</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45" w:lineRule="auto" w:before="26"/>
        <w:ind w:right="154"/>
        <w:jc w:val="left"/>
      </w:pPr>
      <w:r>
        <w:rPr/>
        <w:t>罗斯、埃及、巴西等地发展了新的代理商；公司的产品新增应用于新加坡政府核心部门 </w:t>
      </w:r>
      <w:r>
        <w:rPr>
          <w:rFonts w:ascii="Times New Roman" w:hAnsi="Times New Roman" w:cs="Times New Roman" w:eastAsia="Times New Roman" w:hint="default"/>
          <w:spacing w:val="-5"/>
          <w:w w:val="99"/>
        </w:rPr>
        <w:t>MHA</w:t>
      </w:r>
      <w:r>
        <w:rPr>
          <w:spacing w:val="-5"/>
          <w:w w:val="99"/>
        </w:rPr>
        <w:t>、马来西亚能源公司（</w:t>
      </w:r>
      <w:r>
        <w:rPr>
          <w:rFonts w:ascii="Times New Roman" w:hAnsi="Times New Roman" w:cs="Times New Roman" w:eastAsia="Times New Roman" w:hint="default"/>
          <w:spacing w:val="-5"/>
          <w:w w:val="99"/>
        </w:rPr>
        <w:t>SEB</w:t>
      </w:r>
      <w:r>
        <w:rPr>
          <w:spacing w:val="-5"/>
          <w:w w:val="99"/>
        </w:rPr>
        <w:t>）、柬埔寨农业移动</w:t>
      </w:r>
      <w:r>
        <w:rPr>
          <w:spacing w:val="-60"/>
          <w:w w:val="99"/>
        </w:rPr>
        <w:t> </w:t>
      </w:r>
      <w:r>
        <w:rPr>
          <w:rFonts w:ascii="Times New Roman" w:hAnsi="Times New Roman" w:cs="Times New Roman" w:eastAsia="Times New Roman" w:hint="default"/>
          <w:w w:val="99"/>
        </w:rPr>
        <w:t>APP1 </w:t>
      </w:r>
      <w:r>
        <w:rPr/>
        <w:t>期</w:t>
      </w:r>
      <w:r>
        <w:rPr>
          <w:spacing w:val="-60"/>
        </w:rPr>
        <w:t> </w:t>
      </w:r>
      <w:r>
        <w:rPr>
          <w:rFonts w:ascii="Times New Roman" w:hAnsi="Times New Roman" w:cs="Times New Roman" w:eastAsia="Times New Roman" w:hint="default"/>
        </w:rPr>
        <w:t>2 </w:t>
      </w:r>
      <w:r>
        <w:rPr/>
        <w:t>期以及俄罗斯国家石油公司 等；此外，联合当地代理商，实现了中石油海外油田</w:t>
      </w:r>
      <w:r>
        <w:rPr>
          <w:spacing w:val="-61"/>
        </w:rPr>
        <w:t> </w:t>
      </w:r>
      <w:r>
        <w:rPr>
          <w:rFonts w:ascii="Times New Roman" w:hAnsi="Times New Roman" w:cs="Times New Roman" w:eastAsia="Times New Roman" w:hint="default"/>
        </w:rPr>
        <w:t>GIS </w:t>
      </w:r>
      <w:r>
        <w:rPr/>
        <w:t>平台切换为我公司产品（中东、 </w:t>
      </w:r>
      <w:r>
        <w:rPr>
          <w:spacing w:val="-21"/>
        </w:rPr>
        <w:t>俄罗斯等）。</w:t>
      </w:r>
    </w:p>
    <w:p>
      <w:pPr>
        <w:pStyle w:val="BodyText"/>
        <w:spacing w:line="348" w:lineRule="auto" w:before="48"/>
        <w:ind w:right="191" w:firstLine="480"/>
        <w:jc w:val="left"/>
      </w:pPr>
      <w:r>
        <w:rPr/>
        <w:t>报告期内，公司进一步加强了市场宣传工作，在中东、非洲、东南亚、拉美等地参加 了</w:t>
      </w:r>
      <w:r>
        <w:rPr>
          <w:spacing w:val="-59"/>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spacing w:val="-3"/>
          <w:w w:val="99"/>
        </w:rPr>
        <w:t>展；研发并上线了马来官网（</w:t>
      </w:r>
      <w:hyperlink r:id="rId17">
        <w:r>
          <w:rPr>
            <w:rFonts w:ascii="Times New Roman" w:hAnsi="Times New Roman" w:cs="Times New Roman" w:eastAsia="Times New Roman" w:hint="default"/>
            <w:spacing w:val="-3"/>
            <w:w w:val="99"/>
          </w:rPr>
          <w:t>www.supermap.com.my</w:t>
        </w:r>
      </w:hyperlink>
      <w:r>
        <w:rPr>
          <w:spacing w:val="-3"/>
          <w:w w:val="99"/>
        </w:rPr>
        <w:t>），以马来西亚和新加坡为据点</w:t>
      </w:r>
      <w:r>
        <w:rPr>
          <w:w w:val="99"/>
        </w:rPr>
        <w:t> </w:t>
      </w:r>
      <w:r>
        <w:rPr/>
        <w:t>辐射整个东南亚。</w:t>
      </w:r>
    </w:p>
    <w:p>
      <w:pPr>
        <w:pStyle w:val="Heading2"/>
        <w:spacing w:line="240" w:lineRule="auto" w:before="193"/>
        <w:ind w:left="137" w:right="229"/>
        <w:jc w:val="left"/>
        <w:rPr>
          <w:b w:val="0"/>
          <w:bCs w:val="0"/>
        </w:rPr>
      </w:pPr>
      <w:bookmarkStart w:name="_bookmark16" w:id="17"/>
      <w:bookmarkEnd w:id="17"/>
      <w:r>
        <w:rPr>
          <w:b w:val="0"/>
          <w:bCs w:val="0"/>
        </w:rPr>
      </w:r>
      <w:r>
        <w:rPr/>
        <w:t>二、主营业务分析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、概述</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t>参见</w:t>
      </w:r>
      <w:r>
        <w:rPr>
          <w:rFonts w:ascii="Calibri" w:hAnsi="Calibri" w:cs="Calibri" w:eastAsia="Calibri" w:hint="default"/>
        </w:rPr>
        <w:t>“</w:t>
      </w:r>
      <w:r>
        <w:rPr/>
        <w:t>管理层讨论与分析</w:t>
      </w:r>
      <w:r>
        <w:rPr>
          <w:rFonts w:ascii="Calibri" w:hAnsi="Calibri" w:cs="Calibri" w:eastAsia="Calibri" w:hint="default"/>
        </w:rPr>
        <w:t>”</w:t>
      </w:r>
      <w:r>
        <w:rPr/>
        <w:t>中的</w:t>
      </w:r>
      <w:r>
        <w:rPr>
          <w:rFonts w:ascii="Calibri" w:hAnsi="Calibri" w:cs="Calibri" w:eastAsia="Calibri" w:hint="default"/>
        </w:rPr>
        <w:t>“</w:t>
      </w:r>
      <w:r>
        <w:rPr/>
        <w:t>一、概述</w:t>
      </w:r>
      <w:r>
        <w:rPr>
          <w:rFonts w:ascii="Calibri" w:hAnsi="Calibri" w:cs="Calibri" w:eastAsia="Calibri" w:hint="default"/>
        </w:rPr>
        <w:t>”</w:t>
      </w:r>
      <w:r>
        <w:rPr/>
        <w:t>相关内容。</w:t>
      </w:r>
    </w:p>
    <w:p>
      <w:pPr>
        <w:spacing w:line="240" w:lineRule="auto" w:before="7"/>
        <w:rPr>
          <w:rFonts w:ascii="宋体" w:hAnsi="宋体" w:cs="宋体" w:eastAsia="宋体" w:hint="default"/>
          <w:sz w:val="26"/>
          <w:szCs w:val="26"/>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before="0"/>
        <w:ind w:left="137" w:right="22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）营业收入构成</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25"/>
          <w:szCs w:val="25"/>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1555"/>
        <w:gridCol w:w="1654"/>
        <w:gridCol w:w="1570"/>
        <w:gridCol w:w="1908"/>
        <w:gridCol w:w="1527"/>
        <w:gridCol w:w="1274"/>
      </w:tblGrid>
      <w:tr>
        <w:trPr>
          <w:trHeight w:val="322" w:hRule="exact"/>
        </w:trPr>
        <w:tc>
          <w:tcPr>
            <w:tcW w:w="1555" w:type="dxa"/>
            <w:vMerge w:val="restart"/>
            <w:tcBorders>
              <w:top w:val="single" w:sz="4" w:space="0" w:color="000000"/>
              <w:left w:val="single" w:sz="4" w:space="0" w:color="000000"/>
              <w:right w:val="single" w:sz="4" w:space="0" w:color="000000"/>
            </w:tcBorders>
            <w:shd w:val="clear" w:color="auto" w:fill="D9D9D9"/>
          </w:tcPr>
          <w:p>
            <w:pPr/>
          </w:p>
        </w:tc>
        <w:tc>
          <w:tcPr>
            <w:tcW w:w="322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4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tc>
      </w:tr>
      <w:tr>
        <w:trPr>
          <w:trHeight w:val="634" w:hRule="exact"/>
        </w:trPr>
        <w:tc>
          <w:tcPr>
            <w:tcW w:w="1555" w:type="dxa"/>
            <w:vMerge/>
            <w:tcBorders>
              <w:left w:val="single" w:sz="4" w:space="0" w:color="000000"/>
              <w:bottom w:val="single" w:sz="4" w:space="0" w:color="000000"/>
              <w:right w:val="single" w:sz="4" w:space="0" w:color="000000"/>
            </w:tcBorders>
            <w:shd w:val="clear" w:color="auto" w:fill="D9D9D9"/>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占营业收入比重</w:t>
            </w:r>
            <w:r>
              <w:rPr>
                <w:rFonts w:ascii="Microsoft JhengHei" w:hAnsi="Microsoft JhengHei" w:cs="Microsoft JhengHei" w:eastAsia="Microsoft JhengHei" w:hint="default"/>
                <w:sz w:val="21"/>
                <w:szCs w:val="21"/>
              </w:rPr>
            </w:r>
          </w:p>
        </w:tc>
        <w:tc>
          <w:tcPr>
            <w:tcW w:w="1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占营业收入比</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重</w:t>
            </w:r>
            <w:r>
              <w:rPr>
                <w:rFonts w:ascii="Microsoft JhengHei" w:hAnsi="Microsoft JhengHei" w:cs="Microsoft JhengHei" w:eastAsia="Microsoft JhengHei" w:hint="default"/>
                <w:w w:val="100"/>
                <w:sz w:val="21"/>
                <w:szCs w:val="21"/>
              </w:rPr>
            </w:r>
          </w:p>
        </w:tc>
        <w:tc>
          <w:tcPr>
            <w:tcW w:w="1274"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9489"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sz w:val="21"/>
                <w:szCs w:val="21"/>
              </w:rPr>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软件</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452,341,602.93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96.83%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347,987,172.27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96.37%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29.99%</w:t>
            </w:r>
          </w:p>
        </w:tc>
      </w:tr>
      <w:tr>
        <w:trPr>
          <w:trHeight w:val="322" w:hRule="exact"/>
        </w:trPr>
        <w:tc>
          <w:tcPr>
            <w:tcW w:w="9489"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分产品</w:t>
            </w:r>
            <w:r>
              <w:rPr>
                <w:rFonts w:ascii="Microsoft JhengHei" w:hAnsi="Microsoft JhengHei" w:cs="Microsoft JhengHei" w:eastAsia="Microsoft JhengHei" w:hint="default"/>
                <w:sz w:val="21"/>
                <w:szCs w:val="21"/>
              </w:rPr>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419,306,235.46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89.76%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324,276,030.02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89.80%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29.31%</w:t>
            </w:r>
          </w:p>
        </w:tc>
      </w:tr>
      <w:tr>
        <w:trPr>
          <w:trHeight w:val="637"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662" w:right="52" w:hanging="615"/>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软件配套产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33,035,367.47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7.07%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23,711,142.25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85" w:right="0"/>
              <w:jc w:val="left"/>
              <w:rPr>
                <w:rFonts w:ascii="Times New Roman" w:hAnsi="Times New Roman" w:cs="Times New Roman" w:eastAsia="Times New Roman" w:hint="default"/>
                <w:sz w:val="21"/>
                <w:szCs w:val="21"/>
              </w:rPr>
            </w:pPr>
            <w:r>
              <w:rPr>
                <w:rFonts w:ascii="Times New Roman"/>
                <w:sz w:val="21"/>
              </w:rPr>
              <w:t>6.57%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39.32%</w:t>
            </w:r>
          </w:p>
        </w:tc>
      </w:tr>
      <w:tr>
        <w:trPr>
          <w:trHeight w:val="322" w:hRule="exact"/>
        </w:trPr>
        <w:tc>
          <w:tcPr>
            <w:tcW w:w="9489"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分地区</w:t>
            </w:r>
            <w:r>
              <w:rPr>
                <w:rFonts w:ascii="Microsoft JhengHei" w:hAnsi="Microsoft JhengHei" w:cs="Microsoft JhengHei" w:eastAsia="Microsoft JhengHei" w:hint="default"/>
                <w:sz w:val="21"/>
                <w:szCs w:val="21"/>
              </w:rPr>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北京</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2"/>
                <w:sz w:val="21"/>
              </w:rPr>
              <w:t>99,556,347.11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21.31%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72,909,867.30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20.19%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36.55%</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华东</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80,672,434.77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17.27%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56,011,521.12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15.51%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44.03%</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华南</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56,304,075.14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48,306,193.76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13.38%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16.56%</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华北</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47,741,313.83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10.22%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45,224,202.48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2" w:right="0"/>
              <w:jc w:val="left"/>
              <w:rPr>
                <w:rFonts w:ascii="Times New Roman" w:hAnsi="Times New Roman" w:cs="Times New Roman" w:eastAsia="Times New Roman" w:hint="default"/>
                <w:sz w:val="21"/>
                <w:szCs w:val="21"/>
              </w:rPr>
            </w:pPr>
            <w:r>
              <w:rPr>
                <w:rFonts w:ascii="Times New Roman"/>
                <w:sz w:val="21"/>
              </w:rPr>
              <w:t>12.52%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5.57%</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华中</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38,178,750.24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8.17%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34,686,890.69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5" w:right="0"/>
              <w:jc w:val="left"/>
              <w:rPr>
                <w:rFonts w:ascii="Times New Roman" w:hAnsi="Times New Roman" w:cs="Times New Roman" w:eastAsia="Times New Roman" w:hint="default"/>
                <w:sz w:val="21"/>
                <w:szCs w:val="21"/>
              </w:rPr>
            </w:pPr>
            <w:r>
              <w:rPr>
                <w:rFonts w:ascii="Times New Roman"/>
                <w:sz w:val="21"/>
              </w:rPr>
              <w:t>9.61%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10.07%</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西北</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37,038,055.77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7.93%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30,199,261.52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5" w:right="0"/>
              <w:jc w:val="left"/>
              <w:rPr>
                <w:rFonts w:ascii="Times New Roman" w:hAnsi="Times New Roman" w:cs="Times New Roman" w:eastAsia="Times New Roman" w:hint="default"/>
                <w:sz w:val="21"/>
                <w:szCs w:val="21"/>
              </w:rPr>
            </w:pPr>
            <w:r>
              <w:rPr>
                <w:rFonts w:ascii="Times New Roman"/>
                <w:sz w:val="21"/>
              </w:rPr>
              <w:t>8.36%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22.65%</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东北</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27,041,763.27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5.79%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24,314,997.97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5" w:right="0"/>
              <w:jc w:val="left"/>
              <w:rPr>
                <w:rFonts w:ascii="Times New Roman" w:hAnsi="Times New Roman" w:cs="Times New Roman" w:eastAsia="Times New Roman" w:hint="default"/>
                <w:sz w:val="21"/>
                <w:szCs w:val="21"/>
              </w:rPr>
            </w:pPr>
            <w:r>
              <w:rPr>
                <w:rFonts w:ascii="Times New Roman"/>
                <w:sz w:val="21"/>
              </w:rPr>
              <w:t>6.73%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11.21%</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西南</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51,008,727.73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10.92%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22,040,794.06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5" w:right="0"/>
              <w:jc w:val="left"/>
              <w:rPr>
                <w:rFonts w:ascii="Times New Roman" w:hAnsi="Times New Roman" w:cs="Times New Roman" w:eastAsia="Times New Roman" w:hint="default"/>
                <w:sz w:val="21"/>
                <w:szCs w:val="21"/>
              </w:rPr>
            </w:pPr>
            <w:r>
              <w:rPr>
                <w:rFonts w:ascii="Times New Roman"/>
                <w:sz w:val="21"/>
              </w:rPr>
              <w:t>6.10%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131.43%</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国际</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14,800,135.07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3.17%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14,293,443.37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5" w:right="0"/>
              <w:jc w:val="left"/>
              <w:rPr>
                <w:rFonts w:ascii="Times New Roman" w:hAnsi="Times New Roman" w:cs="Times New Roman" w:eastAsia="Times New Roman" w:hint="default"/>
                <w:sz w:val="21"/>
                <w:szCs w:val="21"/>
              </w:rPr>
            </w:pPr>
            <w:r>
              <w:rPr>
                <w:rFonts w:ascii="Times New Roman"/>
                <w:sz w:val="21"/>
              </w:rPr>
              <w:t>3.96%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3.54%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346"/>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8"/>
        <w:rPr>
          <w:rFonts w:ascii="宋体" w:hAnsi="宋体" w:cs="宋体" w:eastAsia="宋体" w:hint="default"/>
          <w:sz w:val="8"/>
          <w:szCs w:val="8"/>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66" w:type="dxa"/>
        <w:tblLayout w:type="fixed"/>
        <w:tblCellMar>
          <w:top w:w="0" w:type="dxa"/>
          <w:left w:w="0" w:type="dxa"/>
          <w:bottom w:w="0" w:type="dxa"/>
          <w:right w:w="0" w:type="dxa"/>
        </w:tblCellMar>
        <w:tblLook w:val="01E0"/>
      </w:tblPr>
      <w:tblGrid>
        <w:gridCol w:w="1274"/>
        <w:gridCol w:w="1460"/>
        <w:gridCol w:w="1486"/>
        <w:gridCol w:w="1246"/>
        <w:gridCol w:w="1368"/>
        <w:gridCol w:w="1366"/>
        <w:gridCol w:w="1373"/>
      </w:tblGrid>
      <w:tr>
        <w:trPr>
          <w:trHeight w:val="946"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毛利率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年同期增减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营业成本比上</w:t>
            </w:r>
            <w:r>
              <w:rPr>
                <w:rFonts w:ascii="Microsoft JhengHei" w:hAnsi="Microsoft JhengHei" w:cs="Microsoft JhengHei" w:eastAsia="Microsoft JhengHei" w:hint="default"/>
                <w:sz w:val="21"/>
                <w:szCs w:val="21"/>
              </w:rPr>
            </w:r>
          </w:p>
          <w:p>
            <w:pPr>
              <w:pStyle w:val="TableParagraph"/>
              <w:spacing w:line="312"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年同期增减</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毛利率比上年</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同期增减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分行业</w:t>
            </w:r>
          </w:p>
        </w:tc>
      </w:tr>
      <w:tr>
        <w:trPr>
          <w:trHeight w:val="41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1" w:right="0"/>
              <w:jc w:val="left"/>
              <w:rPr>
                <w:rFonts w:ascii="Times New Roman" w:hAnsi="Times New Roman" w:cs="Times New Roman" w:eastAsia="Times New Roman" w:hint="default"/>
                <w:sz w:val="21"/>
                <w:szCs w:val="21"/>
              </w:rPr>
            </w:pPr>
            <w:r>
              <w:rPr>
                <w:rFonts w:ascii="Times New Roman"/>
                <w:sz w:val="21"/>
              </w:rPr>
              <w:t>452,341,602.93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 w:right="0"/>
              <w:jc w:val="left"/>
              <w:rPr>
                <w:rFonts w:ascii="Times New Roman" w:hAnsi="Times New Roman" w:cs="Times New Roman" w:eastAsia="Times New Roman" w:hint="default"/>
                <w:sz w:val="21"/>
                <w:szCs w:val="21"/>
              </w:rPr>
            </w:pPr>
            <w:r>
              <w:rPr>
                <w:rFonts w:ascii="Times New Roman"/>
                <w:sz w:val="21"/>
              </w:rPr>
              <w:t>163,365,554.26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Times New Roman" w:hAnsi="Times New Roman" w:cs="Times New Roman" w:eastAsia="Times New Roman" w:hint="default"/>
                <w:sz w:val="21"/>
                <w:szCs w:val="21"/>
              </w:rPr>
            </w:pPr>
            <w:r>
              <w:rPr>
                <w:rFonts w:ascii="Times New Roman"/>
                <w:sz w:val="21"/>
              </w:rPr>
              <w:t>63.88%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2" w:right="0"/>
              <w:jc w:val="left"/>
              <w:rPr>
                <w:rFonts w:ascii="Times New Roman" w:hAnsi="Times New Roman" w:cs="Times New Roman" w:eastAsia="Times New Roman" w:hint="default"/>
                <w:sz w:val="21"/>
                <w:szCs w:val="21"/>
              </w:rPr>
            </w:pPr>
            <w:r>
              <w:rPr>
                <w:rFonts w:ascii="Times New Roman"/>
                <w:sz w:val="21"/>
              </w:rPr>
              <w:t>29.99%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37.64%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-2.01%</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分产品</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419,306,235.46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9" w:right="0"/>
              <w:jc w:val="left"/>
              <w:rPr>
                <w:rFonts w:ascii="Times New Roman" w:hAnsi="Times New Roman" w:cs="Times New Roman" w:eastAsia="Times New Roman" w:hint="default"/>
                <w:sz w:val="21"/>
                <w:szCs w:val="21"/>
              </w:rPr>
            </w:pPr>
            <w:r>
              <w:rPr>
                <w:rFonts w:ascii="Times New Roman"/>
                <w:sz w:val="21"/>
              </w:rPr>
              <w:t>135,573,248.24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29.31%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-1.74%</w:t>
            </w:r>
          </w:p>
        </w:tc>
      </w:tr>
      <w:tr>
        <w:trPr>
          <w:trHeight w:val="63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314" w:right="120" w:hanging="195"/>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软件配</w:t>
            </w:r>
            <w:r>
              <w:rPr>
                <w:rFonts w:ascii="宋体" w:hAnsi="宋体" w:cs="宋体" w:eastAsia="宋体" w:hint="default"/>
                <w:w w:val="100"/>
                <w:sz w:val="21"/>
                <w:szCs w:val="21"/>
              </w:rPr>
              <w:t> </w:t>
            </w:r>
            <w:r>
              <w:rPr>
                <w:rFonts w:ascii="宋体" w:hAnsi="宋体" w:cs="宋体" w:eastAsia="宋体" w:hint="default"/>
                <w:sz w:val="21"/>
                <w:szCs w:val="21"/>
              </w:rPr>
              <w:t>套产品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33,035,367.47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 w:right="0"/>
              <w:jc w:val="left"/>
              <w:rPr>
                <w:rFonts w:ascii="Times New Roman" w:hAnsi="Times New Roman" w:cs="Times New Roman" w:eastAsia="Times New Roman" w:hint="default"/>
                <w:sz w:val="21"/>
                <w:szCs w:val="21"/>
              </w:rPr>
            </w:pPr>
            <w:r>
              <w:rPr>
                <w:rFonts w:ascii="Times New Roman"/>
                <w:sz w:val="21"/>
              </w:rPr>
              <w:t>27,792,306.02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39.32%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分地区</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3"/>
              <w:jc w:val="right"/>
              <w:rPr>
                <w:rFonts w:ascii="Times New Roman" w:hAnsi="Times New Roman" w:cs="Times New Roman" w:eastAsia="Times New Roman" w:hint="default"/>
                <w:sz w:val="21"/>
                <w:szCs w:val="21"/>
              </w:rPr>
            </w:pPr>
            <w:r>
              <w:rPr>
                <w:rFonts w:ascii="Times New Roman"/>
                <w:spacing w:val="-2"/>
                <w:sz w:val="21"/>
              </w:rPr>
              <w:t>99,556,347.11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44,777,347.83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36.55%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46.12%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80,672,434.77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19,248,696.25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76.14%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44.03%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32.60%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2.06%</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56,304,075.14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15,236,293.98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72.94%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16.56%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46.87%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-5.59%</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47,741,313.83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17,314,144.77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5" w:right="0"/>
              <w:jc w:val="left"/>
              <w:rPr>
                <w:rFonts w:ascii="Times New Roman" w:hAnsi="Times New Roman" w:cs="Times New Roman" w:eastAsia="Times New Roman" w:hint="default"/>
                <w:sz w:val="21"/>
                <w:szCs w:val="21"/>
              </w:rPr>
            </w:pPr>
            <w:r>
              <w:rPr>
                <w:rFonts w:ascii="Times New Roman"/>
                <w:sz w:val="21"/>
              </w:rPr>
              <w:t>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25.28%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-5.71%</w:t>
            </w:r>
          </w:p>
        </w:tc>
      </w:tr>
      <w:tr>
        <w:trPr>
          <w:trHeight w:val="32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18"/>
              <w:jc w:val="right"/>
              <w:rPr>
                <w:rFonts w:ascii="Times New Roman" w:hAnsi="Times New Roman" w:cs="Times New Roman" w:eastAsia="Times New Roman" w:hint="default"/>
                <w:sz w:val="21"/>
                <w:szCs w:val="21"/>
              </w:rPr>
            </w:pPr>
            <w:r>
              <w:rPr>
                <w:rFonts w:ascii="Times New Roman"/>
                <w:spacing w:val="-1"/>
                <w:sz w:val="21"/>
              </w:rPr>
              <w:t>38,178,750.24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32"/>
              <w:jc w:val="right"/>
              <w:rPr>
                <w:rFonts w:ascii="Times New Roman" w:hAnsi="Times New Roman" w:cs="Times New Roman" w:eastAsia="Times New Roman" w:hint="default"/>
                <w:sz w:val="21"/>
                <w:szCs w:val="21"/>
              </w:rPr>
            </w:pPr>
            <w:r>
              <w:rPr>
                <w:rFonts w:ascii="Times New Roman"/>
                <w:spacing w:val="-1"/>
                <w:sz w:val="21"/>
              </w:rPr>
              <w:t>18,283,674.10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2" w:right="0"/>
              <w:jc w:val="left"/>
              <w:rPr>
                <w:rFonts w:ascii="Times New Roman" w:hAnsi="Times New Roman" w:cs="Times New Roman" w:eastAsia="Times New Roman" w:hint="default"/>
                <w:sz w:val="21"/>
                <w:szCs w:val="21"/>
              </w:rPr>
            </w:pPr>
            <w:r>
              <w:rPr>
                <w:rFonts w:ascii="Times New Roman"/>
                <w:sz w:val="21"/>
              </w:rPr>
              <w:t>10.07%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21.76%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-4.60%</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37,038,055.77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17,285,736.05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22.65%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22.55%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0.04%</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27,041,763.27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5"/>
              <w:jc w:val="right"/>
              <w:rPr>
                <w:rFonts w:ascii="Times New Roman" w:hAnsi="Times New Roman" w:cs="Times New Roman" w:eastAsia="Times New Roman" w:hint="default"/>
                <w:sz w:val="21"/>
                <w:szCs w:val="21"/>
              </w:rPr>
            </w:pPr>
            <w:r>
              <w:rPr>
                <w:rFonts w:ascii="Times New Roman"/>
                <w:spacing w:val="-1"/>
                <w:sz w:val="21"/>
              </w:rPr>
              <w:t>8,780,683.20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7" w:right="0"/>
              <w:jc w:val="left"/>
              <w:rPr>
                <w:rFonts w:ascii="Times New Roman" w:hAnsi="Times New Roman" w:cs="Times New Roman" w:eastAsia="Times New Roman" w:hint="default"/>
                <w:sz w:val="21"/>
                <w:szCs w:val="21"/>
              </w:rPr>
            </w:pPr>
            <w:r>
              <w:rPr>
                <w:rFonts w:ascii="Times New Roman"/>
                <w:sz w:val="21"/>
              </w:rPr>
              <w:t>11.21%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-2.38%</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51,008,727.73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2"/>
              <w:jc w:val="right"/>
              <w:rPr>
                <w:rFonts w:ascii="Times New Roman" w:hAnsi="Times New Roman" w:cs="Times New Roman" w:eastAsia="Times New Roman" w:hint="default"/>
                <w:sz w:val="21"/>
                <w:szCs w:val="21"/>
              </w:rPr>
            </w:pPr>
            <w:r>
              <w:rPr>
                <w:rFonts w:ascii="Times New Roman"/>
                <w:spacing w:val="-1"/>
                <w:sz w:val="21"/>
              </w:rPr>
              <w:t>17,028,223.72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0" w:right="0"/>
              <w:jc w:val="left"/>
              <w:rPr>
                <w:rFonts w:ascii="Times New Roman" w:hAnsi="Times New Roman" w:cs="Times New Roman" w:eastAsia="Times New Roman" w:hint="default"/>
                <w:sz w:val="21"/>
                <w:szCs w:val="21"/>
              </w:rPr>
            </w:pPr>
            <w:r>
              <w:rPr>
                <w:rFonts w:ascii="Times New Roman"/>
                <w:sz w:val="21"/>
              </w:rPr>
              <w:t>131.43%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140.45%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-1.25%</w:t>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国际</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8"/>
              <w:jc w:val="right"/>
              <w:rPr>
                <w:rFonts w:ascii="Times New Roman" w:hAnsi="Times New Roman" w:cs="Times New Roman" w:eastAsia="Times New Roman" w:hint="default"/>
                <w:sz w:val="21"/>
                <w:szCs w:val="21"/>
              </w:rPr>
            </w:pPr>
            <w:r>
              <w:rPr>
                <w:rFonts w:ascii="Times New Roman"/>
                <w:spacing w:val="-1"/>
                <w:sz w:val="21"/>
              </w:rPr>
              <w:t>14,800,135.07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5"/>
              <w:jc w:val="right"/>
              <w:rPr>
                <w:rFonts w:ascii="Times New Roman" w:hAnsi="Times New Roman" w:cs="Times New Roman" w:eastAsia="Times New Roman" w:hint="default"/>
                <w:sz w:val="21"/>
                <w:szCs w:val="21"/>
              </w:rPr>
            </w:pPr>
            <w:r>
              <w:rPr>
                <w:rFonts w:ascii="Times New Roman"/>
                <w:spacing w:val="-1"/>
                <w:sz w:val="21"/>
              </w:rPr>
              <w:t>5,410,754.36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5" w:right="0"/>
              <w:jc w:val="left"/>
              <w:rPr>
                <w:rFonts w:ascii="Times New Roman" w:hAnsi="Times New Roman" w:cs="Times New Roman" w:eastAsia="Times New Roman" w:hint="default"/>
                <w:sz w:val="21"/>
                <w:szCs w:val="21"/>
              </w:rPr>
            </w:pPr>
            <w:r>
              <w:rPr>
                <w:rFonts w:ascii="Times New Roman"/>
                <w:sz w:val="21"/>
              </w:rPr>
              <w:t>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4.12%</w:t>
            </w:r>
          </w:p>
        </w:tc>
      </w:tr>
    </w:tbl>
    <w:p>
      <w:pPr>
        <w:pStyle w:val="BodyText"/>
        <w:spacing w:line="326" w:lineRule="auto" w:before="39"/>
        <w:ind w:right="346" w:firstLine="480"/>
        <w:jc w:val="left"/>
      </w:pPr>
      <w:r>
        <w:rPr/>
        <w:t>公司主营业务数据统计口径在报告期发生调整的情况下，公司最近</w:t>
      </w:r>
      <w:r>
        <w:rPr>
          <w:spacing w:val="-59"/>
        </w:rPr>
        <w:t> </w:t>
      </w:r>
      <w:r>
        <w:rPr>
          <w:rFonts w:ascii="Calibri" w:hAnsi="Calibri" w:cs="Calibri" w:eastAsia="Calibri" w:hint="default"/>
        </w:rPr>
        <w:t>1</w:t>
      </w:r>
      <w:r>
        <w:rPr>
          <w:rFonts w:ascii="Calibri" w:hAnsi="Calibri" w:cs="Calibri" w:eastAsia="Calibri" w:hint="default"/>
          <w:spacing w:val="6"/>
        </w:rPr>
        <w:t> </w:t>
      </w:r>
      <w:r>
        <w:rPr/>
        <w:t>年按报告期末口 径调整后的主营业务数据</w:t>
      </w:r>
    </w:p>
    <w:p>
      <w:pPr>
        <w:pStyle w:val="BodyText"/>
        <w:spacing w:line="240" w:lineRule="auto" w:before="67"/>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21"/>
        </w:rPr>
        <w:t> </w:t>
      </w:r>
      <w:r>
        <w:rPr/>
        <w:t>否</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0" w:right="228"/>
        <w:jc w:val="right"/>
      </w:pPr>
      <w:r>
        <w:rPr/>
        <w:t>单位：元</w:t>
      </w:r>
    </w:p>
    <w:p>
      <w:pPr>
        <w:spacing w:after="0" w:line="240" w:lineRule="auto"/>
        <w:jc w:val="right"/>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1586"/>
        <w:gridCol w:w="1582"/>
        <w:gridCol w:w="1580"/>
        <w:gridCol w:w="1582"/>
        <w:gridCol w:w="1580"/>
        <w:gridCol w:w="1579"/>
      </w:tblGrid>
      <w:tr>
        <w:trPr>
          <w:trHeight w:val="322" w:hRule="exact"/>
        </w:trPr>
        <w:tc>
          <w:tcPr>
            <w:tcW w:w="15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2"/>
              <w:ind w:left="3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产品分类</w:t>
            </w:r>
            <w:r>
              <w:rPr>
                <w:rFonts w:ascii="Microsoft JhengHei" w:hAnsi="Microsoft JhengHei" w:cs="Microsoft JhengHei" w:eastAsia="Microsoft JhengHei" w:hint="default"/>
                <w:sz w:val="21"/>
                <w:szCs w:val="21"/>
              </w:rPr>
            </w:r>
          </w:p>
        </w:tc>
        <w:tc>
          <w:tcPr>
            <w:tcW w:w="316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16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5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2"/>
              <w:ind w:left="3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tc>
      </w:tr>
      <w:tr>
        <w:trPr>
          <w:trHeight w:val="322" w:hRule="exact"/>
        </w:trPr>
        <w:tc>
          <w:tcPr>
            <w:tcW w:w="1586" w:type="dxa"/>
            <w:vMerge/>
            <w:tcBorders>
              <w:left w:val="single" w:sz="4" w:space="0" w:color="000000"/>
              <w:bottom w:val="single" w:sz="4" w:space="0" w:color="000000"/>
              <w:right w:val="single" w:sz="4" w:space="0" w:color="000000"/>
            </w:tcBorders>
            <w:shd w:val="clear" w:color="auto" w:fill="D9D9D9"/>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占营业成本比重</w:t>
            </w:r>
            <w:r>
              <w:rPr>
                <w:rFonts w:ascii="Microsoft JhengHei" w:hAnsi="Microsoft JhengHei" w:cs="Microsoft JhengHei" w:eastAsia="Microsoft JhengHei"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占营业成本比重</w:t>
            </w:r>
            <w:r>
              <w:rPr>
                <w:rFonts w:ascii="Microsoft JhengHei" w:hAnsi="Microsoft JhengHei" w:cs="Microsoft JhengHei" w:eastAsia="Microsoft JhengHei" w:hint="default"/>
                <w:sz w:val="21"/>
                <w:szCs w:val="21"/>
              </w:rPr>
            </w:r>
          </w:p>
        </w:tc>
        <w:tc>
          <w:tcPr>
            <w:tcW w:w="1579"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36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软件</w:t>
            </w:r>
            <w:r>
              <w:rPr>
                <w:rFonts w:ascii="Microsoft JhengHei" w:hAnsi="Microsoft JhengHei" w:cs="Microsoft JhengHei" w:eastAsia="Microsoft JhengHei"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135,573,248.24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81.63%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99,214,841.74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81.84%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36.65%</w:t>
            </w:r>
          </w:p>
        </w:tc>
      </w:tr>
      <w:tr>
        <w:trPr>
          <w:trHeight w:val="636" w:hRule="exact"/>
        </w:trPr>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GIS</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软件配套产</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品</w:t>
            </w:r>
            <w:r>
              <w:rPr>
                <w:rFonts w:ascii="Microsoft JhengHei" w:hAnsi="Microsoft JhengHei" w:cs="Microsoft JhengHei" w:eastAsia="Microsoft JhengHei" w:hint="default"/>
                <w:w w:val="100"/>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27,792,306.02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19,473,937.65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sz w:val="21"/>
              </w:rPr>
              <w:t>42.72%</w:t>
            </w:r>
          </w:p>
        </w:tc>
      </w:tr>
    </w:tbl>
    <w:p>
      <w:pPr>
        <w:spacing w:line="240" w:lineRule="auto" w:before="12"/>
        <w:rPr>
          <w:rFonts w:ascii="宋体" w:hAnsi="宋体" w:cs="宋体" w:eastAsia="宋体" w:hint="default"/>
          <w:sz w:val="23"/>
          <w:szCs w:val="23"/>
        </w:rPr>
      </w:pPr>
    </w:p>
    <w:p>
      <w:pPr>
        <w:pStyle w:val="Heading2"/>
        <w:spacing w:line="367" w:lineRule="exact"/>
        <w:ind w:left="137" w:right="346"/>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19"/>
        </w:rPr>
        <w:t> </w:t>
      </w:r>
      <w:r>
        <w:rPr/>
        <w:t>否</w:t>
      </w:r>
    </w:p>
    <w:p>
      <w:pPr>
        <w:pStyle w:val="BodyText"/>
        <w:spacing w:line="326" w:lineRule="auto" w:before="123"/>
        <w:ind w:right="224" w:firstLine="480"/>
        <w:jc w:val="left"/>
      </w:pPr>
      <w:r>
        <w:rPr>
          <w:rFonts w:ascii="Calibri" w:hAnsi="Calibri" w:cs="Calibri" w:eastAsia="Calibri" w:hint="default"/>
        </w:rPr>
        <w:t>1</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10</w:t>
      </w:r>
      <w:r>
        <w:rPr>
          <w:rFonts w:ascii="Calibri" w:hAnsi="Calibri" w:cs="Calibri" w:eastAsia="Calibri" w:hint="default"/>
          <w:spacing w:val="6"/>
        </w:rPr>
        <w:t> </w:t>
      </w:r>
      <w:r>
        <w:rPr/>
        <w:t>日，公司第三届董事会第七次会议审议通过了《关于收购上海南康 科技有限公司</w:t>
      </w:r>
      <w:r>
        <w:rPr>
          <w:spacing w:val="-59"/>
        </w:rPr>
        <w:t> </w:t>
      </w:r>
      <w:r>
        <w:rPr>
          <w:rFonts w:ascii="Calibri" w:hAnsi="Calibri" w:cs="Calibri" w:eastAsia="Calibri" w:hint="default"/>
          <w:spacing w:val="-6"/>
        </w:rPr>
        <w:t>100%</w:t>
      </w:r>
      <w:r>
        <w:rPr>
          <w:spacing w:val="-6"/>
        </w:rPr>
        <w:t>股权的议案》，公司以自有资金人民币</w:t>
      </w:r>
      <w:r>
        <w:rPr>
          <w:spacing w:val="-57"/>
        </w:rPr>
        <w:t> </w:t>
      </w:r>
      <w:r>
        <w:rPr>
          <w:rFonts w:ascii="Calibri" w:hAnsi="Calibri" w:cs="Calibri" w:eastAsia="Calibri" w:hint="default"/>
        </w:rPr>
        <w:t>9,200</w:t>
      </w:r>
      <w:r>
        <w:rPr>
          <w:rFonts w:ascii="Calibri" w:hAnsi="Calibri" w:cs="Calibri" w:eastAsia="Calibri" w:hint="default"/>
          <w:spacing w:val="9"/>
        </w:rPr>
        <w:t> </w:t>
      </w:r>
      <w:r>
        <w:rPr>
          <w:spacing w:val="-1"/>
        </w:rPr>
        <w:t>元全资收购南康科技，南</w:t>
      </w:r>
      <w:r>
        <w:rPr>
          <w:spacing w:val="-114"/>
        </w:rPr>
        <w:t> </w:t>
      </w:r>
      <w:r>
        <w:rPr>
          <w:spacing w:val="-114"/>
        </w:rPr>
      </w:r>
      <w:r>
        <w:rPr/>
        <w:t>康科技于</w:t>
      </w:r>
      <w:r>
        <w:rPr>
          <w:spacing w:val="-61"/>
        </w:rPr>
        <w:t> </w:t>
      </w:r>
      <w:r>
        <w:rPr>
          <w:rFonts w:ascii="Calibri" w:hAnsi="Calibri" w:cs="Calibri" w:eastAsia="Calibri" w:hint="default"/>
        </w:rPr>
        <w:t>2015</w:t>
      </w:r>
      <w:r>
        <w:rPr>
          <w:rFonts w:ascii="Calibri" w:hAnsi="Calibri" w:cs="Calibri" w:eastAsia="Calibri" w:hint="default"/>
          <w:spacing w:val="6"/>
        </w:rPr>
        <w:t> </w:t>
      </w:r>
      <w:r>
        <w:rPr/>
        <w:t>年</w:t>
      </w:r>
      <w:r>
        <w:rPr>
          <w:spacing w:val="-63"/>
        </w:rPr>
        <w:t> </w:t>
      </w:r>
      <w:r>
        <w:rPr>
          <w:rFonts w:ascii="Calibri" w:hAnsi="Calibri" w:cs="Calibri" w:eastAsia="Calibri" w:hint="default"/>
        </w:rPr>
        <w:t>7</w:t>
      </w:r>
      <w:r>
        <w:rPr>
          <w:rFonts w:ascii="Calibri" w:hAnsi="Calibri" w:cs="Calibri" w:eastAsia="Calibri" w:hint="default"/>
          <w:spacing w:val="6"/>
        </w:rPr>
        <w:t> </w:t>
      </w:r>
      <w:r>
        <w:rPr/>
        <w:t>月</w:t>
      </w:r>
      <w:r>
        <w:rPr>
          <w:spacing w:val="-62"/>
        </w:rPr>
        <w:t> </w:t>
      </w:r>
      <w:r>
        <w:rPr>
          <w:rFonts w:ascii="Calibri" w:hAnsi="Calibri" w:cs="Calibri" w:eastAsia="Calibri" w:hint="default"/>
        </w:rPr>
        <w:t>2</w:t>
      </w:r>
      <w:r>
        <w:rPr>
          <w:rFonts w:ascii="Calibri" w:hAnsi="Calibri" w:cs="Calibri" w:eastAsia="Calibri" w:hint="default"/>
          <w:spacing w:val="6"/>
        </w:rPr>
        <w:t> </w:t>
      </w:r>
      <w:r>
        <w:rPr/>
        <w:t>完成工商变更，本公司按照协议的约定支付了第一期和第二期转让</w:t>
      </w:r>
    </w:p>
    <w:p>
      <w:pPr>
        <w:pStyle w:val="BodyText"/>
        <w:spacing w:line="326" w:lineRule="auto" w:before="17"/>
        <w:ind w:right="403"/>
        <w:jc w:val="left"/>
      </w:pPr>
      <w:r>
        <w:rPr/>
        <w:t>款</w:t>
      </w:r>
      <w:r>
        <w:rPr>
          <w:spacing w:val="-61"/>
        </w:rPr>
        <w:t> </w:t>
      </w:r>
      <w:r>
        <w:rPr>
          <w:rFonts w:ascii="Calibri" w:hAnsi="Calibri" w:cs="Calibri" w:eastAsia="Calibri" w:hint="default"/>
        </w:rPr>
        <w:t>3,200</w:t>
      </w:r>
      <w:r>
        <w:rPr>
          <w:rFonts w:ascii="Calibri" w:hAnsi="Calibri" w:cs="Calibri" w:eastAsia="Calibri" w:hint="default"/>
          <w:spacing w:val="6"/>
        </w:rPr>
        <w:t> </w:t>
      </w:r>
      <w:r>
        <w:rPr/>
        <w:t>万元。由此，南康科技成为公司全资子公司。报告期内，合并范围增加了南康科 技；</w:t>
      </w:r>
    </w:p>
    <w:p>
      <w:pPr>
        <w:pStyle w:val="BodyText"/>
        <w:spacing w:line="240" w:lineRule="auto" w:before="67"/>
        <w:ind w:left="617" w:right="346"/>
        <w:jc w:val="left"/>
      </w:pPr>
      <w:r>
        <w:rPr>
          <w:rFonts w:ascii="Calibri" w:hAnsi="Calibri" w:cs="Calibri" w:eastAsia="Calibri" w:hint="default"/>
        </w:rPr>
        <w:t>2</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2</w:t>
      </w:r>
      <w:r>
        <w:rPr>
          <w:rFonts w:ascii="Calibri" w:hAnsi="Calibri" w:cs="Calibri" w:eastAsia="Calibri" w:hint="default"/>
          <w:spacing w:val="5"/>
        </w:rPr>
        <w:t> </w:t>
      </w:r>
      <w:r>
        <w:rPr/>
        <w:t>月</w:t>
      </w:r>
      <w:r>
        <w:rPr>
          <w:spacing w:val="-61"/>
        </w:rPr>
        <w:t> </w:t>
      </w:r>
      <w:r>
        <w:rPr>
          <w:rFonts w:ascii="Calibri" w:hAnsi="Calibri" w:cs="Calibri" w:eastAsia="Calibri" w:hint="default"/>
        </w:rPr>
        <w:t>11</w:t>
      </w:r>
      <w:r>
        <w:rPr>
          <w:rFonts w:ascii="Calibri" w:hAnsi="Calibri" w:cs="Calibri" w:eastAsia="Calibri" w:hint="default"/>
          <w:spacing w:val="6"/>
        </w:rPr>
        <w:t> </w:t>
      </w:r>
      <w:r>
        <w:rPr/>
        <w:t>日，公司在芜湖设立全资子公司</w:t>
      </w:r>
      <w:r>
        <w:rPr>
          <w:rFonts w:ascii="Calibri" w:hAnsi="Calibri" w:cs="Calibri" w:eastAsia="Calibri" w:hint="default"/>
        </w:rPr>
        <w:t>——</w:t>
      </w:r>
      <w:r>
        <w:rPr/>
        <w:t>芜湖联智，注册资本</w:t>
      </w:r>
      <w:r>
        <w:rPr>
          <w:spacing w:val="-61"/>
        </w:rPr>
        <w:t> </w:t>
      </w:r>
      <w:r>
        <w:rPr>
          <w:rFonts w:ascii="Calibri" w:hAnsi="Calibri" w:cs="Calibri" w:eastAsia="Calibri" w:hint="default"/>
        </w:rPr>
        <w:t>300</w:t>
      </w:r>
      <w:r>
        <w:rPr>
          <w:rFonts w:ascii="Calibri" w:hAnsi="Calibri" w:cs="Calibri" w:eastAsia="Calibri" w:hint="default"/>
          <w:spacing w:val="5"/>
        </w:rPr>
        <w:t> </w:t>
      </w:r>
      <w:r>
        <w:rPr/>
        <w:t>万</w:t>
      </w:r>
    </w:p>
    <w:p>
      <w:pPr>
        <w:pStyle w:val="BodyText"/>
        <w:spacing w:line="326" w:lineRule="auto" w:before="123"/>
        <w:ind w:right="402"/>
        <w:jc w:val="left"/>
      </w:pPr>
      <w:r>
        <w:rPr/>
        <w:t>元。报告期内，该公司已完成工商登记并部分缴付认缴出资款， </w:t>
      </w:r>
      <w:r>
        <w:rPr>
          <w:rFonts w:ascii="Calibri" w:hAnsi="Calibri" w:cs="Calibri" w:eastAsia="Calibri" w:hint="default"/>
        </w:rPr>
        <w:t>2015</w:t>
      </w:r>
      <w:r>
        <w:rPr>
          <w:rFonts w:ascii="Calibri" w:hAnsi="Calibri" w:cs="Calibri" w:eastAsia="Calibri" w:hint="default"/>
          <w:spacing w:val="6"/>
        </w:rPr>
        <w:t> </w:t>
      </w:r>
      <w:r>
        <w:rPr/>
        <w:t>年开始纳入合并财 务报表范围。</w:t>
      </w:r>
    </w:p>
    <w:p>
      <w:pPr>
        <w:pStyle w:val="BodyText"/>
        <w:spacing w:line="326" w:lineRule="auto" w:before="68"/>
        <w:ind w:right="281" w:firstLine="480"/>
        <w:jc w:val="both"/>
      </w:pPr>
      <w:r>
        <w:rPr>
          <w:rFonts w:ascii="Calibri" w:hAnsi="Calibri" w:cs="Calibri" w:eastAsia="Calibri" w:hint="default"/>
        </w:rPr>
        <w:t>3</w:t>
      </w:r>
      <w:r>
        <w:rPr/>
        <w:t>）公司于</w:t>
      </w:r>
      <w:r>
        <w:rPr>
          <w:spacing w:val="-61"/>
        </w:rPr>
        <w:t> </w:t>
      </w:r>
      <w:r>
        <w:rPr>
          <w:rFonts w:ascii="Calibri" w:hAnsi="Calibri" w:cs="Calibri" w:eastAsia="Calibri" w:hint="default"/>
        </w:rPr>
        <w:t>2014</w:t>
      </w:r>
      <w:r>
        <w:rPr>
          <w:rFonts w:ascii="Calibri" w:hAnsi="Calibri" w:cs="Calibri" w:eastAsia="Calibri" w:hint="default"/>
          <w:spacing w:val="5"/>
        </w:rPr>
        <w:t> </w:t>
      </w:r>
      <w:r>
        <w:rPr/>
        <w:t>年新设立全资子公司－山东超图软件有限公司，截至</w:t>
      </w:r>
      <w:r>
        <w:rPr>
          <w:spacing w:val="-60"/>
        </w:rPr>
        <w:t> </w:t>
      </w:r>
      <w:r>
        <w:rPr>
          <w:rFonts w:ascii="Calibri" w:hAnsi="Calibri" w:cs="Calibri" w:eastAsia="Calibri" w:hint="default"/>
        </w:rPr>
        <w:t>2014</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 </w:t>
      </w:r>
      <w:r>
        <w:rPr/>
        <w:t>日，该公司已完成工商登记，本公司尚未缴付认缴出资款，</w:t>
      </w:r>
      <w:r>
        <w:rPr>
          <w:rFonts w:ascii="Calibri" w:hAnsi="Calibri" w:cs="Calibri" w:eastAsia="Calibri" w:hint="default"/>
        </w:rPr>
        <w:t>2014</w:t>
      </w:r>
      <w:r>
        <w:rPr>
          <w:rFonts w:ascii="Calibri" w:hAnsi="Calibri" w:cs="Calibri" w:eastAsia="Calibri" w:hint="default"/>
          <w:spacing w:val="3"/>
        </w:rPr>
        <w:t> </w:t>
      </w:r>
      <w:r>
        <w:rPr/>
        <w:t>年末未纳入合并财务报表 范围。报告期内，公司已缴足认缴出资款，</w:t>
      </w:r>
      <w:r>
        <w:rPr>
          <w:rFonts w:ascii="Calibri" w:hAnsi="Calibri" w:cs="Calibri" w:eastAsia="Calibri" w:hint="default"/>
        </w:rPr>
        <w:t>2015</w:t>
      </w:r>
      <w:r>
        <w:rPr>
          <w:rFonts w:ascii="Calibri" w:hAnsi="Calibri" w:cs="Calibri" w:eastAsia="Calibri" w:hint="default"/>
          <w:spacing w:val="2"/>
        </w:rPr>
        <w:t> </w:t>
      </w:r>
      <w:r>
        <w:rPr/>
        <w:t>年开始纳入合并财务报表范围。</w:t>
      </w:r>
    </w:p>
    <w:p>
      <w:pPr>
        <w:spacing w:line="240" w:lineRule="auto" w:before="6"/>
        <w:rPr>
          <w:rFonts w:ascii="宋体" w:hAnsi="宋体" w:cs="宋体" w:eastAsia="宋体" w:hint="default"/>
          <w:sz w:val="18"/>
          <w:szCs w:val="18"/>
        </w:rPr>
      </w:pPr>
    </w:p>
    <w:p>
      <w:pPr>
        <w:pStyle w:val="Heading2"/>
        <w:spacing w:line="240" w:lineRule="auto"/>
        <w:ind w:left="137" w:right="346"/>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6"/>
          <w:szCs w:val="26"/>
        </w:rPr>
      </w:pPr>
    </w:p>
    <w:p>
      <w:pPr>
        <w:spacing w:line="484" w:lineRule="auto" w:before="0"/>
        <w:ind w:left="617" w:right="5749" w:hanging="480"/>
        <w:jc w:val="left"/>
        <w:rPr>
          <w:rFonts w:ascii="宋体" w:hAnsi="宋体" w:cs="宋体" w:eastAsia="宋体" w:hint="default"/>
          <w:sz w:val="24"/>
          <w:szCs w:val="24"/>
        </w:rPr>
      </w:pPr>
      <w:r>
        <w:rPr/>
        <w:pict>
          <v:shape style="position:absolute;margin-left:65.304001pt;margin-top:63.703663pt;width:479.15pt;height:32.6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9"/>
                    <w:gridCol w:w="3189"/>
                  </w:tblGrid>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前五名客户合计销售金额（元）</w:t>
                        </w:r>
                        <w:r>
                          <w:rPr>
                            <w:rFonts w:ascii="Microsoft JhengHei" w:hAnsi="Microsoft JhengHei" w:cs="Microsoft JhengHei" w:eastAsia="Microsoft JhengHei"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37,536,200.00</w:t>
                        </w:r>
                      </w:p>
                    </w:tc>
                  </w:tr>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前五名客户合计销售金额占年度销售总额比例</w:t>
                        </w:r>
                        <w:r>
                          <w:rPr>
                            <w:rFonts w:ascii="Microsoft JhengHei" w:hAnsi="Microsoft JhengHei" w:cs="Microsoft JhengHei" w:eastAsia="Microsoft JhengHei"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8.04%</w:t>
                        </w:r>
                      </w:p>
                    </w:tc>
                  </w:tr>
                </w:tbl>
                <w:p>
                  <w:pPr/>
                </w:p>
              </w:txbxContent>
            </v:textbox>
            <w10:wrap type="none"/>
          </v:shape>
        </w:pic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）主要销售客户和主要供应商情况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26"/>
        <w:ind w:left="617" w:right="346"/>
        <w:jc w:val="left"/>
      </w:pPr>
      <w:r>
        <w:rPr/>
        <w:t>公司前</w:t>
      </w:r>
      <w:r>
        <w:rPr>
          <w:spacing w:val="-61"/>
        </w:rPr>
        <w:t> </w:t>
      </w:r>
      <w:r>
        <w:rPr>
          <w:rFonts w:ascii="Calibri" w:hAnsi="Calibri" w:cs="Calibri" w:eastAsia="Calibri" w:hint="default"/>
        </w:rPr>
        <w:t>5</w:t>
      </w:r>
      <w:r>
        <w:rPr>
          <w:rFonts w:ascii="Calibri" w:hAnsi="Calibri" w:cs="Calibri" w:eastAsia="Calibri" w:hint="default"/>
          <w:spacing w:val="6"/>
        </w:rPr>
        <w:t> </w:t>
      </w:r>
      <w:r>
        <w:rPr/>
        <w:t>大客户资料</w:t>
      </w:r>
    </w:p>
    <w:p>
      <w:pPr>
        <w:spacing w:line="240" w:lineRule="auto" w:before="8"/>
        <w:rPr>
          <w:rFonts w:ascii="宋体" w:hAnsi="宋体" w:cs="宋体" w:eastAsia="宋体" w:hint="default"/>
          <w:sz w:val="8"/>
          <w:szCs w:val="8"/>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66" w:type="dxa"/>
        <w:tblLayout w:type="fixed"/>
        <w:tblCellMar>
          <w:top w:w="0" w:type="dxa"/>
          <w:left w:w="0" w:type="dxa"/>
          <w:bottom w:w="0" w:type="dxa"/>
          <w:right w:w="0" w:type="dxa"/>
        </w:tblCellMar>
        <w:tblLook w:val="01E0"/>
      </w:tblPr>
      <w:tblGrid>
        <w:gridCol w:w="802"/>
        <w:gridCol w:w="3301"/>
        <w:gridCol w:w="2278"/>
        <w:gridCol w:w="3188"/>
      </w:tblGrid>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客户名称</w:t>
            </w:r>
            <w:r>
              <w:rPr>
                <w:rFonts w:ascii="Microsoft JhengHei" w:hAnsi="Microsoft JhengHei" w:cs="Microsoft JhengHei" w:eastAsia="Microsoft JhengHei"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销售额（元）</w:t>
            </w:r>
            <w:r>
              <w:rPr>
                <w:rFonts w:ascii="Microsoft JhengHei" w:hAnsi="Microsoft JhengHei" w:cs="Microsoft JhengHei" w:eastAsia="Microsoft JhengHei" w:hint="default"/>
                <w:sz w:val="21"/>
                <w:szCs w:val="21"/>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占年度销售总额比例</w:t>
            </w:r>
            <w:r>
              <w:rPr>
                <w:rFonts w:ascii="Microsoft JhengHei" w:hAnsi="Microsoft JhengHei" w:cs="Microsoft JhengHei" w:eastAsia="Microsoft JhengHei" w:hint="default"/>
                <w:sz w:val="21"/>
                <w:szCs w:val="21"/>
              </w:rPr>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w w:val="100"/>
                <w:sz w:val="21"/>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郑州市数字城市办公室</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8,617,266.00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1.84%</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华为技术有限公司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7,770,918.00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1.66%</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66" w:type="dxa"/>
        <w:tblLayout w:type="fixed"/>
        <w:tblCellMar>
          <w:top w:w="0" w:type="dxa"/>
          <w:left w:w="0" w:type="dxa"/>
          <w:bottom w:w="0" w:type="dxa"/>
          <w:right w:w="0" w:type="dxa"/>
        </w:tblCellMar>
        <w:tblLook w:val="01E0"/>
      </w:tblPr>
      <w:tblGrid>
        <w:gridCol w:w="802"/>
        <w:gridCol w:w="3301"/>
        <w:gridCol w:w="2278"/>
        <w:gridCol w:w="3188"/>
      </w:tblGrid>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大连市规划局</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7,425,000.00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1.59%</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河北省第三测绘院</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7,034,000.00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1.51%</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海关总署物资装备采购中心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6,689,016.00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1.43%</w:t>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37,536,200.00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8.04%</w:t>
            </w:r>
          </w:p>
        </w:tc>
      </w:tr>
    </w:tbl>
    <w:p>
      <w:pPr>
        <w:pStyle w:val="BodyText"/>
        <w:spacing w:line="240" w:lineRule="auto" w:before="39"/>
        <w:ind w:left="617" w:right="346"/>
        <w:jc w:val="left"/>
      </w:pPr>
      <w:r>
        <w:rPr/>
        <w:t>公司主要供应商情况</w:t>
      </w:r>
    </w:p>
    <w:p>
      <w:pPr>
        <w:spacing w:line="240" w:lineRule="auto" w:before="10"/>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6379"/>
        <w:gridCol w:w="3189"/>
      </w:tblGrid>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前五名供应商合计采购金额（元）</w:t>
            </w:r>
            <w:r>
              <w:rPr>
                <w:rFonts w:ascii="Microsoft JhengHei" w:hAnsi="Microsoft JhengHei" w:cs="Microsoft JhengHei" w:eastAsia="Microsoft JhengHei"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30,619,145.75</w:t>
            </w:r>
          </w:p>
        </w:tc>
      </w:tr>
      <w:tr>
        <w:trPr>
          <w:trHeight w:val="322" w:hRule="exact"/>
        </w:trPr>
        <w:tc>
          <w:tcPr>
            <w:tcW w:w="6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前五名供应商合计采购金额占年度采购总额比例</w:t>
            </w:r>
            <w:r>
              <w:rPr>
                <w:rFonts w:ascii="Microsoft JhengHei" w:hAnsi="Microsoft JhengHei" w:cs="Microsoft JhengHei" w:eastAsia="Microsoft JhengHei" w:hint="default"/>
                <w:sz w:val="21"/>
                <w:szCs w:val="21"/>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18.44%</w:t>
            </w:r>
          </w:p>
        </w:tc>
      </w:tr>
    </w:tbl>
    <w:p>
      <w:pPr>
        <w:pStyle w:val="BodyText"/>
        <w:spacing w:line="240" w:lineRule="auto" w:before="39"/>
        <w:ind w:left="617" w:right="346"/>
        <w:jc w:val="left"/>
      </w:pPr>
      <w:r>
        <w:rPr/>
        <w:t>公司前</w:t>
      </w:r>
      <w:r>
        <w:rPr>
          <w:spacing w:val="-61"/>
        </w:rPr>
        <w:t> </w:t>
      </w:r>
      <w:r>
        <w:rPr>
          <w:rFonts w:ascii="Times New Roman" w:hAnsi="Times New Roman" w:cs="Times New Roman" w:eastAsia="Times New Roman" w:hint="default"/>
        </w:rPr>
        <w:t>5 </w:t>
      </w:r>
      <w:r>
        <w:rPr/>
        <w:t>名供应商资料</w:t>
      </w:r>
    </w:p>
    <w:p>
      <w:pPr>
        <w:spacing w:line="240" w:lineRule="auto" w:before="7"/>
        <w:rPr>
          <w:rFonts w:ascii="宋体" w:hAnsi="宋体" w:cs="宋体" w:eastAsia="宋体" w:hint="default"/>
          <w:sz w:val="9"/>
          <w:szCs w:val="9"/>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166" w:type="dxa"/>
        <w:tblLayout w:type="fixed"/>
        <w:tblCellMar>
          <w:top w:w="0" w:type="dxa"/>
          <w:left w:w="0" w:type="dxa"/>
          <w:bottom w:w="0" w:type="dxa"/>
          <w:right w:w="0" w:type="dxa"/>
        </w:tblCellMar>
        <w:tblLook w:val="01E0"/>
      </w:tblPr>
      <w:tblGrid>
        <w:gridCol w:w="934"/>
        <w:gridCol w:w="3169"/>
        <w:gridCol w:w="2324"/>
        <w:gridCol w:w="3143"/>
      </w:tblGrid>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供应商名称</w:t>
            </w:r>
            <w:r>
              <w:rPr>
                <w:rFonts w:ascii="Microsoft JhengHei" w:hAnsi="Microsoft JhengHei" w:cs="Microsoft JhengHei" w:eastAsia="Microsoft JhengHei" w:hint="default"/>
                <w:sz w:val="21"/>
                <w:szCs w:val="21"/>
              </w:rPr>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采购额（元）</w:t>
            </w:r>
            <w:r>
              <w:rPr>
                <w:rFonts w:ascii="Microsoft JhengHei" w:hAnsi="Microsoft JhengHei" w:cs="Microsoft JhengHei" w:eastAsia="Microsoft JhengHei" w:hint="default"/>
                <w:sz w:val="21"/>
                <w:szCs w:val="21"/>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占年度采购总额比例</w:t>
            </w:r>
            <w:r>
              <w:rPr>
                <w:rFonts w:ascii="Microsoft JhengHei" w:hAnsi="Microsoft JhengHei" w:cs="Microsoft JhengHei" w:eastAsia="Microsoft JhengHei" w:hint="default"/>
                <w:sz w:val="21"/>
                <w:szCs w:val="21"/>
              </w:rPr>
            </w:r>
          </w:p>
        </w:tc>
      </w:tr>
      <w:tr>
        <w:trPr>
          <w:trHeight w:val="32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w w:val="100"/>
                <w:sz w:val="21"/>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pacing w:val="-3"/>
                <w:sz w:val="21"/>
              </w:rPr>
              <w:t>Trimble </w:t>
            </w:r>
            <w:r>
              <w:rPr>
                <w:rFonts w:ascii="Times New Roman"/>
                <w:sz w:val="21"/>
              </w:rPr>
              <w:t>Europe</w:t>
            </w:r>
            <w:r>
              <w:rPr>
                <w:rFonts w:ascii="Times New Roman"/>
                <w:spacing w:val="18"/>
                <w:sz w:val="21"/>
              </w:rPr>
              <w:t> </w:t>
            </w:r>
            <w:r>
              <w:rPr>
                <w:rFonts w:ascii="Times New Roman"/>
                <w:spacing w:val="-8"/>
                <w:sz w:val="21"/>
              </w:rPr>
              <w:t>B.V.</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71"/>
              <w:jc w:val="right"/>
              <w:rPr>
                <w:rFonts w:ascii="Times New Roman" w:hAnsi="Times New Roman" w:cs="Times New Roman" w:eastAsia="Times New Roman" w:hint="default"/>
                <w:sz w:val="21"/>
                <w:szCs w:val="21"/>
              </w:rPr>
            </w:pPr>
            <w:r>
              <w:rPr>
                <w:rFonts w:ascii="Times New Roman"/>
                <w:spacing w:val="-2"/>
                <w:sz w:val="21"/>
              </w:rPr>
              <w:t>11,118,101.10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6.69%</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北京威诺威科技有限公司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1"/>
              <w:jc w:val="right"/>
              <w:rPr>
                <w:rFonts w:ascii="Times New Roman" w:hAnsi="Times New Roman" w:cs="Times New Roman" w:eastAsia="Times New Roman" w:hint="default"/>
                <w:sz w:val="21"/>
                <w:szCs w:val="21"/>
              </w:rPr>
            </w:pPr>
            <w:r>
              <w:rPr>
                <w:rFonts w:ascii="Times New Roman"/>
                <w:spacing w:val="-1"/>
                <w:sz w:val="21"/>
              </w:rPr>
              <w:t>6,355,959.95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3.83%</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芜湖明捷信息技术有限公司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1"/>
              <w:jc w:val="right"/>
              <w:rPr>
                <w:rFonts w:ascii="Times New Roman" w:hAnsi="Times New Roman" w:cs="Times New Roman" w:eastAsia="Times New Roman" w:hint="default"/>
                <w:sz w:val="21"/>
                <w:szCs w:val="21"/>
              </w:rPr>
            </w:pPr>
            <w:r>
              <w:rPr>
                <w:rFonts w:ascii="Times New Roman"/>
                <w:spacing w:val="-1"/>
                <w:sz w:val="21"/>
              </w:rPr>
              <w:t>5,925,064.70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3.57%</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大连灵希软件有限公司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1"/>
              <w:jc w:val="right"/>
              <w:rPr>
                <w:rFonts w:ascii="Times New Roman" w:hAnsi="Times New Roman" w:cs="Times New Roman" w:eastAsia="Times New Roman" w:hint="default"/>
                <w:sz w:val="21"/>
                <w:szCs w:val="21"/>
              </w:rPr>
            </w:pPr>
            <w:r>
              <w:rPr>
                <w:rFonts w:ascii="Times New Roman"/>
                <w:spacing w:val="-1"/>
                <w:sz w:val="21"/>
              </w:rPr>
              <w:t>3,624,500.00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2.18%</w:t>
            </w:r>
          </w:p>
        </w:tc>
      </w:tr>
      <w:tr>
        <w:trPr>
          <w:trHeight w:val="322"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北京汇信立创科技有限公司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1"/>
              <w:jc w:val="right"/>
              <w:rPr>
                <w:rFonts w:ascii="Times New Roman" w:hAnsi="Times New Roman" w:cs="Times New Roman" w:eastAsia="Times New Roman" w:hint="default"/>
                <w:sz w:val="21"/>
                <w:szCs w:val="21"/>
              </w:rPr>
            </w:pPr>
            <w:r>
              <w:rPr>
                <w:rFonts w:ascii="Times New Roman"/>
                <w:spacing w:val="-1"/>
                <w:sz w:val="21"/>
              </w:rPr>
              <w:t>3,595,520.00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2.16%</w:t>
            </w:r>
          </w:p>
        </w:tc>
      </w:tr>
    </w:tbl>
    <w:p>
      <w:pPr>
        <w:spacing w:line="240" w:lineRule="auto" w:before="12"/>
        <w:rPr>
          <w:rFonts w:ascii="宋体" w:hAnsi="宋体" w:cs="宋体" w:eastAsia="宋体" w:hint="default"/>
          <w:sz w:val="23"/>
          <w:szCs w:val="23"/>
        </w:rPr>
      </w:pPr>
    </w:p>
    <w:p>
      <w:pPr>
        <w:pStyle w:val="Heading2"/>
        <w:spacing w:line="367" w:lineRule="exact"/>
        <w:ind w:left="137" w:right="346"/>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before="26"/>
        <w:ind w:left="0" w:right="228"/>
        <w:jc w:val="right"/>
      </w:pPr>
      <w:r>
        <w:rPr/>
        <w:t>单位：元</w:t>
      </w:r>
    </w:p>
    <w:p>
      <w:pPr>
        <w:spacing w:line="240" w:lineRule="auto" w:before="1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32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6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6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重大变动说明</w:t>
            </w:r>
            <w:r>
              <w:rPr>
                <w:rFonts w:ascii="Microsoft JhengHei" w:hAnsi="Microsoft JhengHei" w:cs="Microsoft JhengHei" w:eastAsia="Microsoft JhengHei" w:hint="default"/>
                <w:sz w:val="21"/>
                <w:szCs w:val="21"/>
              </w:rPr>
            </w:r>
          </w:p>
        </w:tc>
      </w:tr>
      <w:tr>
        <w:trPr>
          <w:trHeight w:val="63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85,679,359.54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65,177,642.59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31.46%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21" w:right="85" w:hanging="735"/>
              <w:jc w:val="left"/>
              <w:rPr>
                <w:rFonts w:ascii="宋体" w:hAnsi="宋体" w:cs="宋体" w:eastAsia="宋体" w:hint="default"/>
                <w:sz w:val="21"/>
                <w:szCs w:val="21"/>
              </w:rPr>
            </w:pPr>
            <w:r>
              <w:rPr>
                <w:rFonts w:ascii="宋体" w:hAnsi="宋体" w:cs="宋体" w:eastAsia="宋体" w:hint="default"/>
                <w:spacing w:val="-2"/>
                <w:sz w:val="21"/>
                <w:szCs w:val="21"/>
              </w:rPr>
              <w:t>本期营业收入增加，销售费用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相应增加所致</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3" w:right="0"/>
              <w:jc w:val="left"/>
              <w:rPr>
                <w:rFonts w:ascii="Times New Roman" w:hAnsi="Times New Roman" w:cs="Times New Roman" w:eastAsia="Times New Roman" w:hint="default"/>
                <w:sz w:val="21"/>
                <w:szCs w:val="21"/>
              </w:rPr>
            </w:pPr>
            <w:r>
              <w:rPr>
                <w:rFonts w:ascii="Times New Roman"/>
                <w:sz w:val="21"/>
              </w:rPr>
              <w:t>169,954,198.60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139,383,557.62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21.93%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Times New Roman" w:hAnsi="Times New Roman" w:cs="Times New Roman" w:eastAsia="Times New Roman" w:hint="default"/>
                <w:sz w:val="21"/>
                <w:szCs w:val="21"/>
              </w:rPr>
            </w:pPr>
            <w:r>
              <w:rPr>
                <w:rFonts w:ascii="Times New Roman"/>
                <w:sz w:val="21"/>
              </w:rPr>
              <w:t>-3,171,090.47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5" w:right="0"/>
              <w:jc w:val="left"/>
              <w:rPr>
                <w:rFonts w:ascii="Times New Roman" w:hAnsi="Times New Roman" w:cs="Times New Roman" w:eastAsia="Times New Roman" w:hint="default"/>
                <w:sz w:val="21"/>
                <w:szCs w:val="21"/>
              </w:rPr>
            </w:pPr>
            <w:r>
              <w:rPr>
                <w:rFonts w:ascii="Times New Roman"/>
                <w:sz w:val="21"/>
              </w:rPr>
              <w:t>-3,471,493.51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-8.65%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2" w:right="0"/>
              <w:jc w:val="left"/>
              <w:rPr>
                <w:rFonts w:ascii="Times New Roman" w:hAnsi="Times New Roman" w:cs="Times New Roman" w:eastAsia="Times New Roman" w:hint="default"/>
                <w:sz w:val="21"/>
                <w:szCs w:val="21"/>
              </w:rPr>
            </w:pPr>
            <w:r>
              <w:rPr>
                <w:rFonts w:ascii="Times New Roman"/>
                <w:sz w:val="21"/>
              </w:rPr>
              <w:t>4,884,474.13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01" w:right="0"/>
              <w:jc w:val="left"/>
              <w:rPr>
                <w:rFonts w:ascii="Times New Roman" w:hAnsi="Times New Roman" w:cs="Times New Roman" w:eastAsia="Times New Roman" w:hint="default"/>
                <w:sz w:val="21"/>
                <w:szCs w:val="21"/>
              </w:rPr>
            </w:pPr>
            <w:r>
              <w:rPr>
                <w:rFonts w:ascii="Times New Roman"/>
                <w:sz w:val="21"/>
              </w:rPr>
              <w:t>6,008,401.34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-18.71%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sz w:val="23"/>
          <w:szCs w:val="23"/>
        </w:rPr>
      </w:pPr>
    </w:p>
    <w:p>
      <w:pPr>
        <w:pStyle w:val="Heading2"/>
        <w:spacing w:line="367" w:lineRule="exact"/>
        <w:ind w:left="137"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3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19"/>
        </w:rPr>
        <w:t> </w:t>
      </w:r>
      <w:r>
        <w:rPr/>
        <w:t>不适用</w:t>
      </w:r>
      <w:r>
        <w:rPr>
          <w:w w:val="99"/>
        </w:rPr>
        <w:t> </w:t>
      </w:r>
      <w:r>
        <w:rPr/>
        <w:t>持续的自主创新能力是市场竞争力的核心要素，公司自成立来一直高度重视研发投入</w:t>
      </w:r>
    </w:p>
    <w:p>
      <w:pPr>
        <w:pStyle w:val="BodyText"/>
        <w:spacing w:line="338" w:lineRule="auto" w:before="67"/>
        <w:ind w:right="408"/>
        <w:jc w:val="both"/>
      </w:pPr>
      <w:r>
        <w:rPr/>
        <w:t>力度，近几年研发投入一直都保持在公司营业收入的</w:t>
      </w:r>
      <w:r>
        <w:rPr>
          <w:rFonts w:ascii="Times New Roman" w:hAnsi="Times New Roman" w:cs="Times New Roman" w:eastAsia="Times New Roman" w:hint="default"/>
        </w:rPr>
        <w:t>20%</w:t>
      </w:r>
      <w:r>
        <w:rPr/>
        <w:t>以上，持续的研发投入为公司巩 固和进一步提高核心竞争力提供了有力的物质保障。报告期内，公司持续加强</w:t>
      </w:r>
      <w:r>
        <w:rPr>
          <w:rFonts w:ascii="Times New Roman" w:hAnsi="Times New Roman" w:cs="Times New Roman" w:eastAsia="Times New Roman" w:hint="default"/>
        </w:rPr>
        <w:t>GIS</w:t>
      </w:r>
      <w:r>
        <w:rPr/>
        <w:t>基础平 台和应用平台的研发，这些产品研发与技术积累为公司持续发展打下良好基础。</w:t>
      </w:r>
    </w:p>
    <w:p>
      <w:pPr>
        <w:pStyle w:val="BodyText"/>
        <w:spacing w:line="240" w:lineRule="auto" w:before="55"/>
        <w:ind w:left="617" w:right="346"/>
        <w:jc w:val="left"/>
      </w:pPr>
      <w:r>
        <w:rPr/>
        <w:t>近三年公司研发投入金额及占营业收入的比例</w:t>
      </w:r>
    </w:p>
    <w:p>
      <w:pPr>
        <w:spacing w:line="240" w:lineRule="auto" w:before="1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801"/>
        <w:gridCol w:w="1983"/>
        <w:gridCol w:w="2393"/>
        <w:gridCol w:w="2391"/>
      </w:tblGrid>
      <w:tr>
        <w:trPr>
          <w:trHeight w:val="323"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4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8"/>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5"/>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322"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研发人员数量（人）</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371</w:t>
            </w:r>
          </w:p>
        </w:tc>
      </w:tr>
      <w:tr>
        <w:trPr>
          <w:trHeight w:val="322"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40.70%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39.98%</w:t>
            </w:r>
          </w:p>
        </w:tc>
      </w:tr>
      <w:tr>
        <w:trPr>
          <w:trHeight w:val="322"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研发投入金额（元）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84,901,941.07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84,281,685.48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80,648,424.47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66" w:type="dxa"/>
        <w:tblLayout w:type="fixed"/>
        <w:tblCellMar>
          <w:top w:w="0" w:type="dxa"/>
          <w:left w:w="0" w:type="dxa"/>
          <w:bottom w:w="0" w:type="dxa"/>
          <w:right w:w="0" w:type="dxa"/>
        </w:tblCellMar>
        <w:tblLook w:val="01E0"/>
      </w:tblPr>
      <w:tblGrid>
        <w:gridCol w:w="2801"/>
        <w:gridCol w:w="1983"/>
        <w:gridCol w:w="2393"/>
        <w:gridCol w:w="2391"/>
      </w:tblGrid>
      <w:tr>
        <w:trPr>
          <w:trHeight w:val="634"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研发投入占营业收入比例</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25.77</w:t>
            </w:r>
          </w:p>
        </w:tc>
      </w:tr>
      <w:tr>
        <w:trPr>
          <w:trHeight w:val="322"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19,538,954.36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19,547,242.84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13,167,945.43</w:t>
            </w:r>
          </w:p>
        </w:tc>
      </w:tr>
      <w:tr>
        <w:trPr>
          <w:trHeight w:val="634"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85" w:right="29" w:hanging="860"/>
              <w:jc w:val="left"/>
              <w:rPr>
                <w:rFonts w:ascii="宋体" w:hAnsi="宋体" w:cs="宋体" w:eastAsia="宋体" w:hint="default"/>
                <w:sz w:val="21"/>
                <w:szCs w:val="21"/>
              </w:rPr>
            </w:pPr>
            <w:r>
              <w:rPr>
                <w:rFonts w:ascii="宋体" w:hAnsi="宋体" w:cs="宋体" w:eastAsia="宋体" w:hint="default"/>
                <w:spacing w:val="-2"/>
                <w:sz w:val="21"/>
                <w:szCs w:val="21"/>
              </w:rPr>
              <w:t>资本化研发支出占研发投入的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16.33</w:t>
            </w:r>
          </w:p>
        </w:tc>
      </w:tr>
      <w:tr>
        <w:trPr>
          <w:trHeight w:val="636" w:hRule="exact"/>
        </w:trPr>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9" w:right="29" w:hanging="754"/>
              <w:jc w:val="left"/>
              <w:rPr>
                <w:rFonts w:ascii="宋体" w:hAnsi="宋体" w:cs="宋体" w:eastAsia="宋体" w:hint="default"/>
                <w:sz w:val="21"/>
                <w:szCs w:val="21"/>
              </w:rPr>
            </w:pPr>
            <w:r>
              <w:rPr>
                <w:rFonts w:ascii="宋体" w:hAnsi="宋体" w:cs="宋体" w:eastAsia="宋体" w:hint="default"/>
                <w:spacing w:val="-2"/>
                <w:sz w:val="21"/>
                <w:szCs w:val="21"/>
              </w:rPr>
              <w:t>资本化研发支出占当期净利润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42.59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24.04</w:t>
            </w:r>
          </w:p>
        </w:tc>
      </w:tr>
    </w:tbl>
    <w:p>
      <w:pPr>
        <w:spacing w:line="270" w:lineRule="exact" w:before="0"/>
        <w:ind w:left="557" w:right="346" w:firstLine="0"/>
        <w:jc w:val="left"/>
        <w:rPr>
          <w:rFonts w:ascii="宋体" w:hAnsi="宋体" w:cs="宋体" w:eastAsia="宋体" w:hint="default"/>
          <w:sz w:val="21"/>
          <w:szCs w:val="21"/>
        </w:rPr>
      </w:pPr>
      <w:r>
        <w:rPr>
          <w:rFonts w:ascii="宋体" w:hAnsi="宋体" w:cs="宋体" w:eastAsia="宋体" w:hint="default"/>
          <w:sz w:val="21"/>
          <w:szCs w:val="21"/>
        </w:rPr>
        <w:t>注：研发投入金额以合并报表为口径，当期净利润为归属母公司股东净利润。</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0"/>
        <w:ind w:left="617" w:right="346"/>
        <w:jc w:val="left"/>
      </w:pPr>
      <w:r>
        <w:rPr/>
        <w:t>研发投入总额占营业收入的比重较上年发生显著变化的原因</w:t>
      </w:r>
    </w:p>
    <w:p>
      <w:pPr>
        <w:pStyle w:val="BodyText"/>
        <w:tabs>
          <w:tab w:pos="1481" w:val="left" w:leader="none"/>
        </w:tabs>
        <w:spacing w:line="240" w:lineRule="auto" w:before="154"/>
        <w:ind w:left="617" w:right="346"/>
        <w:jc w:val="left"/>
      </w:pPr>
      <w:r>
        <w:rPr>
          <w:rFonts w:ascii="Calibri" w:hAnsi="Calibri" w:cs="Calibri" w:eastAsia="Calibri" w:hint="default"/>
          <w:spacing w:val="-1"/>
        </w:rPr>
        <w:t>□</w:t>
      </w:r>
      <w:r>
        <w:rPr>
          <w:spacing w:val="-1"/>
        </w:rPr>
        <w:t>适用</w:t>
        <w:tab/>
      </w:r>
      <w:r>
        <w:rPr>
          <w:rFonts w:ascii="Calibri" w:hAnsi="Calibri" w:cs="Calibri" w:eastAsia="Calibri" w:hint="default"/>
        </w:rPr>
        <w:t>√</w:t>
      </w:r>
      <w:r>
        <w:rPr/>
        <w:t>不适用</w:t>
      </w: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19"/>
          <w:szCs w:val="19"/>
        </w:rPr>
      </w:pPr>
    </w:p>
    <w:p>
      <w:pPr>
        <w:pStyle w:val="BodyText"/>
        <w:spacing w:line="240" w:lineRule="auto" w:before="0"/>
        <w:ind w:left="617" w:right="346"/>
        <w:jc w:val="left"/>
      </w:pPr>
      <w:r>
        <w:rPr/>
        <w:t>研发投入资本化率大幅变动的原因及其合理性说明</w:t>
      </w:r>
    </w:p>
    <w:p>
      <w:pPr>
        <w:pStyle w:val="BodyText"/>
        <w:tabs>
          <w:tab w:pos="1481" w:val="left" w:leader="none"/>
        </w:tabs>
        <w:spacing w:line="326" w:lineRule="auto" w:before="154"/>
        <w:ind w:left="617" w:right="7327"/>
        <w:jc w:val="left"/>
      </w:pPr>
      <w:r>
        <w:rPr>
          <w:rFonts w:ascii="Calibri" w:hAnsi="Calibri" w:cs="Calibri" w:eastAsia="Calibri" w:hint="default"/>
          <w:spacing w:val="-1"/>
        </w:rPr>
        <w:t>□</w:t>
      </w:r>
      <w:r>
        <w:rPr>
          <w:spacing w:val="-1"/>
        </w:rPr>
        <w:t>适用</w:t>
        <w:tab/>
      </w:r>
      <w:r>
        <w:rPr>
          <w:rFonts w:ascii="Calibri" w:hAnsi="Calibri" w:cs="Calibri" w:eastAsia="Calibri" w:hint="default"/>
        </w:rPr>
        <w:t>√</w:t>
      </w:r>
      <w:r>
        <w:rPr/>
        <w:t>不适用</w:t>
      </w:r>
      <w:r>
        <w:rPr>
          <w:w w:val="99"/>
        </w:rPr>
        <w:t> </w:t>
      </w:r>
      <w:r>
        <w:rPr/>
        <w:t>近两年专利数情况</w:t>
      </w:r>
    </w:p>
    <w:p>
      <w:pPr>
        <w:pStyle w:val="BodyText"/>
        <w:spacing w:line="240" w:lineRule="auto" w:before="67"/>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900"/>
        <w:gridCol w:w="2235"/>
        <w:gridCol w:w="1983"/>
        <w:gridCol w:w="2371"/>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2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已申请</w:t>
            </w:r>
            <w:r>
              <w:rPr>
                <w:rFonts w:ascii="Microsoft JhengHei" w:hAnsi="Microsoft JhengHei" w:cs="Microsoft JhengHei" w:eastAsia="Microsoft JhengHei"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已获得</w:t>
            </w:r>
            <w:r>
              <w:rPr>
                <w:rFonts w:ascii="Microsoft JhengHei" w:hAnsi="Microsoft JhengHei" w:cs="Microsoft JhengHei" w:eastAsia="Microsoft JhengHei" w:hint="default"/>
                <w:sz w:val="21"/>
                <w:szCs w:val="21"/>
              </w:rPr>
            </w:r>
          </w:p>
        </w:tc>
        <w:tc>
          <w:tcPr>
            <w:tcW w:w="2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截至报告期末累计获得</w:t>
            </w:r>
            <w:r>
              <w:rPr>
                <w:rFonts w:ascii="Microsoft JhengHei" w:hAnsi="Microsoft JhengHei" w:cs="Microsoft JhengHei" w:eastAsia="Microsoft JhengHei" w:hint="default"/>
                <w:sz w:val="21"/>
                <w:szCs w:val="21"/>
              </w:rPr>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8"/>
              <w:jc w:val="center"/>
              <w:rPr>
                <w:rFonts w:ascii="Times New Roman" w:hAnsi="Times New Roman" w:cs="Times New Roman" w:eastAsia="Times New Roman" w:hint="default"/>
                <w:sz w:val="21"/>
                <w:szCs w:val="21"/>
              </w:rPr>
            </w:pPr>
            <w:r>
              <w:rPr>
                <w:rFonts w:ascii="Times New Roman"/>
                <w:w w:val="100"/>
                <w:sz w:val="21"/>
              </w:rPr>
              <w:t>6</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w w:val="100"/>
                <w:sz w:val="21"/>
              </w:rPr>
              <w:t>6</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w w:val="100"/>
                <w:sz w:val="21"/>
              </w:rPr>
              <w:t>0</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外观设计</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w w:val="100"/>
                <w:sz w:val="21"/>
              </w:rPr>
              <w:t>2</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w w:val="100"/>
                <w:sz w:val="21"/>
              </w:rPr>
              <w:t>2</w:t>
            </w:r>
          </w:p>
        </w:tc>
      </w:tr>
      <w:tr>
        <w:trPr>
          <w:trHeight w:val="634"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813" w:right="182" w:hanging="632"/>
              <w:jc w:val="left"/>
              <w:rPr>
                <w:rFonts w:ascii="宋体" w:hAnsi="宋体" w:cs="宋体" w:eastAsia="宋体" w:hint="default"/>
                <w:sz w:val="21"/>
                <w:szCs w:val="21"/>
              </w:rPr>
            </w:pPr>
            <w:r>
              <w:rPr>
                <w:rFonts w:ascii="宋体" w:hAnsi="宋体" w:cs="宋体" w:eastAsia="宋体" w:hint="default"/>
                <w:spacing w:val="-2"/>
                <w:sz w:val="21"/>
                <w:szCs w:val="21"/>
              </w:rPr>
              <w:t>本年度核心团队或关键技术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人员变动情况</w:t>
            </w:r>
          </w:p>
        </w:tc>
        <w:tc>
          <w:tcPr>
            <w:tcW w:w="6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未发生变动</w:t>
            </w:r>
          </w:p>
        </w:tc>
      </w:tr>
      <w:tr>
        <w:trPr>
          <w:trHeight w:val="634"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336" w:right="182" w:hanging="1155"/>
              <w:jc w:val="left"/>
              <w:rPr>
                <w:rFonts w:ascii="宋体" w:hAnsi="宋体" w:cs="宋体" w:eastAsia="宋体" w:hint="default"/>
                <w:sz w:val="21"/>
                <w:szCs w:val="21"/>
              </w:rPr>
            </w:pPr>
            <w:r>
              <w:rPr>
                <w:rFonts w:ascii="宋体" w:hAnsi="宋体" w:cs="宋体" w:eastAsia="宋体" w:hint="default"/>
                <w:spacing w:val="-2"/>
                <w:sz w:val="21"/>
                <w:szCs w:val="21"/>
              </w:rPr>
              <w:t>是否属于科技部认定高新企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w:t>
            </w:r>
          </w:p>
        </w:tc>
        <w:tc>
          <w:tcPr>
            <w:tcW w:w="6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39"/>
        <w:ind w:left="617" w:right="346"/>
        <w:jc w:val="left"/>
      </w:pPr>
      <w:r>
        <w:rPr/>
        <w:t>注：外观设计专利为公司全资子公司南康科技所获得的。</w:t>
      </w:r>
    </w:p>
    <w:p>
      <w:pPr>
        <w:spacing w:line="240" w:lineRule="auto" w:before="11"/>
        <w:rPr>
          <w:rFonts w:ascii="宋体" w:hAnsi="宋体" w:cs="宋体" w:eastAsia="宋体" w:hint="default"/>
          <w:sz w:val="28"/>
          <w:szCs w:val="28"/>
        </w:rPr>
      </w:pPr>
    </w:p>
    <w:p>
      <w:pPr>
        <w:pStyle w:val="Heading2"/>
        <w:spacing w:line="240" w:lineRule="auto"/>
        <w:ind w:left="137" w:right="346"/>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3274"/>
        <w:gridCol w:w="2158"/>
        <w:gridCol w:w="2156"/>
        <w:gridCol w:w="1901"/>
      </w:tblGrid>
      <w:tr>
        <w:trPr>
          <w:trHeight w:val="323"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9"/>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5"/>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543,108,177.61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422,539,341.96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28.53%</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414,061,297.41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343,727,134.86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20.46%</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b/>
                <w:spacing w:val="-1"/>
                <w:sz w:val="21"/>
              </w:rPr>
              <w:t>129,046,880.20</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b/>
                <w:spacing w:val="-1"/>
                <w:sz w:val="21"/>
              </w:rPr>
              <w:t>78,812,207.10</w:t>
            </w:r>
            <w:r>
              <w:rPr>
                <w:rFonts w:ascii="Times New Roman"/>
                <w:spacing w:val="-1"/>
                <w:sz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63.74%</w:t>
            </w:r>
            <w:r>
              <w:rPr>
                <w:rFonts w:ascii="Times New Roman"/>
                <w:sz w:val="21"/>
              </w:rPr>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128,404,893.63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2,683,080.56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4685.73%</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70,560,924.52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180,680,201.85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-60.95%</w:t>
            </w:r>
          </w:p>
        </w:tc>
      </w:tr>
      <w:tr>
        <w:trPr>
          <w:trHeight w:val="324"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投资活动产生的现金流量净额</w:t>
            </w:r>
            <w:r>
              <w:rPr>
                <w:rFonts w:ascii="Microsoft JhengHei" w:hAnsi="Microsoft JhengHei" w:cs="Microsoft JhengHei" w:eastAsia="Microsoft JhengHei" w:hint="default"/>
                <w:sz w:val="21"/>
                <w:szCs w:val="21"/>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1"/>
                <w:szCs w:val="21"/>
              </w:rPr>
            </w:pPr>
            <w:r>
              <w:rPr>
                <w:rFonts w:ascii="Times New Roman"/>
                <w:b/>
                <w:spacing w:val="-2"/>
                <w:sz w:val="21"/>
              </w:rPr>
              <w:t>57,843,969.11</w:t>
            </w:r>
            <w:r>
              <w:rPr>
                <w:rFonts w:ascii="Times New Roman"/>
                <w:spacing w:val="-2"/>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1"/>
                <w:szCs w:val="21"/>
              </w:rPr>
            </w:pPr>
            <w:r>
              <w:rPr>
                <w:rFonts w:ascii="Times New Roman"/>
                <w:b/>
                <w:spacing w:val="-1"/>
                <w:sz w:val="21"/>
              </w:rPr>
              <w:t>-177,997,121.29</w:t>
            </w:r>
            <w:r>
              <w:rPr>
                <w:rFonts w:ascii="Times New Roman"/>
                <w:spacing w:val="-1"/>
                <w:sz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132.50%</w:t>
            </w:r>
            <w:r>
              <w:rPr>
                <w:rFonts w:ascii="Times New Roman"/>
                <w:sz w:val="21"/>
              </w:rPr>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9,206,238.79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3,491,700.00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163.66%</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12,297,148.33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12,257,412.61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0.32%</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3273"/>
        <w:gridCol w:w="2159"/>
        <w:gridCol w:w="2156"/>
        <w:gridCol w:w="1901"/>
      </w:tblGrid>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筹资活动产生的现金流量净额</w:t>
            </w:r>
            <w:r>
              <w:rPr>
                <w:rFonts w:ascii="Microsoft JhengHei" w:hAnsi="Microsoft JhengHei" w:cs="Microsoft JhengHei" w:eastAsia="Microsoft JhengHei" w:hint="default"/>
                <w:sz w:val="21"/>
                <w:szCs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21"/>
                <w:szCs w:val="21"/>
              </w:rPr>
            </w:pPr>
            <w:r>
              <w:rPr>
                <w:rFonts w:ascii="Times New Roman"/>
                <w:b/>
                <w:spacing w:val="-1"/>
                <w:sz w:val="21"/>
              </w:rPr>
              <w:t>-3,090,909.54</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21"/>
                <w:szCs w:val="21"/>
              </w:rPr>
            </w:pPr>
            <w:r>
              <w:rPr>
                <w:rFonts w:ascii="Times New Roman"/>
                <w:b/>
                <w:spacing w:val="-1"/>
                <w:sz w:val="21"/>
              </w:rPr>
              <w:t>-8,765,712.61</w:t>
            </w:r>
            <w:r>
              <w:rPr>
                <w:rFonts w:ascii="Times New Roman"/>
                <w:spacing w:val="-1"/>
                <w:sz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02" w:right="0"/>
              <w:jc w:val="left"/>
              <w:rPr>
                <w:rFonts w:ascii="Times New Roman" w:hAnsi="Times New Roman" w:cs="Times New Roman" w:eastAsia="Times New Roman" w:hint="default"/>
                <w:sz w:val="21"/>
                <w:szCs w:val="21"/>
              </w:rPr>
            </w:pPr>
            <w:r>
              <w:rPr>
                <w:rFonts w:ascii="Times New Roman"/>
                <w:b/>
                <w:sz w:val="21"/>
              </w:rPr>
              <w:t>64.74%</w:t>
            </w:r>
            <w:r>
              <w:rPr>
                <w:rFonts w:ascii="Times New Roman"/>
                <w:sz w:val="21"/>
              </w:rPr>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6"/>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现金及现金等价物净增加额</w:t>
            </w:r>
            <w:r>
              <w:rPr>
                <w:rFonts w:ascii="Microsoft JhengHei" w:hAnsi="Microsoft JhengHei" w:cs="Microsoft JhengHei" w:eastAsia="Microsoft JhengHei" w:hint="default"/>
                <w:sz w:val="21"/>
                <w:szCs w:val="21"/>
              </w:rPr>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b/>
                <w:spacing w:val="-1"/>
                <w:sz w:val="21"/>
              </w:rPr>
              <w:t>184,266,272.90</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b/>
                <w:spacing w:val="-1"/>
                <w:sz w:val="21"/>
              </w:rPr>
              <w:t>-108,051,830.09</w:t>
            </w:r>
            <w:r>
              <w:rPr>
                <w:rFonts w:ascii="Times New Roman"/>
                <w:spacing w:val="-1"/>
                <w:sz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49" w:right="0"/>
              <w:jc w:val="left"/>
              <w:rPr>
                <w:rFonts w:ascii="Times New Roman" w:hAnsi="Times New Roman" w:cs="Times New Roman" w:eastAsia="Times New Roman" w:hint="default"/>
                <w:sz w:val="21"/>
                <w:szCs w:val="21"/>
              </w:rPr>
            </w:pPr>
            <w:r>
              <w:rPr>
                <w:rFonts w:ascii="Times New Roman"/>
                <w:b/>
                <w:sz w:val="21"/>
              </w:rPr>
              <w:t>270.54%</w:t>
            </w:r>
            <w:r>
              <w:rPr>
                <w:rFonts w:ascii="Times New Roman"/>
                <w:sz w:val="21"/>
              </w:rPr>
            </w:r>
          </w:p>
        </w:tc>
      </w:tr>
    </w:tbl>
    <w:p>
      <w:pPr>
        <w:pStyle w:val="BodyText"/>
        <w:spacing w:line="240" w:lineRule="auto" w:before="39"/>
        <w:ind w:left="617" w:right="346"/>
        <w:jc w:val="left"/>
      </w:pPr>
      <w:r>
        <w:rPr/>
        <w:t>相关数据同比发生重大变动的主要影响因素说明</w:t>
      </w:r>
    </w:p>
    <w:p>
      <w:pPr>
        <w:pStyle w:val="BodyText"/>
        <w:spacing w:line="338" w:lineRule="auto" w:before="154"/>
        <w:ind w:left="617" w:right="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w:t>
      </w:r>
      <w:r>
        <w:rPr>
          <w:rFonts w:ascii="宋体" w:hAnsi="宋体" w:cs="宋体" w:eastAsia="宋体" w:hint="default"/>
        </w:rPr>
        <w:t>1</w:t>
      </w:r>
      <w:r>
        <w:rPr/>
        <w:t>、经营活动产生的现金流量净额同比增长</w:t>
      </w:r>
      <w:r>
        <w:rPr>
          <w:rFonts w:ascii="宋体" w:hAnsi="宋体" w:cs="宋体" w:eastAsia="宋体" w:hint="default"/>
        </w:rPr>
        <w:t>63.74%</w:t>
      </w:r>
      <w:r>
        <w:rPr/>
        <w:t>，主要原因系由于本期公司营业额增</w:t>
      </w:r>
    </w:p>
    <w:p>
      <w:pPr>
        <w:pStyle w:val="BodyText"/>
        <w:spacing w:line="357" w:lineRule="auto" w:before="55"/>
        <w:ind w:right="365"/>
        <w:jc w:val="both"/>
      </w:pPr>
      <w:r>
        <w:rPr/>
        <w:t>加，同时公司加大对回款考核力度，通过多种手段催收账款，导致销售商品、提供劳务收 到的现金较上期增长</w:t>
      </w:r>
      <w:r>
        <w:rPr>
          <w:rFonts w:ascii="宋体" w:hAnsi="宋体" w:cs="宋体" w:eastAsia="宋体" w:hint="default"/>
        </w:rPr>
        <w:t>26.02%</w:t>
      </w:r>
      <w:r>
        <w:rPr/>
        <w:t>，同时由于收到政府补助经费增加和收到保证金增加导致收到 其他与经营活动有关的现金较上期增长</w:t>
      </w:r>
      <w:r>
        <w:rPr>
          <w:rFonts w:ascii="宋体" w:hAnsi="宋体" w:cs="宋体" w:eastAsia="宋体" w:hint="default"/>
        </w:rPr>
        <w:t>173.49%</w:t>
      </w:r>
      <w:r>
        <w:rPr/>
        <w:t>所致；</w:t>
      </w:r>
    </w:p>
    <w:p>
      <w:pPr>
        <w:pStyle w:val="BodyText"/>
        <w:spacing w:line="357" w:lineRule="auto" w:before="37"/>
        <w:ind w:right="229" w:firstLine="480"/>
        <w:jc w:val="left"/>
      </w:pPr>
      <w:r>
        <w:rPr>
          <w:rFonts w:ascii="宋体" w:hAnsi="宋体" w:cs="宋体" w:eastAsia="宋体" w:hint="default"/>
        </w:rPr>
        <w:t>2</w:t>
      </w:r>
      <w:r>
        <w:rPr/>
        <w:t>、投资活动现金流入同比增长</w:t>
      </w:r>
      <w:r>
        <w:rPr>
          <w:rFonts w:ascii="宋体" w:hAnsi="宋体" w:cs="宋体" w:eastAsia="宋体" w:hint="default"/>
        </w:rPr>
        <w:t>4685.73%</w:t>
      </w:r>
      <w:r>
        <w:rPr/>
        <w:t>，主要原因系由于银行定期存款收回及将到期 日小于三个月的定期存款确定为现金等价物导致收到其他与投资活动有关的现金较上期增 长</w:t>
      </w:r>
      <w:r>
        <w:rPr>
          <w:rFonts w:ascii="宋体" w:hAnsi="宋体" w:cs="宋体" w:eastAsia="宋体" w:hint="default"/>
        </w:rPr>
        <w:t>4995.84%</w:t>
      </w:r>
      <w:r>
        <w:rPr/>
        <w:t>所致；</w:t>
      </w:r>
    </w:p>
    <w:p>
      <w:pPr>
        <w:pStyle w:val="BodyText"/>
        <w:spacing w:line="357" w:lineRule="auto"/>
        <w:ind w:right="229" w:firstLine="480"/>
        <w:jc w:val="left"/>
      </w:pPr>
      <w:r>
        <w:rPr>
          <w:rFonts w:ascii="宋体" w:hAnsi="宋体" w:cs="宋体" w:eastAsia="宋体" w:hint="default"/>
        </w:rPr>
        <w:t>3</w:t>
      </w:r>
      <w:r>
        <w:rPr/>
        <w:t>、投资活动现金流出同比减少</w:t>
      </w:r>
      <w:r>
        <w:rPr>
          <w:rFonts w:ascii="宋体" w:hAnsi="宋体" w:cs="宋体" w:eastAsia="宋体" w:hint="default"/>
        </w:rPr>
        <w:t>60.95%</w:t>
      </w:r>
      <w:r>
        <w:rPr/>
        <w:t>，主要原因系由于将到期日小于三个月的定期存 款确定为现金等 价物导致支付其他与投资活动有关的现金较上期下降</w:t>
      </w:r>
      <w:r>
        <w:rPr>
          <w:rFonts w:ascii="宋体" w:hAnsi="宋体" w:cs="宋体" w:eastAsia="宋体" w:hint="default"/>
        </w:rPr>
        <w:t>99.22%</w:t>
      </w:r>
      <w:r>
        <w:rPr/>
        <w:t>所致；</w:t>
      </w:r>
    </w:p>
    <w:p>
      <w:pPr>
        <w:pStyle w:val="BodyText"/>
        <w:spacing w:line="357" w:lineRule="auto"/>
        <w:ind w:right="349" w:firstLine="480"/>
        <w:jc w:val="left"/>
      </w:pPr>
      <w:r>
        <w:rPr>
          <w:rFonts w:ascii="宋体" w:hAnsi="宋体" w:cs="宋体" w:eastAsia="宋体" w:hint="default"/>
        </w:rPr>
        <w:t>4</w:t>
      </w:r>
      <w:r>
        <w:rPr/>
        <w:t>、筹资活动现金流入同比增长</w:t>
      </w:r>
      <w:r>
        <w:rPr>
          <w:rFonts w:ascii="宋体" w:hAnsi="宋体" w:cs="宋体" w:eastAsia="宋体" w:hint="default"/>
        </w:rPr>
        <w:t>163.66%</w:t>
      </w:r>
      <w:r>
        <w:rPr/>
        <w:t>，主要原因系由于收到拟发行股份的保证金导 致收到其他与筹资活动有关的现金增加</w:t>
      </w:r>
      <w:r>
        <w:rPr>
          <w:rFonts w:ascii="宋体" w:hAnsi="宋体" w:cs="宋体" w:eastAsia="宋体" w:hint="default"/>
        </w:rPr>
        <w:t>8,802,511.59</w:t>
      </w:r>
      <w:r>
        <w:rPr/>
        <w:t>元所致；</w:t>
      </w:r>
    </w:p>
    <w:p>
      <w:pPr>
        <w:pStyle w:val="BodyText"/>
        <w:spacing w:line="240" w:lineRule="auto"/>
        <w:ind w:left="617" w:right="346"/>
        <w:jc w:val="left"/>
      </w:pPr>
      <w:r>
        <w:rPr/>
        <w:t>报告期内公司经营活动产生的现金净流量与本年度净利润存在重大差异的原因说明</w:t>
      </w:r>
    </w:p>
    <w:p>
      <w:pPr>
        <w:pStyle w:val="BodyText"/>
        <w:spacing w:line="338" w:lineRule="auto" w:before="154"/>
        <w:ind w:left="617" w:right="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w:t>
      </w:r>
      <w:r>
        <w:rPr>
          <w:rFonts w:ascii="宋体" w:hAnsi="宋体" w:cs="宋体" w:eastAsia="宋体" w:hint="default"/>
        </w:rPr>
        <w:t>1</w:t>
      </w:r>
      <w:r>
        <w:rPr/>
        <w:t>）报告期内，公司营业收入增加，同时公司加大回款考核力度，使得报告期内公司的</w:t>
      </w:r>
    </w:p>
    <w:p>
      <w:pPr>
        <w:pStyle w:val="BodyText"/>
        <w:spacing w:line="357" w:lineRule="auto" w:before="55"/>
        <w:ind w:left="617" w:right="229" w:hanging="480"/>
        <w:jc w:val="left"/>
      </w:pPr>
      <w:r>
        <w:rPr/>
        <w:t>经营性活动产生的现金流较好； </w:t>
      </w:r>
      <w:r>
        <w:rPr>
          <w:rFonts w:ascii="宋体" w:hAnsi="宋体" w:cs="宋体" w:eastAsia="宋体" w:hint="default"/>
        </w:rPr>
        <w:t>2</w:t>
      </w:r>
      <w:r>
        <w:rPr/>
        <w:t>）公司工程项目成本的确认原则为按照完工进度确认相应成本，而实际上部分与所确</w:t>
      </w:r>
    </w:p>
    <w:p>
      <w:pPr>
        <w:pStyle w:val="BodyText"/>
        <w:spacing w:line="357" w:lineRule="auto"/>
        <w:ind w:right="589"/>
        <w:jc w:val="left"/>
      </w:pPr>
      <w:r>
        <w:rPr/>
        <w:t>认的成本相关的现金支付尚未在报告期内完成，因此，营业成本中包含了部分非付现成 本。</w:t>
      </w:r>
    </w:p>
    <w:p>
      <w:pPr>
        <w:pStyle w:val="Heading2"/>
        <w:spacing w:line="240" w:lineRule="auto" w:before="183"/>
        <w:ind w:left="137" w:right="0"/>
        <w:jc w:val="both"/>
        <w:rPr>
          <w:b w:val="0"/>
          <w:bCs w:val="0"/>
        </w:rPr>
      </w:pPr>
      <w:bookmarkStart w:name="_bookmark17" w:id="18"/>
      <w:bookmarkEnd w:id="18"/>
      <w:r>
        <w:rPr>
          <w:b w:val="0"/>
          <w:bCs w:val="0"/>
        </w:rPr>
      </w:r>
      <w:r>
        <w:rPr/>
        <w:t>三、非主营业务情况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before="148"/>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66" w:type="dxa"/>
        <w:tblLayout w:type="fixed"/>
        <w:tblCellMar>
          <w:top w:w="0" w:type="dxa"/>
          <w:left w:w="0" w:type="dxa"/>
          <w:bottom w:w="0" w:type="dxa"/>
          <w:right w:w="0" w:type="dxa"/>
        </w:tblCellMar>
        <w:tblLook w:val="01E0"/>
      </w:tblPr>
      <w:tblGrid>
        <w:gridCol w:w="1559"/>
        <w:gridCol w:w="1559"/>
        <w:gridCol w:w="1560"/>
        <w:gridCol w:w="3121"/>
        <w:gridCol w:w="1772"/>
      </w:tblGrid>
      <w:tr>
        <w:trPr>
          <w:trHeight w:val="32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占利润总额比例</w:t>
            </w:r>
            <w:r>
              <w:rPr>
                <w:rFonts w:ascii="Microsoft JhengHei" w:hAnsi="Microsoft JhengHei" w:cs="Microsoft JhengHei" w:eastAsia="Microsoft JhengHei"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形成原因说明</w:t>
            </w:r>
            <w:r>
              <w:rPr>
                <w:rFonts w:ascii="Microsoft JhengHei" w:hAnsi="Microsoft JhengHei" w:cs="Microsoft JhengHei" w:eastAsia="Microsoft JhengHei"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是否具有可持续性</w:t>
            </w:r>
            <w:r>
              <w:rPr>
                <w:rFonts w:ascii="Microsoft JhengHei" w:hAnsi="Microsoft JhengHei" w:cs="Microsoft JhengHei" w:eastAsia="Microsoft JhengHei" w:hint="default"/>
                <w:sz w:val="21"/>
                <w:szCs w:val="21"/>
              </w:rPr>
            </w:r>
          </w:p>
        </w:tc>
      </w:tr>
      <w:tr>
        <w:trPr>
          <w:trHeight w:val="634"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125,766.08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0.20%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44"/>
              <w:jc w:val="left"/>
              <w:rPr>
                <w:rFonts w:ascii="宋体" w:hAnsi="宋体" w:cs="宋体" w:eastAsia="宋体" w:hint="default"/>
                <w:sz w:val="21"/>
                <w:szCs w:val="21"/>
              </w:rPr>
            </w:pPr>
            <w:r>
              <w:rPr>
                <w:rFonts w:ascii="宋体" w:hAnsi="宋体" w:cs="宋体" w:eastAsia="宋体" w:hint="default"/>
                <w:spacing w:val="-2"/>
                <w:sz w:val="21"/>
                <w:szCs w:val="21"/>
              </w:rPr>
              <w:t>可供出售金融资产和长期股权投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资收益取得的投资收益</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资产减值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4,423,142.82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4"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23,536,250.32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37.24%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sz w:val="21"/>
                <w:szCs w:val="21"/>
              </w:rPr>
              <w:t>非流动资产处置利得和政府补助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446,612.85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0.71%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62" w:lineRule="exact"/>
        <w:jc w:val="center"/>
        <w:rPr>
          <w:rFonts w:ascii="宋体" w:hAnsi="宋体" w:cs="宋体" w:eastAsia="宋体" w:hint="default"/>
          <w:sz w:val="21"/>
          <w:szCs w:val="21"/>
        </w:rPr>
        <w:sectPr>
          <w:footerReference w:type="default" r:id="rId18"/>
          <w:pgSz w:w="11910" w:h="16840"/>
          <w:pgMar w:footer="1085" w:header="877" w:top="1220" w:bottom="1280" w:left="1140" w:right="900"/>
        </w:sectPr>
      </w:pPr>
    </w:p>
    <w:p>
      <w:pPr>
        <w:spacing w:line="240" w:lineRule="auto" w:before="10"/>
        <w:rPr>
          <w:rFonts w:ascii="宋体" w:hAnsi="宋体" w:cs="宋体" w:eastAsia="宋体" w:hint="default"/>
          <w:sz w:val="10"/>
          <w:szCs w:val="10"/>
        </w:rPr>
      </w:pPr>
    </w:p>
    <w:p>
      <w:pPr>
        <w:pStyle w:val="Heading2"/>
        <w:spacing w:line="367" w:lineRule="exact"/>
        <w:ind w:left="137" w:right="229"/>
        <w:jc w:val="left"/>
        <w:rPr>
          <w:b w:val="0"/>
          <w:bCs w:val="0"/>
        </w:rPr>
      </w:pPr>
      <w:bookmarkStart w:name="_bookmark18" w:id="19"/>
      <w:bookmarkEnd w:id="19"/>
      <w:r>
        <w:rPr>
          <w:b w:val="0"/>
          <w:bCs w:val="0"/>
        </w:rPr>
      </w:r>
      <w:r>
        <w:rPr/>
        <w:t>四、资产及负债状况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、资产构成重大变动情况</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23"/>
          <w:szCs w:val="23"/>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153"/>
        <w:gridCol w:w="2077"/>
        <w:gridCol w:w="1220"/>
        <w:gridCol w:w="1889"/>
        <w:gridCol w:w="970"/>
        <w:gridCol w:w="1181"/>
      </w:tblGrid>
      <w:tr>
        <w:trPr>
          <w:trHeight w:val="322" w:hRule="exact"/>
        </w:trPr>
        <w:tc>
          <w:tcPr>
            <w:tcW w:w="215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7"/>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8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7"/>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1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tc>
      </w:tr>
      <w:tr>
        <w:trPr>
          <w:trHeight w:val="634" w:hRule="exact"/>
        </w:trPr>
        <w:tc>
          <w:tcPr>
            <w:tcW w:w="2153" w:type="dxa"/>
            <w:vMerge/>
            <w:tcBorders>
              <w:left w:val="single" w:sz="4" w:space="0" w:color="000000"/>
              <w:bottom w:val="single" w:sz="4" w:space="0" w:color="000000"/>
              <w:right w:val="single" w:sz="4" w:space="0" w:color="000000"/>
            </w:tcBorders>
            <w:shd w:val="clear" w:color="auto" w:fill="D9D9D9"/>
          </w:tcPr>
          <w:p>
            <w:pPr/>
          </w:p>
        </w:tc>
        <w:tc>
          <w:tcPr>
            <w:tcW w:w="2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w:t>
            </w:r>
            <w:r>
              <w:rPr>
                <w:rFonts w:ascii="Microsoft JhengHei" w:hAnsi="Microsoft JhengHei" w:cs="Microsoft JhengHei" w:eastAsia="Microsoft JhengHei" w:hint="default"/>
                <w:sz w:val="21"/>
                <w:szCs w:val="21"/>
              </w:rPr>
            </w:r>
          </w:p>
          <w:p>
            <w:pPr>
              <w:pStyle w:val="TableParagraph"/>
              <w:spacing w:line="339" w:lineRule="exact"/>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产比例</w:t>
            </w:r>
            <w:r>
              <w:rPr>
                <w:rFonts w:ascii="Microsoft JhengHei" w:hAnsi="Microsoft JhengHei" w:cs="Microsoft JhengHei" w:eastAsia="Microsoft JhengHei" w:hint="default"/>
                <w:sz w:val="21"/>
                <w:szCs w:val="21"/>
              </w:rPr>
            </w:r>
          </w:p>
        </w:tc>
        <w:tc>
          <w:tcPr>
            <w:tcW w:w="1181"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373,976,558.12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36.06%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315,351,540.47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-0.37%</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1,677,500.00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428,000.00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164,785,262.74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15.89%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139,591,688.69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16.13%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-0.24%</w:t>
            </w:r>
          </w:p>
        </w:tc>
      </w:tr>
      <w:tr>
        <w:trPr>
          <w:trHeight w:val="32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6,148,971.76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0.59%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29,928,557.38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-2.87%</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2,025,024.54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1,063,112.52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0.08%</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18,838,434.17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14,956,469.16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0.09%</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2,776,773.72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2,500,981.98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-0.02%</w:t>
            </w:r>
          </w:p>
        </w:tc>
      </w:tr>
      <w:tr>
        <w:trPr>
          <w:trHeight w:val="63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859" w:right="122" w:hanging="735"/>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481,674.04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4,502,094.73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-0.47%</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10,000,000.00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0.96%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105,342.19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0.95%</w:t>
            </w:r>
          </w:p>
        </w:tc>
      </w:tr>
      <w:tr>
        <w:trPr>
          <w:trHeight w:val="32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580,710,199.09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56.00%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508,427,787.12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58.74%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-2.74%</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8,011,313.75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0.77%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3,010,787.91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0.42%</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长期应收款</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678,112.77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650,951.12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1,394,528.08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1,347,552.64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-0.03%</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123,479,424.17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11.91%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90,473,206.66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1.46%</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174,290,035.70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16.81%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206,484,396.07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-7.05%</w:t>
            </w:r>
          </w:p>
        </w:tc>
      </w:tr>
      <w:tr>
        <w:trPr>
          <w:trHeight w:val="32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47,812,218.58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2"/>
                <w:sz w:val="21"/>
              </w:rPr>
              <w:t>33,963,111.07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3.92%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0.69%</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29,162,593.50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2.81%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3,868,705.20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2.36%</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商誉</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62,504,221.18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6.03%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1,312,138.80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0.15%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5.88%</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355,941.95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100"/>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8,556,614.81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0.83%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5,140,623.19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0.24%</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其他非流动资产</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10,842,652.00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-1.25%</w:t>
            </w:r>
          </w:p>
        </w:tc>
      </w:tr>
      <w:tr>
        <w:trPr>
          <w:trHeight w:val="324"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456,245,004.49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44.00%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357,094,124.66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41.26%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2.74%</w:t>
            </w:r>
          </w:p>
        </w:tc>
      </w:tr>
      <w:tr>
        <w:trPr>
          <w:trHeight w:val="322" w:hRule="exact"/>
        </w:trPr>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1,036,955,203.58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865,521,911.78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38" w:lineRule="auto" w:before="39"/>
        <w:ind w:left="617" w:right="190"/>
        <w:jc w:val="left"/>
      </w:pPr>
      <w:r>
        <w:rPr/>
        <w:t>报告期内，应收票据较上期增长</w:t>
      </w:r>
      <w:r>
        <w:rPr>
          <w:spacing w:val="-61"/>
        </w:rPr>
        <w:t> </w:t>
      </w:r>
      <w:r>
        <w:rPr>
          <w:rFonts w:ascii="Times New Roman" w:hAnsi="Times New Roman" w:cs="Times New Roman" w:eastAsia="Times New Roman" w:hint="default"/>
        </w:rPr>
        <w:t>291.94%</w:t>
      </w:r>
      <w:r>
        <w:rPr/>
        <w:t>，主要原因系收到承兑汇票增加所致。 报告期内，预付账款较上期减少</w:t>
      </w:r>
      <w:r>
        <w:rPr>
          <w:spacing w:val="-61"/>
        </w:rPr>
        <w:t> </w:t>
      </w:r>
      <w:r>
        <w:rPr>
          <w:rFonts w:ascii="Times New Roman" w:hAnsi="Times New Roman" w:cs="Times New Roman" w:eastAsia="Times New Roman" w:hint="default"/>
        </w:rPr>
        <w:t>79.45%</w:t>
      </w:r>
      <w:r>
        <w:rPr/>
        <w:t>，主要原因系日本超图预付账款变动所致。 报告期内，一年内到期的非流动资产较上期减少</w:t>
      </w:r>
      <w:r>
        <w:rPr>
          <w:spacing w:val="-61"/>
        </w:rPr>
        <w:t> </w:t>
      </w:r>
      <w:r>
        <w:rPr>
          <w:rFonts w:ascii="Times New Roman" w:hAnsi="Times New Roman" w:cs="Times New Roman" w:eastAsia="Times New Roman" w:hint="default"/>
        </w:rPr>
        <w:t>89.30%</w:t>
      </w:r>
      <w:r>
        <w:rPr/>
        <w:t>，主要原因系长期应收款结算</w:t>
      </w:r>
    </w:p>
    <w:p>
      <w:pPr>
        <w:pStyle w:val="BodyText"/>
        <w:spacing w:line="240" w:lineRule="auto" w:before="27"/>
        <w:ind w:right="229"/>
        <w:jc w:val="left"/>
      </w:pPr>
      <w:r>
        <w:rPr/>
        <w:t>回款所致。</w:t>
      </w:r>
    </w:p>
    <w:p>
      <w:pPr>
        <w:pStyle w:val="BodyText"/>
        <w:spacing w:line="338" w:lineRule="auto" w:before="154"/>
        <w:ind w:right="190" w:firstLine="480"/>
        <w:jc w:val="left"/>
      </w:pPr>
      <w:r>
        <w:rPr/>
        <w:t>报告期内，其他流动资产较上期增长</w:t>
      </w:r>
      <w:r>
        <w:rPr>
          <w:spacing w:val="-61"/>
        </w:rPr>
        <w:t> </w:t>
      </w:r>
      <w:r>
        <w:rPr>
          <w:rFonts w:ascii="Times New Roman" w:hAnsi="Times New Roman" w:cs="Times New Roman" w:eastAsia="Times New Roman" w:hint="default"/>
        </w:rPr>
        <w:t>9392.87%</w:t>
      </w:r>
      <w:r>
        <w:rPr/>
        <w:t>，主要原因系上海南康科技有限公司进 行的上海银行</w:t>
      </w:r>
      <w:r>
        <w:rPr>
          <w:rFonts w:ascii="Times New Roman" w:hAnsi="Times New Roman" w:cs="Times New Roman" w:eastAsia="Times New Roman" w:hint="default"/>
        </w:rPr>
        <w:t>“</w:t>
      </w:r>
      <w:r>
        <w:rPr/>
        <w:t>赢家</w:t>
      </w:r>
      <w:r>
        <w:rPr>
          <w:rFonts w:ascii="Times New Roman" w:hAnsi="Times New Roman" w:cs="Times New Roman" w:eastAsia="Times New Roman" w:hint="default"/>
        </w:rPr>
        <w:t>”33 </w:t>
      </w:r>
      <w:r>
        <w:rPr/>
        <w:t>天保本理财产品所致。</w:t>
      </w:r>
    </w:p>
    <w:p>
      <w:pPr>
        <w:pStyle w:val="BodyText"/>
        <w:spacing w:line="240" w:lineRule="auto" w:before="26"/>
        <w:ind w:left="617" w:right="229"/>
        <w:jc w:val="left"/>
      </w:pPr>
      <w:r>
        <w:rPr/>
        <w:t>报告期内，可供出售金融资产较上期增长</w:t>
      </w:r>
      <w:r>
        <w:rPr>
          <w:spacing w:val="-61"/>
        </w:rPr>
        <w:t> </w:t>
      </w:r>
      <w:r>
        <w:rPr>
          <w:rFonts w:ascii="Times New Roman" w:hAnsi="Times New Roman" w:cs="Times New Roman" w:eastAsia="Times New Roman" w:hint="default"/>
        </w:rPr>
        <w:t>166.09%</w:t>
      </w:r>
      <w:r>
        <w:rPr/>
        <w:t>，主要原因系公司投资宁波超图道</w:t>
      </w:r>
    </w:p>
    <w:p>
      <w:pPr>
        <w:spacing w:after="0" w:line="240" w:lineRule="auto"/>
        <w:jc w:val="left"/>
        <w:sectPr>
          <w:footerReference w:type="default" r:id="rId19"/>
          <w:pgSz w:w="11910" w:h="16840"/>
          <w:pgMar w:footer="1085" w:header="877" w:top="1220" w:bottom="1280" w:left="1140" w:right="980"/>
          <w:pgNumType w:start="31"/>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t>乐股权投资合伙企业</w:t>
      </w:r>
      <w:r>
        <w:rPr>
          <w:spacing w:val="-61"/>
        </w:rPr>
        <w:t> </w:t>
      </w:r>
      <w:r>
        <w:rPr>
          <w:rFonts w:ascii="Times New Roman" w:hAnsi="Times New Roman" w:cs="Times New Roman" w:eastAsia="Times New Roman" w:hint="default"/>
        </w:rPr>
        <w:t>5,000,000 </w:t>
      </w:r>
      <w:r>
        <w:rPr/>
        <w:t>元所致。</w:t>
      </w:r>
    </w:p>
    <w:p>
      <w:pPr>
        <w:pStyle w:val="BodyText"/>
        <w:spacing w:line="338" w:lineRule="auto" w:before="135"/>
        <w:ind w:right="295" w:firstLine="480"/>
        <w:jc w:val="left"/>
      </w:pPr>
      <w:r>
        <w:rPr/>
        <w:t>报告期内，投资性房地产较上期增长</w:t>
      </w:r>
      <w:r>
        <w:rPr>
          <w:spacing w:val="-61"/>
        </w:rPr>
        <w:t> </w:t>
      </w:r>
      <w:r>
        <w:rPr>
          <w:rFonts w:ascii="Times New Roman" w:hAnsi="Times New Roman" w:cs="Times New Roman" w:eastAsia="Times New Roman" w:hint="default"/>
        </w:rPr>
        <w:t>36.48%</w:t>
      </w:r>
      <w:r>
        <w:rPr/>
        <w:t>，主要原因系</w:t>
      </w:r>
      <w:r>
        <w:rPr>
          <w:spacing w:val="-61"/>
        </w:rPr>
        <w:t> </w:t>
      </w:r>
      <w:r>
        <w:rPr>
          <w:rFonts w:ascii="Times New Roman" w:hAnsi="Times New Roman" w:cs="Times New Roman" w:eastAsia="Times New Roman" w:hint="default"/>
        </w:rPr>
        <w:t>107</w:t>
      </w:r>
      <w:r>
        <w:rPr>
          <w:rFonts w:ascii="Times New Roman" w:hAnsi="Times New Roman" w:cs="Times New Roman" w:eastAsia="Times New Roman" w:hint="default"/>
          <w:spacing w:val="-1"/>
        </w:rPr>
        <w:t> </w:t>
      </w:r>
      <w:r>
        <w:rPr/>
        <w:t>楼</w:t>
      </w:r>
      <w:r>
        <w:rPr>
          <w:spacing w:val="-6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层、</w:t>
      </w:r>
      <w:r>
        <w:rPr>
          <w:rFonts w:ascii="Times New Roman" w:hAnsi="Times New Roman" w:cs="Times New Roman" w:eastAsia="Times New Roman" w:hint="default"/>
        </w:rPr>
        <w:t>201</w:t>
      </w:r>
      <w:r>
        <w:rPr>
          <w:rFonts w:ascii="Times New Roman" w:hAnsi="Times New Roman" w:cs="Times New Roman" w:eastAsia="Times New Roman" w:hint="default"/>
          <w:spacing w:val="-1"/>
        </w:rPr>
        <w:t> </w:t>
      </w:r>
      <w:r>
        <w:rPr/>
        <w:t>楼部分 房屋在报告期用于经营性出租，将固定资产转入投资性房地产所致。</w:t>
      </w:r>
    </w:p>
    <w:p>
      <w:pPr>
        <w:pStyle w:val="BodyText"/>
        <w:spacing w:line="338" w:lineRule="auto" w:before="55"/>
        <w:ind w:right="348" w:firstLine="480"/>
        <w:jc w:val="left"/>
      </w:pPr>
      <w:r>
        <w:rPr/>
        <w:t>报告期内，无形资产较上期增长</w:t>
      </w:r>
      <w:r>
        <w:rPr>
          <w:spacing w:val="-62"/>
        </w:rPr>
        <w:t> </w:t>
      </w:r>
      <w:r>
        <w:rPr>
          <w:rFonts w:ascii="Times New Roman" w:hAnsi="Times New Roman" w:cs="Times New Roman" w:eastAsia="Times New Roman" w:hint="default"/>
        </w:rPr>
        <w:t>40.78%</w:t>
      </w:r>
      <w:r>
        <w:rPr/>
        <w:t>，主要原因系公司主自研发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58"/>
        </w:rPr>
        <w:t> </w:t>
      </w:r>
      <w:r>
        <w:rPr/>
        <w:t>系列产品形 成的无形资产增加所致。</w:t>
      </w:r>
    </w:p>
    <w:p>
      <w:pPr>
        <w:pStyle w:val="BodyText"/>
        <w:spacing w:line="338" w:lineRule="auto" w:before="55"/>
        <w:ind w:right="310" w:firstLine="480"/>
        <w:jc w:val="left"/>
      </w:pPr>
      <w:r>
        <w:rPr/>
        <w:t>报告期内，开发支出较上期增长</w:t>
      </w:r>
      <w:r>
        <w:rPr>
          <w:spacing w:val="-61"/>
        </w:rPr>
        <w:t> </w:t>
      </w:r>
      <w:r>
        <w:rPr>
          <w:rFonts w:ascii="Times New Roman" w:hAnsi="Times New Roman" w:cs="Times New Roman" w:eastAsia="Times New Roman" w:hint="default"/>
        </w:rPr>
        <w:t>653.81%</w:t>
      </w:r>
      <w:r>
        <w:rPr/>
        <w:t>，主要原因系日本超图软件产品研发投入增 加所致。</w:t>
      </w:r>
    </w:p>
    <w:p>
      <w:pPr>
        <w:pStyle w:val="BodyText"/>
        <w:spacing w:line="338" w:lineRule="auto" w:before="55"/>
        <w:ind w:right="191" w:firstLine="480"/>
        <w:jc w:val="left"/>
      </w:pPr>
      <w:r>
        <w:rPr/>
        <w:t>报告期内，商誉较上期增长</w:t>
      </w:r>
      <w:r>
        <w:rPr>
          <w:spacing w:val="-62"/>
        </w:rPr>
        <w:t> </w:t>
      </w:r>
      <w:r>
        <w:rPr>
          <w:rFonts w:ascii="Times New Roman" w:hAnsi="Times New Roman" w:cs="Times New Roman" w:eastAsia="Times New Roman" w:hint="default"/>
        </w:rPr>
        <w:t>4663.54%</w:t>
      </w:r>
      <w:r>
        <w:rPr/>
        <w:t>，主要原因系本期收购上海南康公司，形成商誉 增加所致。</w:t>
      </w:r>
    </w:p>
    <w:p>
      <w:pPr>
        <w:pStyle w:val="BodyText"/>
        <w:spacing w:line="338" w:lineRule="auto" w:before="55"/>
        <w:ind w:right="372" w:firstLine="480"/>
        <w:jc w:val="left"/>
      </w:pPr>
      <w:r>
        <w:rPr/>
        <w:t>报告期内，长期待摊费用为</w:t>
      </w:r>
      <w:r>
        <w:rPr>
          <w:spacing w:val="-61"/>
        </w:rPr>
        <w:t> </w:t>
      </w:r>
      <w:r>
        <w:rPr>
          <w:rFonts w:ascii="Times New Roman" w:hAnsi="Times New Roman" w:cs="Times New Roman" w:eastAsia="Times New Roman" w:hint="default"/>
        </w:rPr>
        <w:t>355,941.95</w:t>
      </w:r>
      <w:r>
        <w:rPr>
          <w:rFonts w:ascii="Times New Roman" w:hAnsi="Times New Roman" w:cs="Times New Roman" w:eastAsia="Times New Roman" w:hint="default"/>
          <w:spacing w:val="-1"/>
        </w:rPr>
        <w:t> </w:t>
      </w:r>
      <w:r>
        <w:rPr/>
        <w:t>元，较上期增长</w:t>
      </w:r>
      <w:r>
        <w:rPr>
          <w:spacing w:val="-61"/>
        </w:rPr>
        <w:t> </w:t>
      </w:r>
      <w:r>
        <w:rPr>
          <w:rFonts w:ascii="Times New Roman" w:hAnsi="Times New Roman" w:cs="Times New Roman" w:eastAsia="Times New Roman" w:hint="default"/>
        </w:rPr>
        <w:t>100%</w:t>
      </w:r>
      <w:r>
        <w:rPr/>
        <w:t>，主要原因系报告期内 发生固定资产装修支出所致。</w:t>
      </w:r>
    </w:p>
    <w:p>
      <w:pPr>
        <w:pStyle w:val="BodyText"/>
        <w:spacing w:line="338" w:lineRule="auto" w:before="55"/>
        <w:ind w:right="190" w:firstLine="480"/>
        <w:jc w:val="left"/>
      </w:pPr>
      <w:r>
        <w:rPr/>
        <w:t>报告期内，递延所得税资产较上期增长</w:t>
      </w:r>
      <w:r>
        <w:rPr>
          <w:spacing w:val="-61"/>
        </w:rPr>
        <w:t> </w:t>
      </w:r>
      <w:r>
        <w:rPr>
          <w:rFonts w:ascii="Times New Roman" w:hAnsi="Times New Roman" w:cs="Times New Roman" w:eastAsia="Times New Roman" w:hint="default"/>
        </w:rPr>
        <w:t>66.45%</w:t>
      </w:r>
      <w:r>
        <w:rPr/>
        <w:t>，主要原因系本期计提资产减值准备导 致递延所得税资产增加。</w:t>
      </w:r>
    </w:p>
    <w:p>
      <w:pPr>
        <w:pStyle w:val="BodyText"/>
        <w:spacing w:line="338" w:lineRule="auto" w:before="55"/>
        <w:ind w:right="314" w:firstLine="480"/>
        <w:jc w:val="left"/>
      </w:pPr>
      <w:r>
        <w:rPr/>
        <w:t>报告期内，其他非流动资产为</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元，较上期下降</w:t>
      </w:r>
      <w:r>
        <w:rPr>
          <w:spacing w:val="-61"/>
        </w:rPr>
        <w:t> </w:t>
      </w:r>
      <w:r>
        <w:rPr>
          <w:rFonts w:ascii="Times New Roman" w:hAnsi="Times New Roman" w:cs="Times New Roman" w:eastAsia="Times New Roman" w:hint="default"/>
        </w:rPr>
        <w:t>10,842,652.00</w:t>
      </w:r>
      <w:r>
        <w:rPr>
          <w:rFonts w:ascii="Times New Roman" w:hAnsi="Times New Roman" w:cs="Times New Roman" w:eastAsia="Times New Roman" w:hint="default"/>
          <w:spacing w:val="-1"/>
        </w:rPr>
        <w:t> </w:t>
      </w:r>
      <w:r>
        <w:rPr/>
        <w:t>元，降幅为</w:t>
      </w:r>
      <w:r>
        <w:rPr>
          <w:spacing w:val="-61"/>
        </w:rPr>
        <w:t> </w:t>
      </w:r>
      <w:r>
        <w:rPr>
          <w:rFonts w:ascii="Times New Roman" w:hAnsi="Times New Roman" w:cs="Times New Roman" w:eastAsia="Times New Roman" w:hint="default"/>
        </w:rPr>
        <w:t>100%</w:t>
      </w:r>
      <w:r>
        <w:rPr/>
        <w:t>，主 要原因系上期西安购房款已结转为固定资产所致。</w:t>
      </w:r>
    </w:p>
    <w:p>
      <w:pPr>
        <w:spacing w:line="240" w:lineRule="auto" w:before="5"/>
        <w:rPr>
          <w:rFonts w:ascii="宋体" w:hAnsi="宋体" w:cs="宋体" w:eastAsia="宋体" w:hint="default"/>
          <w:sz w:val="21"/>
          <w:szCs w:val="21"/>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2263"/>
        <w:gridCol w:w="1702"/>
        <w:gridCol w:w="1275"/>
        <w:gridCol w:w="1702"/>
        <w:gridCol w:w="1133"/>
        <w:gridCol w:w="1414"/>
      </w:tblGrid>
      <w:tr>
        <w:trPr>
          <w:trHeight w:val="322" w:hRule="exact"/>
        </w:trPr>
        <w:tc>
          <w:tcPr>
            <w:tcW w:w="22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tc>
      </w:tr>
      <w:tr>
        <w:trPr>
          <w:trHeight w:val="946" w:hRule="exact"/>
        </w:trPr>
        <w:tc>
          <w:tcPr>
            <w:tcW w:w="2263"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06" w:right="106"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sz w:val="21"/>
                <w:szCs w:val="21"/>
              </w:rPr>
            </w:r>
          </w:p>
          <w:p>
            <w:pPr>
              <w:pStyle w:val="TableParagraph"/>
              <w:spacing w:line="312"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41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4,823,428.75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4,644,965.82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0.54%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-0.07%</w:t>
            </w:r>
          </w:p>
        </w:tc>
      </w:tr>
      <w:tr>
        <w:trPr>
          <w:trHeight w:val="32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应付帐款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2"/>
                <w:sz w:val="21"/>
              </w:rPr>
              <w:t>113,693,422.23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10.96%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83,858,945.61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9.69%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1.27%</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47,816,735.96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39,614,310.26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4.58%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0.03%</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23,226,634.82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16,098,396.24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0.38%</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18,030,991.59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19,447,016.47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-0.51%</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26,974.84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0.0026%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24,884.99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0.0029%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-0.0003%</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1,708,322.60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821,321.30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0.07%</w:t>
            </w:r>
          </w:p>
        </w:tc>
      </w:tr>
      <w:tr>
        <w:trPr>
          <w:trHeight w:val="32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47,581,250.95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4.59%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25,718,997.76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2.97%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1.62%</w:t>
            </w:r>
          </w:p>
        </w:tc>
      </w:tr>
      <w:tr>
        <w:trPr>
          <w:trHeight w:val="63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14" w:right="177" w:hanging="735"/>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18,243,867.63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3,634,928.19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0.42%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1.34%</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269,230.76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-0.03%</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流动负债合计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275,151,629.37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194,132,997.40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22.43%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085" w:top="1220" w:bottom="1280" w:left="1140" w:right="98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2262"/>
        <w:gridCol w:w="1703"/>
        <w:gridCol w:w="1275"/>
        <w:gridCol w:w="1702"/>
        <w:gridCol w:w="1133"/>
        <w:gridCol w:w="1414"/>
      </w:tblGrid>
      <w:tr>
        <w:trPr>
          <w:trHeight w:val="322" w:hRule="exact"/>
        </w:trPr>
        <w:tc>
          <w:tcPr>
            <w:tcW w:w="22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8" w:lineRule="exact"/>
              <w:ind w:left="1"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5,655,934.34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0.55%</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pacing w:val="-1"/>
                <w:sz w:val="21"/>
              </w:rPr>
              <w:t>6,010,545.19</w:t>
            </w:r>
          </w:p>
        </w:tc>
        <w:tc>
          <w:tcPr>
            <w:tcW w:w="11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0.69%</w:t>
            </w:r>
          </w:p>
        </w:tc>
        <w:tc>
          <w:tcPr>
            <w:tcW w:w="14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-0.14%</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41,429,637.72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4.00%</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10,190,763.43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3,382,908.35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0.59%</w:t>
            </w:r>
          </w:p>
        </w:tc>
      </w:tr>
      <w:tr>
        <w:trPr>
          <w:trHeight w:val="324"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153,029.25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0.015%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z w:val="21"/>
              </w:rPr>
              <w:t>0.015%</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非流动负债总计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57,429,364.74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9,393,453.54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1.09%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4.45%</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负债总计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332,580,994.11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32.07%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203,526,450.94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23.51%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8.56%</w:t>
            </w:r>
          </w:p>
        </w:tc>
      </w:tr>
      <w:tr>
        <w:trPr>
          <w:trHeight w:val="322" w:hRule="exact"/>
        </w:trPr>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1,036,955,203.58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2"/>
                <w:sz w:val="21"/>
              </w:rPr>
              <w:t>865,521,911.78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26" w:lineRule="auto" w:before="39"/>
        <w:ind w:right="213" w:firstLine="480"/>
        <w:jc w:val="left"/>
      </w:pPr>
      <w:r>
        <w:rPr/>
        <w:t>报告期内，应付账款较上期增长</w:t>
      </w:r>
      <w:r>
        <w:rPr>
          <w:spacing w:val="-63"/>
        </w:rPr>
        <w:t> </w:t>
      </w:r>
      <w:r>
        <w:rPr>
          <w:rFonts w:ascii="Calibri" w:hAnsi="Calibri" w:cs="Calibri" w:eastAsia="Calibri" w:hint="default"/>
        </w:rPr>
        <w:t>35.58%</w:t>
      </w:r>
      <w:r>
        <w:rPr/>
        <w:t>，主要原因系公司合同额增加，相应的外包和 软硬件应付款增加所致。</w:t>
      </w:r>
    </w:p>
    <w:p>
      <w:pPr>
        <w:pStyle w:val="BodyText"/>
        <w:spacing w:line="326" w:lineRule="auto" w:before="67"/>
        <w:ind w:right="453" w:firstLine="480"/>
        <w:jc w:val="left"/>
      </w:pPr>
      <w:r>
        <w:rPr/>
        <w:t>报告期内，应付职工薪酬较上期增长</w:t>
      </w:r>
      <w:r>
        <w:rPr>
          <w:spacing w:val="-63"/>
        </w:rPr>
        <w:t> </w:t>
      </w:r>
      <w:r>
        <w:rPr>
          <w:rFonts w:ascii="Calibri" w:hAnsi="Calibri" w:cs="Calibri" w:eastAsia="Calibri" w:hint="default"/>
        </w:rPr>
        <w:t>44.28%</w:t>
      </w:r>
      <w:r>
        <w:rPr/>
        <w:t>，主要原因系年底未付奖金余额增加所 致。</w:t>
      </w:r>
    </w:p>
    <w:p>
      <w:pPr>
        <w:pStyle w:val="BodyText"/>
        <w:spacing w:line="326" w:lineRule="auto" w:before="67"/>
        <w:ind w:left="617" w:right="277"/>
        <w:jc w:val="left"/>
      </w:pPr>
      <w:r>
        <w:rPr/>
        <w:t>报告期内，应付股利较上期增长</w:t>
      </w:r>
      <w:r>
        <w:rPr>
          <w:spacing w:val="-61"/>
        </w:rPr>
        <w:t> </w:t>
      </w:r>
      <w:r>
        <w:rPr>
          <w:rFonts w:ascii="Calibri" w:hAnsi="Calibri" w:cs="Calibri" w:eastAsia="Calibri" w:hint="default"/>
        </w:rPr>
        <w:t>108%</w:t>
      </w:r>
      <w:r>
        <w:rPr/>
        <w:t>，主要原因系部分应付股利未支付所致。 报告期内，其他应付款较上期增长</w:t>
      </w:r>
      <w:r>
        <w:rPr>
          <w:spacing w:val="-63"/>
        </w:rPr>
        <w:t> </w:t>
      </w:r>
      <w:r>
        <w:rPr>
          <w:rFonts w:ascii="Calibri" w:hAnsi="Calibri" w:cs="Calibri" w:eastAsia="Calibri" w:hint="default"/>
        </w:rPr>
        <w:t>85%</w:t>
      </w:r>
      <w:r>
        <w:rPr/>
        <w:t>，主要原因系应付员工报销款、保证金增加所</w:t>
      </w:r>
    </w:p>
    <w:p>
      <w:pPr>
        <w:pStyle w:val="BodyText"/>
        <w:spacing w:line="240" w:lineRule="auto" w:before="17"/>
        <w:ind w:right="229"/>
        <w:jc w:val="left"/>
      </w:pPr>
      <w:r>
        <w:rPr/>
        <w:t>致。</w:t>
      </w:r>
    </w:p>
    <w:p>
      <w:pPr>
        <w:pStyle w:val="BodyText"/>
        <w:spacing w:line="338" w:lineRule="auto" w:before="154"/>
        <w:ind w:right="250" w:firstLine="480"/>
        <w:jc w:val="left"/>
      </w:pPr>
      <w:r>
        <w:rPr/>
        <w:t>报告期内，一年内到期的非流动负债较上期增长</w:t>
      </w:r>
      <w:r>
        <w:rPr>
          <w:spacing w:val="-1"/>
        </w:rPr>
        <w:t> </w:t>
      </w:r>
      <w:r>
        <w:rPr>
          <w:rFonts w:ascii="Times New Roman" w:hAnsi="Times New Roman" w:cs="Times New Roman" w:eastAsia="Times New Roman" w:hint="default"/>
        </w:rPr>
        <w:t>401.90%</w:t>
      </w:r>
      <w:r>
        <w:rPr/>
        <w:t>，主要原因系本期收购上海 南康科技有限公司导致未来一年以内应付股权转让款增加所致。</w:t>
      </w:r>
    </w:p>
    <w:p>
      <w:pPr>
        <w:pStyle w:val="BodyText"/>
        <w:spacing w:line="338" w:lineRule="auto" w:before="55"/>
        <w:ind w:right="191" w:firstLine="480"/>
        <w:jc w:val="left"/>
      </w:pPr>
      <w:r>
        <w:rPr/>
        <w:t>报告期内，其他流动负债本期为</w:t>
      </w:r>
      <w:r>
        <w:rPr>
          <w:spacing w:val="-61"/>
        </w:rPr>
        <w:t> </w:t>
      </w:r>
      <w:r>
        <w:rPr>
          <w:rFonts w:ascii="Times New Roman" w:hAnsi="Times New Roman" w:cs="Times New Roman" w:eastAsia="Times New Roman" w:hint="default"/>
        </w:rPr>
        <w:t>0</w:t>
      </w:r>
      <w:r>
        <w:rPr/>
        <w:t>，较上期减少</w:t>
      </w:r>
      <w:r>
        <w:rPr>
          <w:spacing w:val="-61"/>
        </w:rPr>
        <w:t> </w:t>
      </w:r>
      <w:r>
        <w:rPr>
          <w:rFonts w:ascii="Times New Roman" w:hAnsi="Times New Roman" w:cs="Times New Roman" w:eastAsia="Times New Roman" w:hint="default"/>
        </w:rPr>
        <w:t>100%</w:t>
      </w:r>
      <w:r>
        <w:rPr/>
        <w:t>，主要原因系上期列入其他流动 负债的递延收益本年全部摊销计入营业外收入所致。</w:t>
      </w:r>
    </w:p>
    <w:p>
      <w:pPr>
        <w:pStyle w:val="BodyText"/>
        <w:spacing w:line="326" w:lineRule="auto" w:before="55"/>
        <w:ind w:right="294" w:firstLine="480"/>
        <w:jc w:val="left"/>
      </w:pPr>
      <w:r>
        <w:rPr/>
        <w:t>报告期内，长期应付款较上期增长</w:t>
      </w:r>
      <w:r>
        <w:rPr>
          <w:spacing w:val="-61"/>
        </w:rPr>
        <w:t> </w:t>
      </w:r>
      <w:r>
        <w:rPr>
          <w:rFonts w:ascii="Calibri" w:hAnsi="Calibri" w:cs="Calibri" w:eastAsia="Calibri" w:hint="default"/>
        </w:rPr>
        <w:t>41,429,637.72</w:t>
      </w:r>
      <w:r>
        <w:rPr>
          <w:rFonts w:ascii="Calibri" w:hAnsi="Calibri" w:cs="Calibri" w:eastAsia="Calibri" w:hint="default"/>
          <w:spacing w:val="6"/>
        </w:rPr>
        <w:t> </w:t>
      </w:r>
      <w:r>
        <w:rPr/>
        <w:t>元，增幅为</w:t>
      </w:r>
      <w:r>
        <w:rPr>
          <w:spacing w:val="-61"/>
        </w:rPr>
        <w:t> </w:t>
      </w:r>
      <w:r>
        <w:rPr>
          <w:rFonts w:ascii="Times New Roman" w:hAnsi="Times New Roman" w:cs="Times New Roman" w:eastAsia="Times New Roman" w:hint="default"/>
        </w:rPr>
        <w:t>100%</w:t>
      </w:r>
      <w:r>
        <w:rPr/>
        <w:t>，主要原因系本期 收购上海南康公司导致应付股权转让款增加所致。</w:t>
      </w:r>
    </w:p>
    <w:p>
      <w:pPr>
        <w:pStyle w:val="BodyText"/>
        <w:spacing w:line="338" w:lineRule="auto" w:before="67"/>
        <w:ind w:right="251" w:firstLine="480"/>
        <w:jc w:val="left"/>
      </w:pPr>
      <w:r>
        <w:rPr/>
        <w:t>报告期内，递延收益较上期增长</w:t>
      </w:r>
      <w:r>
        <w:rPr>
          <w:spacing w:val="-2"/>
        </w:rPr>
        <w:t> </w:t>
      </w:r>
      <w:r>
        <w:rPr>
          <w:rFonts w:ascii="Times New Roman" w:hAnsi="Times New Roman" w:cs="Times New Roman" w:eastAsia="Times New Roman" w:hint="default"/>
        </w:rPr>
        <w:t>201.24%</w:t>
      </w:r>
      <w:r>
        <w:rPr/>
        <w:t>，主要原因系本期科研类项目政府补助增加 所致。</w:t>
      </w:r>
    </w:p>
    <w:p>
      <w:pPr>
        <w:pStyle w:val="BodyText"/>
        <w:spacing w:line="340" w:lineRule="auto" w:before="55"/>
        <w:ind w:right="269" w:firstLine="480"/>
        <w:jc w:val="left"/>
      </w:pPr>
      <w:r>
        <w:rPr/>
        <w:t>报告期内，递延所得税负债较上期增长</w:t>
      </w:r>
      <w:r>
        <w:rPr>
          <w:spacing w:val="-62"/>
        </w:rPr>
        <w:t> </w:t>
      </w:r>
      <w:r>
        <w:rPr>
          <w:rFonts w:ascii="Calibri" w:hAnsi="Calibri" w:cs="Calibri" w:eastAsia="Calibri" w:hint="default"/>
        </w:rPr>
        <w:t>153,029.25</w:t>
      </w:r>
      <w:r>
        <w:rPr>
          <w:rFonts w:ascii="Calibri" w:hAnsi="Calibri" w:cs="Calibri" w:eastAsia="Calibri" w:hint="default"/>
          <w:spacing w:val="4"/>
        </w:rPr>
        <w:t> </w:t>
      </w:r>
      <w:r>
        <w:rPr/>
        <w:t>元，增幅为</w:t>
      </w:r>
      <w:r>
        <w:rPr>
          <w:spacing w:val="-62"/>
        </w:rPr>
        <w:t> </w:t>
      </w:r>
      <w:r>
        <w:rPr>
          <w:rFonts w:ascii="Times New Roman" w:hAnsi="Times New Roman" w:cs="Times New Roman" w:eastAsia="Times New Roman" w:hint="default"/>
        </w:rPr>
        <w:t>100%</w:t>
      </w:r>
      <w:r>
        <w:rPr/>
        <w:t>，主要原因系上 海南康科技有限公司折旧时间性差异所致资产项目中的其他项目以及负债项目的其他项目 变动均属于正常波动的合理范围。</w:t>
      </w:r>
    </w:p>
    <w:p>
      <w:pPr>
        <w:spacing w:line="240" w:lineRule="auto" w:before="3"/>
        <w:rPr>
          <w:rFonts w:ascii="宋体" w:hAnsi="宋体" w:cs="宋体" w:eastAsia="宋体" w:hint="default"/>
          <w:sz w:val="21"/>
          <w:szCs w:val="21"/>
        </w:rPr>
      </w:pPr>
    </w:p>
    <w:p>
      <w:pPr>
        <w:pStyle w:val="Heading2"/>
        <w:spacing w:line="240" w:lineRule="auto"/>
        <w:ind w:left="137" w:right="229"/>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77" w:footer="1085" w:top="1220" w:bottom="1280" w:left="1140" w:right="980"/>
        </w:sectPr>
      </w:pPr>
    </w:p>
    <w:p>
      <w:pPr>
        <w:spacing w:line="240" w:lineRule="auto" w:before="10"/>
        <w:rPr>
          <w:rFonts w:ascii="宋体" w:hAnsi="宋体" w:cs="宋体" w:eastAsia="宋体" w:hint="default"/>
          <w:sz w:val="10"/>
          <w:szCs w:val="10"/>
        </w:rPr>
      </w:pPr>
    </w:p>
    <w:p>
      <w:pPr>
        <w:pStyle w:val="Heading2"/>
        <w:spacing w:line="367" w:lineRule="exact"/>
        <w:ind w:left="137" w:right="346"/>
        <w:jc w:val="left"/>
        <w:rPr>
          <w:b w:val="0"/>
          <w:bCs w:val="0"/>
        </w:rPr>
      </w:pPr>
      <w:bookmarkStart w:name="_bookmark19" w:id="20"/>
      <w:bookmarkEnd w:id="20"/>
      <w:r>
        <w:rPr>
          <w:b w:val="0"/>
          <w:bCs w:val="0"/>
        </w:rPr>
      </w:r>
      <w:r>
        <w:rPr/>
        <w:t>五、投资状况分析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34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、总体情况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3188"/>
        <w:gridCol w:w="3190"/>
        <w:gridCol w:w="3193"/>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报告期投资额（元）</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上年同期投资额（元）</w:t>
            </w:r>
            <w:r>
              <w:rPr>
                <w:rFonts w:ascii="Microsoft JhengHei" w:hAnsi="Microsoft JhengHei" w:cs="Microsoft JhengHei" w:eastAsia="Microsoft JhengHei" w:hint="default"/>
                <w:sz w:val="21"/>
                <w:szCs w:val="21"/>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98,300,000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3176.67%</w:t>
            </w:r>
          </w:p>
        </w:tc>
      </w:tr>
    </w:tbl>
    <w:p>
      <w:pPr>
        <w:spacing w:before="64"/>
        <w:ind w:left="557" w:right="346" w:firstLine="0"/>
        <w:jc w:val="left"/>
        <w:rPr>
          <w:rFonts w:ascii="宋体" w:hAnsi="宋体" w:cs="宋体" w:eastAsia="宋体" w:hint="default"/>
          <w:sz w:val="21"/>
          <w:szCs w:val="21"/>
        </w:rPr>
      </w:pPr>
      <w:r>
        <w:rPr>
          <w:rFonts w:ascii="宋体" w:hAnsi="宋体" w:cs="宋体" w:eastAsia="宋体" w:hint="default"/>
          <w:sz w:val="21"/>
          <w:szCs w:val="21"/>
        </w:rPr>
        <w:t>注：以上投资额为报告期内决策投入的金额，而非实际投出的金额。</w:t>
      </w:r>
    </w:p>
    <w:p>
      <w:pPr>
        <w:spacing w:line="240" w:lineRule="auto" w:before="12"/>
        <w:rPr>
          <w:rFonts w:ascii="宋体" w:hAnsi="宋体" w:cs="宋体" w:eastAsia="宋体" w:hint="default"/>
          <w:sz w:val="29"/>
          <w:szCs w:val="29"/>
        </w:rPr>
      </w:pPr>
    </w:p>
    <w:p>
      <w:pPr>
        <w:pStyle w:val="Heading2"/>
        <w:spacing w:line="240" w:lineRule="auto"/>
        <w:ind w:left="137" w:right="346"/>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708"/>
        <w:gridCol w:w="1277"/>
        <w:gridCol w:w="567"/>
        <w:gridCol w:w="566"/>
        <w:gridCol w:w="569"/>
        <w:gridCol w:w="708"/>
        <w:gridCol w:w="850"/>
        <w:gridCol w:w="566"/>
        <w:gridCol w:w="569"/>
        <w:gridCol w:w="675"/>
        <w:gridCol w:w="711"/>
        <w:gridCol w:w="434"/>
        <w:gridCol w:w="682"/>
        <w:gridCol w:w="684"/>
      </w:tblGrid>
      <w:tr>
        <w:trPr>
          <w:trHeight w:val="946"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sz w:val="18"/>
                <w:szCs w:val="18"/>
              </w:rPr>
            </w:r>
          </w:p>
          <w:p>
            <w:pPr>
              <w:pStyle w:val="TableParagraph"/>
              <w:spacing w:line="240" w:lineRule="auto"/>
              <w:ind w:left="256" w:right="79"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 称</w:t>
            </w:r>
            <w:r>
              <w:rPr>
                <w:rFonts w:ascii="Microsoft JhengHei" w:hAnsi="Microsoft JhengHei" w:cs="Microsoft JhengHei" w:eastAsia="Microsoft JhengHei"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主要业务</w:t>
            </w:r>
            <w:r>
              <w:rPr>
                <w:rFonts w:ascii="Microsoft JhengHei" w:hAnsi="Microsoft JhengHei" w:cs="Microsoft JhengHei" w:eastAsia="Microsoft JhengHei" w:hint="default"/>
                <w:sz w:val="18"/>
                <w:szCs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3" w:right="9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方式</w:t>
            </w:r>
            <w:r>
              <w:rPr>
                <w:rFonts w:ascii="Microsoft JhengHei" w:hAnsi="Microsoft JhengHei" w:cs="Microsoft JhengHei" w:eastAsia="Microsoft JhengHei"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3" w:right="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6" w:right="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56" w:right="79"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资金来 源</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合作方</w:t>
            </w:r>
            <w:r>
              <w:rPr>
                <w:rFonts w:ascii="Microsoft JhengHei" w:hAnsi="Microsoft JhengHei" w:cs="Microsoft JhengHei" w:eastAsia="Microsoft JhengHei"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3" w:right="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期限</w:t>
            </w:r>
            <w:r>
              <w:rPr>
                <w:rFonts w:ascii="Microsoft JhengHei" w:hAnsi="Microsoft JhengHei" w:cs="Microsoft JhengHei" w:eastAsia="Microsoft JhengHei"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6" w:right="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产品</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40" w:right="63"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预计收 益</w:t>
            </w:r>
            <w:r>
              <w:rPr>
                <w:rFonts w:ascii="Microsoft JhengHei" w:hAnsi="Microsoft JhengHei" w:cs="Microsoft JhengHei" w:eastAsia="Microsoft JhengHei"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76" w:right="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本期投 资盈亏</w:t>
            </w:r>
            <w:r>
              <w:rPr>
                <w:rFonts w:ascii="Microsoft JhengHei" w:hAnsi="Microsoft JhengHei" w:cs="Microsoft JhengHei" w:eastAsia="Microsoft JhengHei" w:hint="default"/>
                <w:sz w:val="18"/>
                <w:szCs w:val="18"/>
              </w:rPr>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6" w:right="3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是否</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涉诉</w:t>
            </w:r>
            <w:r>
              <w:rPr>
                <w:rFonts w:ascii="Microsoft JhengHei" w:hAnsi="Microsoft JhengHei" w:cs="Microsoft JhengHei" w:eastAsia="Microsoft JhengHei"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披露日</w:t>
            </w:r>
            <w:r>
              <w:rPr>
                <w:rFonts w:ascii="Microsoft JhengHei" w:hAnsi="Microsoft JhengHei" w:cs="Microsoft JhengHei" w:eastAsia="Microsoft JhengHei" w:hint="default"/>
                <w:sz w:val="18"/>
                <w:szCs w:val="18"/>
              </w:rPr>
            </w:r>
          </w:p>
          <w:p>
            <w:pPr>
              <w:pStyle w:val="TableParagraph"/>
              <w:spacing w:line="240" w:lineRule="auto"/>
              <w:ind w:left="151" w:right="65"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期（如 有）</w:t>
            </w:r>
            <w:r>
              <w:rPr>
                <w:rFonts w:ascii="Microsoft JhengHei" w:hAnsi="Microsoft JhengHei" w:cs="Microsoft JhengHei" w:eastAsia="Microsoft JhengHei"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披露索</w:t>
            </w:r>
            <w:r>
              <w:rPr>
                <w:rFonts w:ascii="Microsoft JhengHei" w:hAnsi="Microsoft JhengHei" w:cs="Microsoft JhengHei" w:eastAsia="Microsoft JhengHei" w:hint="default"/>
                <w:sz w:val="18"/>
                <w:szCs w:val="18"/>
              </w:rPr>
            </w:r>
          </w:p>
          <w:p>
            <w:pPr>
              <w:pStyle w:val="TableParagraph"/>
              <w:spacing w:line="240" w:lineRule="auto"/>
              <w:ind w:left="151" w:right="68"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引（如 有）</w:t>
            </w:r>
            <w:r>
              <w:rPr>
                <w:rFonts w:ascii="Microsoft JhengHei" w:hAnsi="Microsoft JhengHei" w:cs="Microsoft JhengHei" w:eastAsia="Microsoft JhengHei" w:hint="default"/>
                <w:sz w:val="18"/>
                <w:szCs w:val="18"/>
              </w:rPr>
            </w:r>
          </w:p>
        </w:tc>
      </w:tr>
      <w:tr>
        <w:trPr>
          <w:trHeight w:val="28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56" w:right="79" w:hanging="180"/>
              <w:jc w:val="left"/>
              <w:rPr>
                <w:rFonts w:ascii="宋体" w:hAnsi="宋体" w:cs="宋体" w:eastAsia="宋体" w:hint="default"/>
                <w:sz w:val="18"/>
                <w:szCs w:val="18"/>
              </w:rPr>
            </w:pPr>
            <w:r>
              <w:rPr>
                <w:rFonts w:ascii="宋体" w:hAnsi="宋体" w:cs="宋体" w:eastAsia="宋体" w:hint="default"/>
                <w:sz w:val="18"/>
                <w:szCs w:val="18"/>
              </w:rPr>
              <w:t>南康科 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91" w:right="95" w:firstLine="2"/>
              <w:jc w:val="center"/>
              <w:rPr>
                <w:rFonts w:ascii="宋体" w:hAnsi="宋体" w:cs="宋体" w:eastAsia="宋体" w:hint="default"/>
                <w:sz w:val="18"/>
                <w:szCs w:val="18"/>
              </w:rPr>
            </w:pPr>
            <w:r>
              <w:rPr>
                <w:rFonts w:ascii="宋体" w:hAnsi="宋体" w:cs="宋体" w:eastAsia="宋体" w:hint="default"/>
                <w:sz w:val="18"/>
                <w:szCs w:val="18"/>
              </w:rPr>
              <w:t>房地产行业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技术开发 及技术服务； </w:t>
            </w:r>
            <w:r>
              <w:rPr>
                <w:rFonts w:ascii="Times New Roman" w:hAnsi="Times New Roman" w:cs="Times New Roman" w:eastAsia="Times New Roman" w:hint="default"/>
                <w:sz w:val="18"/>
                <w:szCs w:val="18"/>
              </w:rPr>
              <w:t>CAI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数据采集</w:t>
            </w:r>
            <w:r>
              <w:rPr>
                <w:rFonts w:ascii="宋体" w:hAnsi="宋体" w:cs="宋体" w:eastAsia="宋体" w:hint="default"/>
                <w:w w:val="99"/>
                <w:sz w:val="18"/>
                <w:szCs w:val="18"/>
              </w:rPr>
              <w:t> </w:t>
            </w:r>
            <w:r>
              <w:rPr>
                <w:rFonts w:ascii="宋体" w:hAnsi="宋体" w:cs="宋体" w:eastAsia="宋体" w:hint="default"/>
                <w:sz w:val="18"/>
                <w:szCs w:val="18"/>
              </w:rPr>
              <w:t>平台软件研发</w:t>
            </w:r>
            <w:r>
              <w:rPr>
                <w:rFonts w:ascii="宋体" w:hAnsi="宋体" w:cs="宋体" w:eastAsia="宋体" w:hint="default"/>
                <w:w w:val="99"/>
                <w:sz w:val="18"/>
                <w:szCs w:val="18"/>
              </w:rPr>
              <w:t> </w:t>
            </w:r>
            <w:r>
              <w:rPr>
                <w:rFonts w:ascii="宋体" w:hAnsi="宋体" w:cs="宋体" w:eastAsia="宋体" w:hint="default"/>
                <w:sz w:val="18"/>
                <w:szCs w:val="18"/>
              </w:rPr>
              <w:t>与销售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66"/>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76" w:right="79"/>
              <w:jc w:val="left"/>
              <w:rPr>
                <w:rFonts w:ascii="宋体" w:hAnsi="宋体" w:cs="宋体" w:eastAsia="宋体" w:hint="default"/>
                <w:sz w:val="18"/>
                <w:szCs w:val="18"/>
              </w:rPr>
            </w:pPr>
            <w:r>
              <w:rPr>
                <w:rFonts w:ascii="宋体" w:hAnsi="宋体" w:cs="宋体" w:eastAsia="宋体" w:hint="default"/>
                <w:sz w:val="18"/>
                <w:szCs w:val="18"/>
              </w:rPr>
              <w:t>公司自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4" w:lineRule="auto"/>
              <w:ind w:left="33" w:right="36" w:hanging="1"/>
              <w:jc w:val="center"/>
              <w:rPr>
                <w:rFonts w:ascii="宋体" w:hAnsi="宋体" w:cs="宋体" w:eastAsia="宋体" w:hint="default"/>
                <w:sz w:val="18"/>
                <w:szCs w:val="18"/>
              </w:rPr>
            </w:pPr>
            <w:r>
              <w:rPr>
                <w:rFonts w:ascii="宋体" w:hAnsi="宋体" w:cs="宋体" w:eastAsia="宋体" w:hint="default"/>
                <w:sz w:val="18"/>
                <w:szCs w:val="18"/>
              </w:rPr>
              <w:t>曹彤宇、 杨光、竺 军、卓 欢、蔡 伟、朱正 文、等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不少于</w:t>
            </w:r>
          </w:p>
          <w:p>
            <w:pPr>
              <w:pStyle w:val="TableParagraph"/>
              <w:spacing w:line="240" w:lineRule="auto" w:before="118"/>
              <w:ind w:left="60" w:right="0"/>
              <w:jc w:val="left"/>
              <w:rPr>
                <w:rFonts w:ascii="Times New Roman" w:hAnsi="Times New Roman" w:cs="Times New Roman" w:eastAsia="Times New Roman" w:hint="default"/>
                <w:sz w:val="18"/>
                <w:szCs w:val="18"/>
              </w:rPr>
            </w:pPr>
            <w:r>
              <w:rPr>
                <w:rFonts w:ascii="Times New Roman"/>
                <w:sz w:val="18"/>
              </w:rPr>
              <w:t>4,612.5</w:t>
            </w:r>
          </w:p>
          <w:p>
            <w:pPr>
              <w:pStyle w:val="TableParagraph"/>
              <w:spacing w:line="240" w:lineRule="auto" w:before="63"/>
              <w:ind w:left="14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 w:right="79"/>
              <w:jc w:val="center"/>
              <w:rPr>
                <w:rFonts w:ascii="宋体" w:hAnsi="宋体" w:cs="宋体" w:eastAsia="宋体" w:hint="default"/>
                <w:sz w:val="18"/>
                <w:szCs w:val="18"/>
              </w:rPr>
            </w:pPr>
            <w:r>
              <w:rPr>
                <w:rFonts w:ascii="宋体" w:hAnsi="宋体" w:cs="宋体" w:eastAsia="宋体" w:hint="default"/>
                <w:sz w:val="18"/>
                <w:szCs w:val="18"/>
              </w:rPr>
              <w:t>达到第 一期业 绩承 诺，本 期实现 扣非后 净利润</w:t>
            </w:r>
          </w:p>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871.47</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23"/>
              <w:ind w:left="19" w:right="27" w:firstLine="2"/>
              <w:jc w:val="center"/>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w w:val="99"/>
                <w:sz w:val="18"/>
              </w:rPr>
              <w:t> </w:t>
            </w:r>
            <w:hyperlink r:id="rId11">
              <w:r>
                <w:rPr>
                  <w:rFonts w:ascii="Times New Roman"/>
                  <w:spacing w:val="-2"/>
                  <w:sz w:val="18"/>
                </w:rPr>
                <w:t>ww.cnin</w:t>
              </w:r>
            </w:hyperlink>
            <w:r>
              <w:rPr>
                <w:rFonts w:ascii="Times New Roman"/>
                <w:sz w:val="18"/>
              </w:rPr>
              <w:t> </w:t>
            </w:r>
            <w:hyperlink r:id="rId11">
              <w:r>
                <w:rPr>
                  <w:rFonts w:ascii="Times New Roman"/>
                  <w:spacing w:val="-1"/>
                  <w:sz w:val="18"/>
                </w:rPr>
                <w:t>fo.com.c</w:t>
              </w:r>
            </w:hyperlink>
            <w:r>
              <w:rPr>
                <w:rFonts w:ascii="Times New Roman"/>
                <w:sz w:val="18"/>
              </w:rPr>
              <w:t> </w:t>
            </w:r>
            <w:hyperlink r:id="rId11">
              <w:r>
                <w:rPr>
                  <w:rFonts w:ascii="Times New Roman"/>
                  <w:sz w:val="18"/>
                </w:rPr>
                <w:t>n</w:t>
              </w:r>
            </w:hyperlink>
          </w:p>
        </w:tc>
      </w:tr>
      <w:tr>
        <w:trPr>
          <w:trHeight w:val="28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56" w:right="79" w:hanging="180"/>
              <w:jc w:val="left"/>
              <w:rPr>
                <w:rFonts w:ascii="宋体" w:hAnsi="宋体" w:cs="宋体" w:eastAsia="宋体" w:hint="default"/>
                <w:sz w:val="18"/>
                <w:szCs w:val="18"/>
              </w:rPr>
            </w:pPr>
            <w:r>
              <w:rPr>
                <w:rFonts w:ascii="宋体" w:hAnsi="宋体" w:cs="宋体" w:eastAsia="宋体" w:hint="default"/>
                <w:sz w:val="18"/>
                <w:szCs w:val="18"/>
              </w:rPr>
              <w:t>超图道 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2" w:lineRule="auto"/>
              <w:ind w:left="91" w:right="95"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及相关行 业未上市成熟 型企业的股权 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5"/>
              <w:jc w:val="right"/>
              <w:rPr>
                <w:rFonts w:ascii="Times New Roman" w:hAnsi="Times New Roman" w:cs="Times New Roman" w:eastAsia="Times New Roman" w:hint="default"/>
                <w:sz w:val="18"/>
                <w:szCs w:val="18"/>
              </w:rPr>
            </w:pPr>
            <w:r>
              <w:rPr>
                <w:rFonts w:ascii="Times New Roman"/>
                <w:sz w:val="18"/>
              </w:rPr>
              <w:t>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76" w:right="79"/>
              <w:jc w:val="left"/>
              <w:rPr>
                <w:rFonts w:ascii="宋体" w:hAnsi="宋体" w:cs="宋体" w:eastAsia="宋体" w:hint="default"/>
                <w:sz w:val="18"/>
                <w:szCs w:val="18"/>
              </w:rPr>
            </w:pPr>
            <w:r>
              <w:rPr>
                <w:rFonts w:ascii="宋体" w:hAnsi="宋体" w:cs="宋体" w:eastAsia="宋体" w:hint="default"/>
                <w:sz w:val="18"/>
                <w:szCs w:val="18"/>
              </w:rPr>
              <w:t>公司自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 w:right="60" w:hanging="1"/>
              <w:jc w:val="center"/>
              <w:rPr>
                <w:rFonts w:ascii="宋体" w:hAnsi="宋体" w:cs="宋体" w:eastAsia="宋体" w:hint="default"/>
                <w:sz w:val="18"/>
                <w:szCs w:val="18"/>
              </w:rPr>
            </w:pPr>
            <w:r>
              <w:rPr>
                <w:rFonts w:ascii="宋体" w:hAnsi="宋体" w:cs="宋体" w:eastAsia="宋体" w:hint="default"/>
                <w:sz w:val="18"/>
                <w:szCs w:val="18"/>
              </w:rPr>
              <w:t>鹰潭市道 乐博盈投 资管理有 限公司 宁波思博 迈股权投 资合伙企 业以及其 他合伙人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09" w:lineRule="auto"/>
              <w:ind w:left="28" w:right="30" w:hanging="2"/>
              <w:jc w:val="center"/>
              <w:rPr>
                <w:rFonts w:ascii="宋体" w:hAnsi="宋体" w:cs="宋体" w:eastAsia="宋体" w:hint="default"/>
                <w:sz w:val="18"/>
                <w:szCs w:val="18"/>
              </w:rPr>
            </w:pPr>
            <w:r>
              <w:rPr>
                <w:rFonts w:ascii="宋体" w:hAnsi="宋体" w:cs="宋体" w:eastAsia="宋体" w:hint="default"/>
                <w:sz w:val="18"/>
                <w:szCs w:val="18"/>
              </w:rPr>
              <w:t>存续 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有限 合伙 企业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26"/>
              <w:ind w:left="19" w:right="27" w:firstLine="2"/>
              <w:jc w:val="center"/>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w w:val="99"/>
                <w:sz w:val="18"/>
              </w:rPr>
              <w:t> </w:t>
            </w:r>
            <w:hyperlink r:id="rId11">
              <w:r>
                <w:rPr>
                  <w:rFonts w:ascii="Times New Roman"/>
                  <w:spacing w:val="-2"/>
                  <w:sz w:val="18"/>
                </w:rPr>
                <w:t>ww.cnin</w:t>
              </w:r>
            </w:hyperlink>
            <w:r>
              <w:rPr>
                <w:rFonts w:ascii="Times New Roman"/>
                <w:sz w:val="18"/>
              </w:rPr>
              <w:t> </w:t>
            </w:r>
            <w:hyperlink r:id="rId11">
              <w:r>
                <w:rPr>
                  <w:rFonts w:ascii="Times New Roman"/>
                  <w:spacing w:val="-1"/>
                  <w:sz w:val="18"/>
                </w:rPr>
                <w:t>fo.com.c</w:t>
              </w:r>
            </w:hyperlink>
            <w:r>
              <w:rPr>
                <w:rFonts w:ascii="Times New Roman"/>
                <w:sz w:val="18"/>
              </w:rPr>
              <w:t> </w:t>
            </w:r>
            <w:hyperlink r:id="rId11">
              <w:r>
                <w:rPr>
                  <w:rFonts w:ascii="Times New Roman"/>
                  <w:sz w:val="18"/>
                </w:rPr>
                <w:t>n</w:t>
              </w:r>
            </w:hyperlink>
          </w:p>
        </w:tc>
      </w:tr>
      <w:tr>
        <w:trPr>
          <w:trHeight w:val="219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56" w:right="79" w:hanging="180"/>
              <w:jc w:val="left"/>
              <w:rPr>
                <w:rFonts w:ascii="宋体" w:hAnsi="宋体" w:cs="宋体" w:eastAsia="宋体" w:hint="default"/>
                <w:sz w:val="18"/>
                <w:szCs w:val="18"/>
              </w:rPr>
            </w:pPr>
            <w:r>
              <w:rPr>
                <w:rFonts w:ascii="宋体" w:hAnsi="宋体" w:cs="宋体" w:eastAsia="宋体" w:hint="default"/>
                <w:sz w:val="18"/>
                <w:szCs w:val="18"/>
              </w:rPr>
              <w:t>超图数 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163"/>
              <w:jc w:val="left"/>
              <w:rPr>
                <w:rFonts w:ascii="宋体" w:hAnsi="宋体" w:cs="宋体" w:eastAsia="宋体" w:hint="default"/>
                <w:sz w:val="18"/>
                <w:szCs w:val="18"/>
              </w:rPr>
            </w:pPr>
            <w:r>
              <w:rPr>
                <w:rFonts w:ascii="宋体" w:hAnsi="宋体" w:cs="宋体" w:eastAsia="宋体" w:hint="default"/>
                <w:sz w:val="18"/>
                <w:szCs w:val="18"/>
              </w:rPr>
              <w:t>从事与地理信 息大数据服 务、商业地理 分析和地理信 息系统应用云 服务解决方案 等业务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5"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76" w:right="79"/>
              <w:jc w:val="left"/>
              <w:rPr>
                <w:rFonts w:ascii="宋体" w:hAnsi="宋体" w:cs="宋体" w:eastAsia="宋体" w:hint="default"/>
                <w:sz w:val="18"/>
                <w:szCs w:val="18"/>
              </w:rPr>
            </w:pPr>
            <w:r>
              <w:rPr>
                <w:rFonts w:ascii="宋体" w:hAnsi="宋体" w:cs="宋体" w:eastAsia="宋体" w:hint="default"/>
                <w:sz w:val="18"/>
                <w:szCs w:val="18"/>
              </w:rPr>
              <w:t>公司自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62" w:lineRule="auto"/>
              <w:ind w:left="19" w:right="27" w:firstLine="2"/>
              <w:jc w:val="center"/>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w w:val="99"/>
                <w:sz w:val="18"/>
              </w:rPr>
              <w:t> </w:t>
            </w:r>
            <w:hyperlink r:id="rId11">
              <w:r>
                <w:rPr>
                  <w:rFonts w:ascii="Times New Roman"/>
                  <w:spacing w:val="-2"/>
                  <w:sz w:val="18"/>
                </w:rPr>
                <w:t>ww.cnin</w:t>
              </w:r>
            </w:hyperlink>
            <w:r>
              <w:rPr>
                <w:rFonts w:ascii="Times New Roman"/>
                <w:sz w:val="18"/>
              </w:rPr>
              <w:t> </w:t>
            </w:r>
            <w:hyperlink r:id="rId11">
              <w:r>
                <w:rPr>
                  <w:rFonts w:ascii="Times New Roman"/>
                  <w:spacing w:val="-1"/>
                  <w:sz w:val="18"/>
                </w:rPr>
                <w:t>fo.com.c</w:t>
              </w:r>
            </w:hyperlink>
            <w:r>
              <w:rPr>
                <w:rFonts w:ascii="Times New Roman"/>
                <w:sz w:val="18"/>
              </w:rPr>
              <w:t> </w:t>
            </w:r>
            <w:hyperlink r:id="rId11">
              <w:r>
                <w:rPr>
                  <w:rFonts w:ascii="Times New Roman"/>
                  <w:sz w:val="18"/>
                </w:rPr>
                <w:t>n</w:t>
              </w:r>
            </w:hyperlink>
          </w:p>
        </w:tc>
      </w:tr>
    </w:tbl>
    <w:p>
      <w:pPr>
        <w:spacing w:after="0" w:line="362" w:lineRule="auto"/>
        <w:jc w:val="center"/>
        <w:rPr>
          <w:rFonts w:ascii="Times New Roman" w:hAnsi="Times New Roman" w:cs="Times New Roman" w:eastAsia="Times New Roman" w:hint="default"/>
          <w:sz w:val="18"/>
          <w:szCs w:val="18"/>
        </w:rPr>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66" w:type="dxa"/>
        <w:tblLayout w:type="fixed"/>
        <w:tblCellMar>
          <w:top w:w="0" w:type="dxa"/>
          <w:left w:w="0" w:type="dxa"/>
          <w:bottom w:w="0" w:type="dxa"/>
          <w:right w:w="0" w:type="dxa"/>
        </w:tblCellMar>
        <w:tblLook w:val="01E0"/>
      </w:tblPr>
      <w:tblGrid>
        <w:gridCol w:w="708"/>
        <w:gridCol w:w="1277"/>
        <w:gridCol w:w="567"/>
        <w:gridCol w:w="566"/>
        <w:gridCol w:w="569"/>
        <w:gridCol w:w="708"/>
        <w:gridCol w:w="850"/>
        <w:gridCol w:w="566"/>
        <w:gridCol w:w="569"/>
        <w:gridCol w:w="675"/>
        <w:gridCol w:w="711"/>
        <w:gridCol w:w="434"/>
        <w:gridCol w:w="682"/>
        <w:gridCol w:w="684"/>
      </w:tblGrid>
      <w:tr>
        <w:trPr>
          <w:trHeight w:val="25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65" w:right="79" w:hanging="89"/>
              <w:jc w:val="left"/>
              <w:rPr>
                <w:rFonts w:ascii="宋体" w:hAnsi="宋体" w:cs="宋体" w:eastAsia="宋体" w:hint="default"/>
                <w:sz w:val="18"/>
                <w:szCs w:val="18"/>
              </w:rPr>
            </w:pPr>
            <w:r>
              <w:rPr>
                <w:rFonts w:ascii="宋体" w:hAnsi="宋体" w:cs="宋体" w:eastAsia="宋体" w:hint="default"/>
                <w:sz w:val="18"/>
                <w:szCs w:val="18"/>
              </w:rPr>
              <w:t>地图慧 科技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4" w:right="77" w:firstLine="16"/>
              <w:jc w:val="both"/>
              <w:rPr>
                <w:rFonts w:ascii="Times New Roman" w:hAnsi="Times New Roman" w:cs="Times New Roman" w:eastAsia="Times New Roman" w:hint="default"/>
                <w:sz w:val="18"/>
                <w:szCs w:val="18"/>
              </w:rPr>
            </w:pPr>
            <w:r>
              <w:rPr>
                <w:rFonts w:ascii="宋体" w:hAnsi="宋体" w:cs="宋体" w:eastAsia="宋体" w:hint="default"/>
                <w:sz w:val="18"/>
                <w:szCs w:val="18"/>
              </w:rPr>
              <w:t>提供互联网地 图服务、企业 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LBS</w:t>
            </w:r>
          </w:p>
          <w:p>
            <w:pPr>
              <w:pStyle w:val="TableParagraph"/>
              <w:spacing w:line="316" w:lineRule="auto"/>
              <w:ind w:left="91" w:right="95"/>
              <w:jc w:val="center"/>
              <w:rPr>
                <w:rFonts w:ascii="宋体" w:hAnsi="宋体" w:cs="宋体" w:eastAsia="宋体" w:hint="default"/>
                <w:sz w:val="18"/>
                <w:szCs w:val="18"/>
              </w:rPr>
            </w:pPr>
            <w:r>
              <w:rPr>
                <w:rFonts w:ascii="宋体" w:hAnsi="宋体" w:cs="宋体" w:eastAsia="宋体" w:hint="default"/>
                <w:sz w:val="18"/>
                <w:szCs w:val="18"/>
              </w:rPr>
              <w:t>应用服务、商 业分析服务以 及位置相关大 数据服务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pacing w:val="-3"/>
                <w:sz w:val="18"/>
              </w:rPr>
              <w:t>1100</w:t>
            </w:r>
            <w:r>
              <w:rPr>
                <w:rFonts w:ascii="Times New Roman"/>
                <w:sz w:val="18"/>
              </w:rPr>
            </w:r>
          </w:p>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28" w:hanging="1"/>
              <w:jc w:val="center"/>
              <w:rPr>
                <w:rFonts w:ascii="宋体" w:hAnsi="宋体" w:cs="宋体" w:eastAsia="宋体" w:hint="default"/>
                <w:sz w:val="18"/>
                <w:szCs w:val="18"/>
              </w:rPr>
            </w:pPr>
            <w:r>
              <w:rPr>
                <w:rFonts w:ascii="宋体" w:hAnsi="宋体" w:cs="宋体" w:eastAsia="宋体" w:hint="default"/>
                <w:sz w:val="18"/>
                <w:szCs w:val="18"/>
              </w:rPr>
              <w:t>地图慧 经评估 的无形 资产</w:t>
            </w:r>
            <w:r>
              <w:rPr>
                <w:rFonts w:ascii="Times New Roman" w:hAnsi="Times New Roman" w:cs="Times New Roman" w:eastAsia="Times New Roman" w:hint="default"/>
                <w:sz w:val="18"/>
                <w:szCs w:val="18"/>
              </w:rPr>
              <w:t>+</w:t>
            </w:r>
            <w:r>
              <w:rPr>
                <w:rFonts w:ascii="宋体" w:hAnsi="宋体" w:cs="宋体" w:eastAsia="宋体" w:hint="default"/>
                <w:sz w:val="18"/>
                <w:szCs w:val="18"/>
              </w:rPr>
              <w:t>自 有资金</w:t>
            </w:r>
            <w:r>
              <w:rPr>
                <w:rFonts w:ascii="Times New Roman" w:hAnsi="Times New Roman" w:cs="Times New Roman" w:eastAsia="Times New Roman" w:hint="default"/>
                <w:sz w:val="18"/>
                <w:szCs w:val="18"/>
              </w:rPr>
              <w:t>+ </w:t>
            </w:r>
            <w:r>
              <w:rPr>
                <w:rFonts w:ascii="宋体" w:hAnsi="宋体" w:cs="宋体" w:eastAsia="宋体" w:hint="default"/>
                <w:sz w:val="18"/>
                <w:szCs w:val="18"/>
              </w:rPr>
              <w:t>部分员 工自筹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孙鹏等</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名员工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2" w:lineRule="auto"/>
              <w:ind w:left="19" w:right="27" w:firstLine="2"/>
              <w:jc w:val="center"/>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w w:val="99"/>
                <w:sz w:val="18"/>
              </w:rPr>
              <w:t> </w:t>
            </w:r>
            <w:hyperlink r:id="rId11">
              <w:r>
                <w:rPr>
                  <w:rFonts w:ascii="Times New Roman"/>
                  <w:spacing w:val="-2"/>
                  <w:sz w:val="18"/>
                </w:rPr>
                <w:t>ww.cnin</w:t>
              </w:r>
            </w:hyperlink>
            <w:r>
              <w:rPr>
                <w:rFonts w:ascii="Times New Roman"/>
                <w:sz w:val="18"/>
              </w:rPr>
              <w:t> </w:t>
            </w:r>
            <w:hyperlink r:id="rId11">
              <w:r>
                <w:rPr>
                  <w:rFonts w:ascii="Times New Roman"/>
                  <w:spacing w:val="-1"/>
                  <w:sz w:val="18"/>
                </w:rPr>
                <w:t>fo.com.c</w:t>
              </w:r>
            </w:hyperlink>
            <w:r>
              <w:rPr>
                <w:rFonts w:ascii="Times New Roman"/>
                <w:sz w:val="18"/>
              </w:rPr>
              <w:t> </w:t>
            </w:r>
            <w:hyperlink r:id="rId11">
              <w:r>
                <w:rPr>
                  <w:rFonts w:ascii="Times New Roman"/>
                  <w:sz w:val="18"/>
                </w:rPr>
                <w:t>n</w:t>
              </w:r>
            </w:hyperlink>
          </w:p>
        </w:tc>
      </w:tr>
      <w:tr>
        <w:trPr>
          <w:trHeight w:val="250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256" w:right="79" w:hanging="180"/>
              <w:jc w:val="left"/>
              <w:rPr>
                <w:rFonts w:ascii="宋体" w:hAnsi="宋体" w:cs="宋体" w:eastAsia="宋体" w:hint="default"/>
                <w:sz w:val="18"/>
                <w:szCs w:val="18"/>
              </w:rPr>
            </w:pPr>
            <w:r>
              <w:rPr>
                <w:rFonts w:ascii="宋体" w:hAnsi="宋体" w:cs="宋体" w:eastAsia="宋体" w:hint="default"/>
                <w:sz w:val="18"/>
                <w:szCs w:val="18"/>
              </w:rPr>
              <w:t>超图知 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61"/>
              <w:ind w:left="91" w:right="95"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及相关行 业未上市成熟 型企业的股权 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76" w:right="79"/>
              <w:jc w:val="left"/>
              <w:rPr>
                <w:rFonts w:ascii="宋体" w:hAnsi="宋体" w:cs="宋体" w:eastAsia="宋体" w:hint="default"/>
                <w:sz w:val="18"/>
                <w:szCs w:val="18"/>
              </w:rPr>
            </w:pPr>
            <w:r>
              <w:rPr>
                <w:rFonts w:ascii="宋体" w:hAnsi="宋体" w:cs="宋体" w:eastAsia="宋体" w:hint="default"/>
                <w:sz w:val="18"/>
                <w:szCs w:val="18"/>
              </w:rPr>
              <w:t>公司自 有资金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7" w:right="60"/>
              <w:jc w:val="both"/>
              <w:rPr>
                <w:rFonts w:ascii="宋体" w:hAnsi="宋体" w:cs="宋体" w:eastAsia="宋体" w:hint="default"/>
                <w:sz w:val="18"/>
                <w:szCs w:val="18"/>
              </w:rPr>
            </w:pPr>
            <w:r>
              <w:rPr>
                <w:rFonts w:ascii="宋体" w:hAnsi="宋体" w:cs="宋体" w:eastAsia="宋体" w:hint="default"/>
                <w:sz w:val="18"/>
                <w:szCs w:val="18"/>
              </w:rPr>
              <w:t>上海卓超 投资管理 有限公司 宁波思博 迈股权投 资合伙企 业以及其 合伙人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09" w:lineRule="auto"/>
              <w:ind w:left="28" w:right="30" w:hanging="2"/>
              <w:jc w:val="center"/>
              <w:rPr>
                <w:rFonts w:ascii="宋体" w:hAnsi="宋体" w:cs="宋体" w:eastAsia="宋体" w:hint="default"/>
                <w:sz w:val="18"/>
                <w:szCs w:val="18"/>
              </w:rPr>
            </w:pPr>
            <w:r>
              <w:rPr>
                <w:rFonts w:ascii="宋体" w:hAnsi="宋体" w:cs="宋体" w:eastAsia="宋体" w:hint="default"/>
                <w:sz w:val="18"/>
                <w:szCs w:val="18"/>
              </w:rPr>
              <w:t>存续 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有限 合伙 企业</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2" w:lineRule="auto"/>
              <w:ind w:left="19" w:right="27" w:firstLine="2"/>
              <w:jc w:val="center"/>
              <w:rPr>
                <w:rFonts w:ascii="Times New Roman" w:hAnsi="Times New Roman" w:cs="Times New Roman" w:eastAsia="Times New Roman" w:hint="default"/>
                <w:sz w:val="18"/>
                <w:szCs w:val="18"/>
              </w:rPr>
            </w:pPr>
            <w:hyperlink r:id="rId11">
              <w:r>
                <w:rPr>
                  <w:rFonts w:ascii="Times New Roman"/>
                  <w:sz w:val="18"/>
                </w:rPr>
                <w:t>http://w</w:t>
              </w:r>
            </w:hyperlink>
            <w:r>
              <w:rPr>
                <w:rFonts w:ascii="Times New Roman"/>
                <w:w w:val="99"/>
                <w:sz w:val="18"/>
              </w:rPr>
              <w:t> </w:t>
            </w:r>
            <w:hyperlink r:id="rId11">
              <w:r>
                <w:rPr>
                  <w:rFonts w:ascii="Times New Roman"/>
                  <w:spacing w:val="-2"/>
                  <w:sz w:val="18"/>
                </w:rPr>
                <w:t>ww.cnin</w:t>
              </w:r>
            </w:hyperlink>
            <w:r>
              <w:rPr>
                <w:rFonts w:ascii="Times New Roman"/>
                <w:sz w:val="18"/>
              </w:rPr>
              <w:t> </w:t>
            </w:r>
            <w:hyperlink r:id="rId11">
              <w:r>
                <w:rPr>
                  <w:rFonts w:ascii="Times New Roman"/>
                  <w:spacing w:val="-1"/>
                  <w:sz w:val="18"/>
                </w:rPr>
                <w:t>fo.com.c</w:t>
              </w:r>
            </w:hyperlink>
            <w:r>
              <w:rPr>
                <w:rFonts w:ascii="Times New Roman"/>
                <w:sz w:val="18"/>
              </w:rPr>
              <w:t> </w:t>
            </w:r>
            <w:hyperlink r:id="rId11">
              <w:r>
                <w:rPr>
                  <w:rFonts w:ascii="Times New Roman"/>
                  <w:sz w:val="18"/>
                </w:rPr>
                <w:t>n</w:t>
              </w:r>
            </w:hyperlink>
          </w:p>
        </w:tc>
      </w:tr>
    </w:tbl>
    <w:p>
      <w:pPr>
        <w:spacing w:line="240" w:lineRule="auto" w:before="12"/>
        <w:rPr>
          <w:rFonts w:ascii="宋体" w:hAnsi="宋体" w:cs="宋体" w:eastAsia="宋体" w:hint="default"/>
          <w:sz w:val="23"/>
          <w:szCs w:val="23"/>
        </w:rPr>
      </w:pPr>
    </w:p>
    <w:p>
      <w:pPr>
        <w:pStyle w:val="Heading2"/>
        <w:spacing w:line="367" w:lineRule="exact"/>
        <w:ind w:left="137" w:right="346"/>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9"/>
        <w:rPr>
          <w:rFonts w:ascii="宋体" w:hAnsi="宋体" w:cs="宋体" w:eastAsia="宋体" w:hint="default"/>
          <w:sz w:val="9"/>
          <w:szCs w:val="9"/>
        </w:rPr>
      </w:pPr>
    </w:p>
    <w:p>
      <w:pPr>
        <w:spacing w:before="44"/>
        <w:ind w:left="0" w:right="22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11"/>
          <w:szCs w:val="11"/>
        </w:rPr>
      </w:pPr>
    </w:p>
    <w:tbl>
      <w:tblPr>
        <w:tblW w:w="0" w:type="auto"/>
        <w:jc w:val="left"/>
        <w:tblInd w:w="166" w:type="dxa"/>
        <w:tblLayout w:type="fixed"/>
        <w:tblCellMar>
          <w:top w:w="0" w:type="dxa"/>
          <w:left w:w="0" w:type="dxa"/>
          <w:bottom w:w="0" w:type="dxa"/>
          <w:right w:w="0" w:type="dxa"/>
        </w:tblCellMar>
        <w:tblLook w:val="01E0"/>
      </w:tblPr>
      <w:tblGrid>
        <w:gridCol w:w="866"/>
        <w:gridCol w:w="862"/>
        <w:gridCol w:w="879"/>
        <w:gridCol w:w="869"/>
        <w:gridCol w:w="871"/>
        <w:gridCol w:w="869"/>
        <w:gridCol w:w="869"/>
        <w:gridCol w:w="871"/>
        <w:gridCol w:w="869"/>
        <w:gridCol w:w="871"/>
        <w:gridCol w:w="869"/>
      </w:tblGrid>
      <w:tr>
        <w:trPr>
          <w:trHeight w:val="1259"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募集年份</w:t>
            </w:r>
            <w:r>
              <w:rPr>
                <w:rFonts w:ascii="Microsoft JhengHei" w:hAnsi="Microsoft JhengHei" w:cs="Microsoft JhengHei" w:eastAsia="Microsoft JhengHei" w:hint="default"/>
                <w:sz w:val="18"/>
                <w:szCs w:val="18"/>
              </w:rPr>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募集方式</w:t>
            </w:r>
            <w:r>
              <w:rPr>
                <w:rFonts w:ascii="Microsoft JhengHei" w:hAnsi="Microsoft JhengHei" w:cs="Microsoft JhengHei" w:eastAsia="Microsoft JhengHei"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1" w:right="73"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募集资金 总额</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64" w:right="7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本期已使 用募集资 金总额</w:t>
            </w:r>
            <w:r>
              <w:rPr>
                <w:rFonts w:ascii="Microsoft JhengHei" w:hAnsi="Microsoft JhengHei" w:cs="Microsoft JhengHei" w:eastAsia="Microsoft JhengHei"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64" w:right="72"/>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已累计使 用募集资 金总额</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4"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报告期内</w:t>
            </w:r>
            <w:r>
              <w:rPr>
                <w:rFonts w:ascii="Microsoft JhengHei" w:hAnsi="Microsoft JhengHei" w:cs="Microsoft JhengHei" w:eastAsia="Microsoft JhengHei" w:hint="default"/>
                <w:sz w:val="18"/>
                <w:szCs w:val="18"/>
              </w:rPr>
            </w:r>
          </w:p>
          <w:p>
            <w:pPr>
              <w:pStyle w:val="TableParagraph"/>
              <w:spacing w:line="240" w:lineRule="auto"/>
              <w:ind w:left="64" w:right="7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变更用途 的募集资 金总额</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累计变更</w:t>
            </w:r>
            <w:r>
              <w:rPr>
                <w:rFonts w:ascii="Microsoft JhengHei" w:hAnsi="Microsoft JhengHei" w:cs="Microsoft JhengHei" w:eastAsia="Microsoft JhengHei" w:hint="default"/>
                <w:sz w:val="18"/>
                <w:szCs w:val="18"/>
              </w:rPr>
            </w:r>
          </w:p>
          <w:p>
            <w:pPr>
              <w:pStyle w:val="TableParagraph"/>
              <w:spacing w:line="240" w:lineRule="auto"/>
              <w:ind w:left="64" w:right="7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用途的募 集资金总 额</w:t>
            </w:r>
            <w:r>
              <w:rPr>
                <w:rFonts w:ascii="Microsoft JhengHei" w:hAnsi="Microsoft JhengHei" w:cs="Microsoft JhengHei" w:eastAsia="Microsoft JhengHei"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4"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累计变更</w:t>
            </w:r>
            <w:r>
              <w:rPr>
                <w:rFonts w:ascii="Microsoft JhengHei" w:hAnsi="Microsoft JhengHei" w:cs="Microsoft JhengHei" w:eastAsia="Microsoft JhengHei" w:hint="default"/>
                <w:sz w:val="18"/>
                <w:szCs w:val="18"/>
              </w:rPr>
            </w:r>
          </w:p>
          <w:p>
            <w:pPr>
              <w:pStyle w:val="TableParagraph"/>
              <w:spacing w:line="240" w:lineRule="auto"/>
              <w:ind w:left="64" w:right="72"/>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用途的募 集资金总 额比例</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64" w:right="7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尚未使用 募集资金 总额</w:t>
            </w:r>
            <w:r>
              <w:rPr>
                <w:rFonts w:ascii="Microsoft JhengHei" w:hAnsi="Microsoft JhengHei" w:cs="Microsoft JhengHei" w:eastAsia="Microsoft JhengHei"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尚未使用</w:t>
            </w:r>
            <w:r>
              <w:rPr>
                <w:rFonts w:ascii="Microsoft JhengHei" w:hAnsi="Microsoft JhengHei" w:cs="Microsoft JhengHei" w:eastAsia="Microsoft JhengHei" w:hint="default"/>
                <w:sz w:val="18"/>
                <w:szCs w:val="18"/>
              </w:rPr>
            </w:r>
          </w:p>
          <w:p>
            <w:pPr>
              <w:pStyle w:val="TableParagraph"/>
              <w:spacing w:line="240" w:lineRule="auto"/>
              <w:ind w:left="64" w:right="7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募集资金 用途及去 向</w:t>
            </w:r>
            <w:r>
              <w:rPr>
                <w:rFonts w:ascii="Microsoft JhengHei" w:hAnsi="Microsoft JhengHei" w:cs="Microsoft JhengHei" w:eastAsia="Microsoft JhengHei"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64" w:right="7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闲置两年 以上募集 资金金额</w:t>
            </w:r>
            <w:r>
              <w:rPr>
                <w:rFonts w:ascii="Microsoft JhengHei" w:hAnsi="Microsoft JhengHei" w:cs="Microsoft JhengHei" w:eastAsia="Microsoft JhengHei" w:hint="default"/>
                <w:sz w:val="18"/>
                <w:szCs w:val="18"/>
              </w:rPr>
            </w:r>
          </w:p>
        </w:tc>
      </w:tr>
      <w:tr>
        <w:trPr>
          <w:trHeight w:val="63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2" w:right="67" w:hanging="180"/>
              <w:jc w:val="left"/>
              <w:rPr>
                <w:rFonts w:ascii="宋体" w:hAnsi="宋体" w:cs="宋体" w:eastAsia="宋体" w:hint="default"/>
                <w:sz w:val="18"/>
                <w:szCs w:val="18"/>
              </w:rPr>
            </w:pPr>
            <w:r>
              <w:rPr>
                <w:rFonts w:ascii="宋体" w:hAnsi="宋体" w:cs="宋体" w:eastAsia="宋体" w:hint="default"/>
                <w:sz w:val="18"/>
                <w:szCs w:val="18"/>
              </w:rPr>
              <w:t>公开发行 股份</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34,257.37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35,789.73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34,257.37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8" w:right="0"/>
              <w:jc w:val="left"/>
              <w:rPr>
                <w:rFonts w:ascii="Times New Roman" w:hAnsi="Times New Roman" w:cs="Times New Roman" w:eastAsia="Times New Roman" w:hint="default"/>
                <w:sz w:val="18"/>
                <w:szCs w:val="18"/>
              </w:rPr>
            </w:pPr>
            <w:r>
              <w:rPr>
                <w:rFonts w:ascii="Times New Roman"/>
                <w:sz w:val="18"/>
              </w:rPr>
              <w:t>3.96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35,789.73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8"/>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85" w:top="1220" w:bottom="1280" w:left="1140" w:right="900"/>
        </w:sectPr>
      </w:pPr>
    </w:p>
    <w:p>
      <w:pPr>
        <w:spacing w:line="240" w:lineRule="auto" w:before="8"/>
        <w:rPr>
          <w:rFonts w:ascii="宋体" w:hAnsi="宋体" w:cs="宋体" w:eastAsia="宋体" w:hint="default"/>
          <w:sz w:val="15"/>
          <w:szCs w:val="15"/>
        </w:rPr>
      </w:pPr>
    </w:p>
    <w:tbl>
      <w:tblPr>
        <w:tblW w:w="0" w:type="auto"/>
        <w:jc w:val="left"/>
        <w:tblInd w:w="166" w:type="dxa"/>
        <w:tblLayout w:type="fixed"/>
        <w:tblCellMar>
          <w:top w:w="0" w:type="dxa"/>
          <w:left w:w="0" w:type="dxa"/>
          <w:bottom w:w="0" w:type="dxa"/>
          <w:right w:w="0" w:type="dxa"/>
        </w:tblCellMar>
        <w:tblLook w:val="01E0"/>
      </w:tblPr>
      <w:tblGrid>
        <w:gridCol w:w="9566"/>
      </w:tblGrid>
      <w:tr>
        <w:trPr>
          <w:trHeight w:val="322" w:hRule="exact"/>
        </w:trPr>
        <w:tc>
          <w:tcPr>
            <w:tcW w:w="9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570" w:hRule="exact"/>
        </w:trPr>
        <w:tc>
          <w:tcPr>
            <w:tcW w:w="9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日，本公司募集资金实际累计投入总额为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35,789.73 </w:t>
            </w:r>
            <w:r>
              <w:rPr>
                <w:rFonts w:ascii="宋体" w:hAnsi="宋体" w:cs="宋体" w:eastAsia="宋体" w:hint="default"/>
                <w:sz w:val="18"/>
                <w:szCs w:val="18"/>
              </w:rPr>
              <w:t>万元，其中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基础平台研发升级项目累计投</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7,697.08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应用平台软件系列研发升级项目累计投入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万元、日本超图株式会社的部分股权收购累计</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万元、购置总部研发办公大楼投入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万元、成都技术中心建设投入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3,616.92 </w:t>
            </w:r>
            <w:r>
              <w:rPr>
                <w:rFonts w:ascii="宋体" w:hAnsi="宋体" w:cs="宋体" w:eastAsia="宋体" w:hint="default"/>
                <w:sz w:val="18"/>
                <w:szCs w:val="18"/>
              </w:rPr>
              <w:t>万元、承接西安市数字</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化“城市管理”信息系统建设项目累计投入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1,020.43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万元、建设移动地理信息平台产品及整体</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解决方案研发与产业化项目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2,809.5 </w:t>
            </w:r>
            <w:r>
              <w:rPr>
                <w:rFonts w:ascii="宋体" w:hAnsi="宋体" w:cs="宋体" w:eastAsia="宋体" w:hint="default"/>
                <w:sz w:val="18"/>
                <w:szCs w:val="18"/>
              </w:rPr>
              <w:t>万元，剩余募集资金及利息永久补充流动资金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3,092.59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12"/>
        <w:rPr>
          <w:rFonts w:ascii="宋体" w:hAnsi="宋体" w:cs="宋体" w:eastAsia="宋体" w:hint="default"/>
          <w:sz w:val="23"/>
          <w:szCs w:val="23"/>
        </w:rPr>
      </w:pPr>
    </w:p>
    <w:p>
      <w:pPr>
        <w:pStyle w:val="Heading2"/>
        <w:spacing w:line="367" w:lineRule="exact"/>
        <w:ind w:left="137" w:right="346"/>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8"/>
        <w:rPr>
          <w:rFonts w:ascii="宋体" w:hAnsi="宋体" w:cs="宋体" w:eastAsia="宋体" w:hint="default"/>
          <w:sz w:val="8"/>
          <w:szCs w:val="8"/>
        </w:rPr>
      </w:pPr>
    </w:p>
    <w:p>
      <w:pPr>
        <w:spacing w:before="36"/>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1555"/>
        <w:gridCol w:w="658"/>
        <w:gridCol w:w="735"/>
        <w:gridCol w:w="775"/>
        <w:gridCol w:w="655"/>
        <w:gridCol w:w="776"/>
        <w:gridCol w:w="660"/>
        <w:gridCol w:w="658"/>
        <w:gridCol w:w="788"/>
        <w:gridCol w:w="893"/>
        <w:gridCol w:w="658"/>
        <w:gridCol w:w="658"/>
      </w:tblGrid>
      <w:tr>
        <w:trPr>
          <w:trHeight w:val="1895" w:hRule="exact"/>
        </w:trPr>
        <w:tc>
          <w:tcPr>
            <w:tcW w:w="1555"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11" w:right="50"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2" w:lineRule="auto"/>
              <w:ind w:left="16" w:right="24"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3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86" w:right="91"/>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7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38" w:lineRule="auto"/>
              <w:ind w:left="19"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655"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47" w:right="5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76"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9"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660"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9"/>
              <w:ind w:left="48" w:right="55"/>
              <w:jc w:val="both"/>
              <w:rPr>
                <w:rFonts w:ascii="宋体" w:hAnsi="宋体" w:cs="宋体" w:eastAsia="宋体" w:hint="default"/>
                <w:sz w:val="18"/>
                <w:szCs w:val="18"/>
              </w:rPr>
            </w:pPr>
            <w:r>
              <w:rPr>
                <w:rFonts w:ascii="宋体" w:hAnsi="宋体" w:cs="宋体" w:eastAsia="宋体" w:hint="default"/>
                <w:sz w:val="18"/>
                <w:szCs w:val="18"/>
              </w:rPr>
              <w:t>截至期 末投资 进度</w:t>
            </w:r>
          </w:p>
          <w:p>
            <w:pPr>
              <w:pStyle w:val="TableParagraph"/>
              <w:spacing w:line="240" w:lineRule="auto" w:before="61"/>
              <w:ind w:left="79" w:right="0"/>
              <w:jc w:val="both"/>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84" w:right="0"/>
              <w:jc w:val="both"/>
              <w:rPr>
                <w:rFonts w:ascii="Times New Roman" w:hAnsi="Times New Roman" w:cs="Times New Roman" w:eastAsia="Times New Roman" w:hint="default"/>
                <w:sz w:val="18"/>
                <w:szCs w:val="18"/>
              </w:rPr>
            </w:pPr>
            <w:r>
              <w:rPr>
                <w:rFonts w:ascii="Times New Roman"/>
                <w:sz w:val="18"/>
              </w:rPr>
              <w:t>(2)/(1)</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8" w:right="5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 w:right="27"/>
              <w:jc w:val="center"/>
              <w:rPr>
                <w:rFonts w:ascii="宋体" w:hAnsi="宋体" w:cs="宋体" w:eastAsia="宋体" w:hint="default"/>
                <w:sz w:val="18"/>
                <w:szCs w:val="18"/>
              </w:rPr>
            </w:pPr>
            <w:r>
              <w:rPr>
                <w:rFonts w:ascii="宋体" w:hAnsi="宋体" w:cs="宋体" w:eastAsia="宋体" w:hint="default"/>
                <w:sz w:val="18"/>
                <w:szCs w:val="18"/>
              </w:rPr>
              <w:t>本报告期 实现的效 益（指实 现的净利 润）</w:t>
            </w:r>
          </w:p>
        </w:tc>
        <w:tc>
          <w:tcPr>
            <w:tcW w:w="893"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9"/>
              <w:ind w:left="74" w:right="83"/>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58"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47" w:right="5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58"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50"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26" w:hRule="exact"/>
        </w:trPr>
        <w:tc>
          <w:tcPr>
            <w:tcW w:w="946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51"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1"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基础平台软件 系列研发升级项目</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8,198</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8,198</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7,697.08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93.89%</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1,607.38</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6,116.52</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3"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1"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应用平台软件 系列研发升级项目</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3,843</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3,843</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3,843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1,195.31</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w w:val="95"/>
                <w:sz w:val="18"/>
              </w:rPr>
              <w:t>4,719.89</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4"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12,041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12,041</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11,540.08</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2,802.69</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10,836.41</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19" w:hRule="exact"/>
        </w:trPr>
        <w:tc>
          <w:tcPr>
            <w:tcW w:w="9467" w:type="dxa"/>
            <w:gridSpan w:val="12"/>
            <w:tcBorders>
              <w:top w:val="single" w:sz="6" w:space="0" w:color="000000"/>
              <w:left w:val="single" w:sz="12" w:space="0" w:color="000000"/>
              <w:bottom w:val="single" w:sz="6" w:space="0" w:color="000000"/>
              <w:right w:val="single" w:sz="12" w:space="0" w:color="000000"/>
            </w:tcBorders>
            <w:shd w:val="clear" w:color="auto" w:fill="D2D2D2"/>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950"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 w:right="79"/>
              <w:jc w:val="left"/>
              <w:rPr>
                <w:rFonts w:ascii="宋体" w:hAnsi="宋体" w:cs="宋体" w:eastAsia="宋体" w:hint="default"/>
                <w:sz w:val="18"/>
                <w:szCs w:val="18"/>
              </w:rPr>
            </w:pPr>
            <w:r>
              <w:rPr>
                <w:rFonts w:ascii="宋体" w:hAnsi="宋体" w:cs="宋体" w:eastAsia="宋体" w:hint="default"/>
                <w:sz w:val="18"/>
                <w:szCs w:val="18"/>
              </w:rPr>
              <w:t>日本超图株式会社 的部分股权收购</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1,568.49</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1,710.21</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1,710.21</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-47.75</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-26.02</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3"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购置研发办公用房</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8,000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8,000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z w:val="18"/>
              </w:rPr>
              <w:t>8,000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309" w:lineRule="auto" w:before="8"/>
              <w:ind w:left="11" w:right="79"/>
              <w:jc w:val="both"/>
              <w:rPr>
                <w:rFonts w:ascii="宋体" w:hAnsi="宋体" w:cs="宋体" w:eastAsia="宋体" w:hint="default"/>
                <w:sz w:val="18"/>
                <w:szCs w:val="18"/>
              </w:rPr>
            </w:pPr>
            <w:r>
              <w:rPr>
                <w:rFonts w:ascii="宋体" w:hAnsi="宋体" w:cs="宋体" w:eastAsia="宋体" w:hint="default"/>
                <w:sz w:val="18"/>
                <w:szCs w:val="18"/>
              </w:rPr>
              <w:t>承接西安市数字化 </w:t>
            </w:r>
            <w:r>
              <w:rPr>
                <w:rFonts w:ascii="Times New Roman" w:hAnsi="Times New Roman" w:cs="Times New Roman" w:eastAsia="Times New Roman" w:hint="default"/>
                <w:sz w:val="18"/>
                <w:szCs w:val="18"/>
              </w:rPr>
              <w:t>"</w:t>
            </w:r>
            <w:r>
              <w:rPr>
                <w:rFonts w:ascii="宋体" w:hAnsi="宋体" w:cs="宋体" w:eastAsia="宋体" w:hint="default"/>
                <w:sz w:val="18"/>
                <w:szCs w:val="18"/>
              </w:rPr>
              <w:t>城市管理</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 统建设项目</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2,305.89</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2,305.89</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1020.43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44.25%</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19"/>
              <w:jc w:val="righ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
              <w:jc w:val="center"/>
              <w:rPr>
                <w:rFonts w:ascii="Times New Roman" w:hAnsi="Times New Roman" w:cs="Times New Roman" w:eastAsia="Times New Roman" w:hint="default"/>
                <w:sz w:val="18"/>
                <w:szCs w:val="18"/>
              </w:rPr>
            </w:pPr>
            <w:r>
              <w:rPr>
                <w:rFonts w:ascii="Times New Roman"/>
                <w:sz w:val="18"/>
              </w:rPr>
              <w:t>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87" w:right="0"/>
              <w:jc w:val="left"/>
              <w:rPr>
                <w:rFonts w:ascii="Times New Roman" w:hAnsi="Times New Roman" w:cs="Times New Roman" w:eastAsia="Times New Roman" w:hint="default"/>
                <w:sz w:val="18"/>
                <w:szCs w:val="18"/>
              </w:rPr>
            </w:pPr>
            <w:r>
              <w:rPr>
                <w:rFonts w:ascii="Times New Roman"/>
                <w:sz w:val="18"/>
              </w:rPr>
              <w:t>393.87</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1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建设成都技术中心</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4,152.5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4,152.5</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3616.92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87.10%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70" w:hRule="exact"/>
        </w:trPr>
        <w:tc>
          <w:tcPr>
            <w:tcW w:w="1555"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8"/>
              <w:ind w:left="11" w:right="79"/>
              <w:jc w:val="both"/>
              <w:rPr>
                <w:rFonts w:ascii="宋体" w:hAnsi="宋体" w:cs="宋体" w:eastAsia="宋体" w:hint="default"/>
                <w:sz w:val="18"/>
                <w:szCs w:val="18"/>
              </w:rPr>
            </w:pPr>
            <w:r>
              <w:rPr>
                <w:rFonts w:ascii="宋体" w:hAnsi="宋体" w:cs="宋体" w:eastAsia="宋体" w:hint="default"/>
                <w:sz w:val="18"/>
                <w:szCs w:val="18"/>
              </w:rPr>
              <w:t>移动地理信息平台 产品及整体解决方 案研发与产业化项 目</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2,809.5</w:t>
            </w:r>
          </w:p>
        </w:tc>
        <w:tc>
          <w:tcPr>
            <w:tcW w:w="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2,809.5</w:t>
            </w:r>
          </w:p>
        </w:tc>
        <w:tc>
          <w:tcPr>
            <w:tcW w:w="6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2809.5</w:t>
            </w:r>
          </w:p>
        </w:tc>
        <w:tc>
          <w:tcPr>
            <w:tcW w:w="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42.44</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159.61</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085" w:top="1220" w:bottom="1280" w:left="1140" w:right="90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1555"/>
        <w:gridCol w:w="658"/>
        <w:gridCol w:w="735"/>
        <w:gridCol w:w="775"/>
        <w:gridCol w:w="655"/>
        <w:gridCol w:w="776"/>
        <w:gridCol w:w="660"/>
        <w:gridCol w:w="658"/>
        <w:gridCol w:w="788"/>
        <w:gridCol w:w="893"/>
        <w:gridCol w:w="658"/>
        <w:gridCol w:w="658"/>
      </w:tblGrid>
      <w:tr>
        <w:trPr>
          <w:trHeight w:val="958" w:hRule="exact"/>
        </w:trPr>
        <w:tc>
          <w:tcPr>
            <w:tcW w:w="1555"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1"/>
              <w:ind w:left="11" w:right="79"/>
              <w:jc w:val="both"/>
              <w:rPr>
                <w:rFonts w:ascii="宋体" w:hAnsi="宋体" w:cs="宋体" w:eastAsia="宋体" w:hint="default"/>
                <w:sz w:val="18"/>
                <w:szCs w:val="18"/>
              </w:rPr>
            </w:pPr>
            <w:r>
              <w:rPr>
                <w:rFonts w:ascii="宋体" w:hAnsi="宋体" w:cs="宋体" w:eastAsia="宋体" w:hint="default"/>
                <w:sz w:val="18"/>
                <w:szCs w:val="18"/>
              </w:rPr>
              <w:t>剩余募集资金及利 息永久补充流动资 金</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3,088.63</w:t>
            </w:r>
          </w:p>
        </w:tc>
        <w:tc>
          <w:tcPr>
            <w:tcW w:w="7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3,092.59</w:t>
            </w:r>
          </w:p>
        </w:tc>
        <w:tc>
          <w:tcPr>
            <w:tcW w:w="6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pacing w:val="-1"/>
                <w:sz w:val="18"/>
              </w:rPr>
              <w:t>3.96</w:t>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3,092.59</w:t>
            </w:r>
          </w:p>
        </w:tc>
        <w:tc>
          <w:tcPr>
            <w:tcW w:w="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01" w:right="0"/>
              <w:jc w:val="lef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4"/>
              <w:jc w:val="center"/>
              <w:rPr>
                <w:rFonts w:ascii="Times New Roman" w:hAnsi="Times New Roman" w:cs="Times New Roman" w:eastAsia="Times New Roman" w:hint="default"/>
                <w:sz w:val="18"/>
                <w:szCs w:val="18"/>
              </w:rPr>
            </w:pPr>
            <w:r>
              <w:rPr>
                <w:rFonts w:ascii="Times New Roman"/>
                <w:sz w:val="18"/>
              </w:rPr>
              <w:t>0</w:t>
            </w:r>
          </w:p>
        </w:tc>
        <w:tc>
          <w:tcPr>
            <w:tcW w:w="8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8"/>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1" w:right="7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100%</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
              <w:ind w:right="67"/>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64"/>
              <w:jc w:val="right"/>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25925.01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26,070.69</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3.96</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24,249.65</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-5.31</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527.46</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right="252"/>
              <w:jc w:val="righ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64"/>
              <w:jc w:val="right"/>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37966.01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2"/>
                <w:sz w:val="18"/>
              </w:rPr>
              <w:t>38,111.69</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3.96</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35,789.73</w:t>
            </w:r>
          </w:p>
        </w:tc>
        <w:tc>
          <w:tcPr>
            <w:tcW w:w="6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2,797.38</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11,363.87</w:t>
            </w:r>
          </w:p>
        </w:tc>
        <w:tc>
          <w:tcPr>
            <w:tcW w:w="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50"/>
              <w:ind w:right="252"/>
              <w:jc w:val="right"/>
              <w:rPr>
                <w:rFonts w:ascii="Times New Roman" w:hAnsi="Times New Roman" w:cs="Times New Roman" w:eastAsia="Times New Roman" w:hint="default"/>
                <w:sz w:val="18"/>
                <w:szCs w:val="18"/>
              </w:rPr>
            </w:pPr>
            <w:r>
              <w:rPr>
                <w:rFonts w:ascii="Times New Roman"/>
                <w:sz w:val="18"/>
              </w:rPr>
              <w:t>--</w:t>
            </w:r>
          </w:p>
        </w:tc>
      </w:tr>
      <w:tr>
        <w:trPr>
          <w:trHeight w:val="3135"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11" w:right="7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 目）</w:t>
            </w:r>
          </w:p>
        </w:tc>
        <w:tc>
          <w:tcPr>
            <w:tcW w:w="7912" w:type="dxa"/>
            <w:gridSpan w:val="11"/>
            <w:tcBorders>
              <w:top w:val="single" w:sz="6" w:space="0" w:color="000000"/>
              <w:left w:val="single" w:sz="6" w:space="0" w:color="000000"/>
              <w:bottom w:val="single" w:sz="6" w:space="0" w:color="000000"/>
              <w:right w:val="single" w:sz="12" w:space="0" w:color="000000"/>
            </w:tcBorders>
          </w:tcPr>
          <w:p>
            <w:pPr>
              <w:pStyle w:val="TableParagraph"/>
              <w:spacing w:line="312" w:lineRule="auto" w:before="8"/>
              <w:ind w:left="16"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、承接西安市数字化</w:t>
            </w:r>
            <w:r>
              <w:rPr>
                <w:rFonts w:ascii="Times New Roman" w:hAnsi="Times New Roman" w:cs="Times New Roman" w:eastAsia="Times New Roman" w:hint="default"/>
                <w:sz w:val="18"/>
                <w:szCs w:val="18"/>
              </w:rPr>
              <w:t>"</w:t>
            </w:r>
            <w:r>
              <w:rPr>
                <w:rFonts w:ascii="宋体" w:hAnsi="宋体" w:cs="宋体" w:eastAsia="宋体" w:hint="default"/>
                <w:sz w:val="18"/>
                <w:szCs w:val="18"/>
              </w:rPr>
              <w:t>城市管理</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信息系统经费使用未达到计划进度并有结余。原因在于：该项目在 中标后，为了尽快进场实施保障项目工期，在董事会决议使用超募资金建设该项目之前，公司已经 提前垫付了部分第三方产品的预付款，这部分款项无法做置换，导致原计划应以超募资金支付的款 项无法拨付，造成了该项目的资金尚有结余。</w:t>
            </w:r>
          </w:p>
          <w:p>
            <w:pPr>
              <w:pStyle w:val="TableParagraph"/>
              <w:spacing w:line="312" w:lineRule="auto" w:before="23"/>
              <w:ind w:left="16"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建设成都技术中心项目的建设使用未达到计划进度并有结余。原因在于：在成都技术中心建设</w:t>
            </w:r>
            <w:r>
              <w:rPr>
                <w:rFonts w:ascii="宋体" w:hAnsi="宋体" w:cs="宋体" w:eastAsia="宋体" w:hint="default"/>
                <w:sz w:val="18"/>
                <w:szCs w:val="18"/>
              </w:rPr>
              <w:t> 阶段，公司在房屋改造、设备购置等方面降低预算。此外，当时成都技术中心建设早期没有实现大 量人员的西迁，人员还主要集中在北京，因此未能如期使用计划内超募资金。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、“日本超图株式会社的部分股权收购”项目，自公司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年年底投资日本超图后，受日本经济萧</w:t>
            </w:r>
            <w:r>
              <w:rPr>
                <w:rFonts w:ascii="宋体" w:hAnsi="宋体" w:cs="宋体" w:eastAsia="宋体" w:hint="default"/>
                <w:spacing w:val="-88"/>
                <w:sz w:val="18"/>
                <w:szCs w:val="18"/>
              </w:rPr>
              <w:t> </w:t>
            </w:r>
            <w:r>
              <w:rPr>
                <w:rFonts w:ascii="宋体" w:hAnsi="宋体" w:cs="宋体" w:eastAsia="宋体" w:hint="default"/>
                <w:sz w:val="18"/>
                <w:szCs w:val="18"/>
              </w:rPr>
              <w:t>条、大地震、中日关系恶化等影响，日本超图的经营情况与当初公司预测的利润有一定差距。但综 合其在日本地区运营对公司国际市场带来的综合收益，公司认为，本次投资的综合效益是有效的。</w:t>
            </w:r>
          </w:p>
        </w:tc>
      </w:tr>
      <w:tr>
        <w:trPr>
          <w:trHeight w:val="641"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1" w:right="7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6" w:hRule="exact"/>
        </w:trPr>
        <w:tc>
          <w:tcPr>
            <w:tcW w:w="1555" w:type="dxa"/>
            <w:vMerge w:val="restart"/>
            <w:tcBorders>
              <w:top w:val="single" w:sz="6" w:space="0" w:color="000000"/>
              <w:left w:val="single" w:sz="12"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11" w:right="79"/>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7912" w:type="dxa"/>
            <w:gridSpan w:val="11"/>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511" w:hRule="exact"/>
        </w:trPr>
        <w:tc>
          <w:tcPr>
            <w:tcW w:w="1555" w:type="dxa"/>
            <w:vMerge/>
            <w:tcBorders>
              <w:left w:val="single" w:sz="12" w:space="0" w:color="000000"/>
              <w:bottom w:val="single" w:sz="12" w:space="0" w:color="000000"/>
              <w:right w:val="single" w:sz="6" w:space="0" w:color="000000"/>
            </w:tcBorders>
            <w:shd w:val="clear" w:color="auto" w:fill="D2D2D2"/>
          </w:tcPr>
          <w:p>
            <w:pPr/>
          </w:p>
        </w:tc>
        <w:tc>
          <w:tcPr>
            <w:tcW w:w="7912" w:type="dxa"/>
            <w:gridSpan w:val="11"/>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超募资金总额为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23,023.18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万元。超募资金项目的资金使用情况如下：</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、日本超图株式会社的部分股权收购项目</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日，公司第一届董事会第十四次会议审议通过了《关于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超募资金使用计划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，决定使用超募资金合计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万日元（折合人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万元人民币，汇率按</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日元兑</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元人民币计算）以收购部分股东股份与认购增发股份相结合的方式取得日本超图株式会社</w:t>
            </w:r>
          </w:p>
          <w:p>
            <w:pPr>
              <w:pStyle w:val="TableParagraph"/>
              <w:spacing w:line="307" w:lineRule="auto" w:before="63"/>
              <w:ind w:left="16"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19,400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股股份，占比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36.60%</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月，公司完成该投资所需要的所有手续，并支付完 毕相关款项，根据国家外汇管理相关规定以及款项汇出时汇率情况，公司最终支付总额为 </w:t>
            </w:r>
            <w:r>
              <w:rPr>
                <w:rFonts w:ascii="Times New Roman" w:hAnsi="Times New Roman" w:cs="Times New Roman" w:eastAsia="Times New Roman" w:hint="default"/>
                <w:sz w:val="18"/>
                <w:szCs w:val="18"/>
              </w:rPr>
              <w:t>17,102,115.70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元（其中用于收购的投资金额为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17,090,761.78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元人民币，另含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11,353.92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元人民币手 </w:t>
            </w:r>
            <w:r>
              <w:rPr>
                <w:rFonts w:ascii="宋体" w:hAnsi="宋体" w:cs="宋体" w:eastAsia="宋体" w:hint="default"/>
                <w:spacing w:val="-23"/>
                <w:sz w:val="18"/>
                <w:szCs w:val="18"/>
              </w:rPr>
              <w:t>续费）。</w:t>
            </w:r>
          </w:p>
          <w:p>
            <w:pPr>
              <w:pStyle w:val="TableParagraph"/>
              <w:spacing w:line="240" w:lineRule="auto" w:before="2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、购置研发办公用房项目</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日，公司第一届董事会第十八次会议审议通过了《关于购置房产及超募资金使用计</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划的议案</w:t>
            </w:r>
            <w:r>
              <w:rPr>
                <w:rFonts w:ascii="宋体" w:hAnsi="宋体" w:cs="宋体" w:eastAsia="宋体" w:hint="default"/>
                <w:spacing w:val="-92"/>
                <w:sz w:val="18"/>
                <w:szCs w:val="18"/>
              </w:rPr>
              <w:t>》</w:t>
            </w:r>
            <w:r>
              <w:rPr>
                <w:rFonts w:ascii="宋体" w:hAnsi="宋体" w:cs="宋体" w:eastAsia="宋体" w:hint="default"/>
                <w:sz w:val="18"/>
                <w:szCs w:val="18"/>
              </w:rPr>
              <w:t>，拟用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超</w:t>
            </w:r>
            <w:r>
              <w:rPr>
                <w:rFonts w:ascii="宋体" w:hAnsi="宋体" w:cs="宋体" w:eastAsia="宋体" w:hint="default"/>
                <w:sz w:val="18"/>
                <w:szCs w:val="18"/>
              </w:rPr>
              <w:t>募资金结合自有资金的方式，用于购置办公用房，该笔资金已于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年支付完成。</w:t>
            </w:r>
          </w:p>
          <w:p>
            <w:pPr>
              <w:pStyle w:val="TableParagraph"/>
              <w:spacing w:line="240" w:lineRule="auto" w:before="7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、承接西安市数字化“城市管理”信息系统建设项目</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日，公司第二届董事会第三次会议审议通过了《关于使用超募资金承接西安市数字</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化“城市管理”信息系统建设项目的议案》拟使用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万元超募资金承接西安数字化“城市管</w:t>
            </w:r>
          </w:p>
          <w:p>
            <w:pPr>
              <w:pStyle w:val="TableParagraph"/>
              <w:spacing w:line="307" w:lineRule="auto" w:before="63"/>
              <w:ind w:left="16" w:right="131"/>
              <w:jc w:val="left"/>
              <w:rPr>
                <w:rFonts w:ascii="宋体" w:hAnsi="宋体" w:cs="宋体" w:eastAsia="宋体" w:hint="default"/>
                <w:sz w:val="18"/>
                <w:szCs w:val="18"/>
              </w:rPr>
            </w:pPr>
            <w:r>
              <w:rPr>
                <w:rFonts w:ascii="宋体" w:hAnsi="宋体" w:cs="宋体" w:eastAsia="宋体" w:hint="default"/>
                <w:sz w:val="18"/>
                <w:szCs w:val="18"/>
              </w:rPr>
              <w:t>理”信息系统建设项目。截至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日，西安数字化“城市管理”信息系统项目建设完 成，通过验收。鉴于该项目已达到预定可使用状态，公司第二届董事会第二十七会议决议对该项目 进行结项，该项目累计使用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1,020.43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万元，节余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1447.43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万元（含利息收入）。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、成都技术中心建设项目</w:t>
            </w:r>
          </w:p>
          <w:p>
            <w:pPr>
              <w:pStyle w:val="TableParagraph"/>
              <w:spacing w:line="240" w:lineRule="auto" w:before="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日，公司第二届董事会第三次会议审议通过了《关于使用超募资金建设成都技术中</w:t>
            </w:r>
          </w:p>
          <w:p>
            <w:pPr>
              <w:pStyle w:val="TableParagraph"/>
              <w:spacing w:line="309" w:lineRule="auto" w:before="63"/>
              <w:ind w:left="16" w:right="127"/>
              <w:jc w:val="both"/>
              <w:rPr>
                <w:rFonts w:ascii="宋体" w:hAnsi="宋体" w:cs="宋体" w:eastAsia="宋体" w:hint="default"/>
                <w:sz w:val="18"/>
                <w:szCs w:val="18"/>
              </w:rPr>
            </w:pPr>
            <w:r>
              <w:rPr>
                <w:rFonts w:ascii="宋体" w:hAnsi="宋体" w:cs="宋体" w:eastAsia="宋体" w:hint="default"/>
                <w:spacing w:val="-8"/>
                <w:sz w:val="18"/>
                <w:szCs w:val="18"/>
              </w:rPr>
              <w:t>心的议案》，拟使用超募资金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4,152.5</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万元建设成都技术中心，截至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日，成都技术中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心已投入使用并正常运行，鉴于该项目已达到预定可使用状态，公司第二届董事会第二十七会议决 议对该项目进行结项，该项目累计使用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3,616.92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万元，节余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787.4</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万元（含利息收入）。</w:t>
            </w:r>
          </w:p>
        </w:tc>
      </w:tr>
    </w:tbl>
    <w:p>
      <w:pPr>
        <w:spacing w:after="0" w:line="309" w:lineRule="auto"/>
        <w:jc w:val="both"/>
        <w:rPr>
          <w:rFonts w:ascii="宋体" w:hAnsi="宋体" w:cs="宋体" w:eastAsia="宋体" w:hint="default"/>
          <w:sz w:val="18"/>
          <w:szCs w:val="18"/>
        </w:rPr>
        <w:sectPr>
          <w:pgSz w:w="11910" w:h="16840"/>
          <w:pgMar w:header="877" w:footer="1085" w:top="1220" w:bottom="1280" w:left="114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1555"/>
        <w:gridCol w:w="7912"/>
      </w:tblGrid>
      <w:tr>
        <w:trPr>
          <w:trHeight w:val="5015" w:hRule="exact"/>
        </w:trPr>
        <w:tc>
          <w:tcPr>
            <w:tcW w:w="1555" w:type="dxa"/>
            <w:tcBorders>
              <w:top w:val="single" w:sz="12" w:space="0" w:color="000000"/>
              <w:left w:val="single" w:sz="12" w:space="0" w:color="000000"/>
              <w:bottom w:val="single" w:sz="6" w:space="0" w:color="000000"/>
              <w:right w:val="single" w:sz="6" w:space="0" w:color="000000"/>
            </w:tcBorders>
            <w:shd w:val="clear" w:color="auto" w:fill="D2D2D2"/>
          </w:tcPr>
          <w:p>
            <w:pPr/>
          </w:p>
        </w:tc>
        <w:tc>
          <w:tcPr>
            <w:tcW w:w="79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、永久补充流动资金</w:t>
            </w:r>
          </w:p>
          <w:p>
            <w:pPr>
              <w:pStyle w:val="TableParagraph"/>
              <w:spacing w:line="240" w:lineRule="auto" w:before="60"/>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日，公司第二届董事会第八次会议审议通过了《关于使用部分超募资金永久补充流</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z w:val="18"/>
                <w:szCs w:val="18"/>
              </w:rPr>
              <w:t>，决议使用</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万元超募资金永久补充流</w:t>
            </w:r>
            <w:r>
              <w:rPr>
                <w:rFonts w:ascii="宋体" w:hAnsi="宋体" w:cs="宋体" w:eastAsia="宋体" w:hint="default"/>
                <w:spacing w:val="-3"/>
                <w:sz w:val="18"/>
                <w:szCs w:val="18"/>
              </w:rPr>
              <w:t>动</w:t>
            </w:r>
            <w:r>
              <w:rPr>
                <w:rFonts w:ascii="宋体" w:hAnsi="宋体" w:cs="宋体" w:eastAsia="宋体" w:hint="default"/>
                <w:sz w:val="18"/>
                <w:szCs w:val="18"/>
              </w:rPr>
              <w:t>资金，该项议案已于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度</w:t>
            </w:r>
            <w:r>
              <w:rPr>
                <w:rFonts w:ascii="宋体" w:hAnsi="宋体" w:cs="宋体" w:eastAsia="宋体" w:hint="default"/>
                <w:sz w:val="18"/>
                <w:szCs w:val="18"/>
              </w:rPr>
              <w:t>实施。</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、建设移动地理信息平台产品及整体解决方案研发与产业化项目</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届董事会第十次会议审议通过了《关于超募资金使用计划的议案</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决</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万元建设移动地理信息平台产品及整体解决方案研发与产业化项目，截至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日，本项目已实施完毕，达到可预订使用状态，项目累计使用超募资金总额为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2,809.50 </w:t>
            </w:r>
            <w:r>
              <w:rPr>
                <w:rFonts w:ascii="宋体" w:hAnsi="宋体" w:cs="宋体" w:eastAsia="宋体" w:hint="default"/>
                <w:sz w:val="18"/>
                <w:szCs w:val="18"/>
              </w:rPr>
              <w:t>万元。</w:t>
            </w:r>
          </w:p>
          <w:p>
            <w:pPr>
              <w:pStyle w:val="TableParagraph"/>
              <w:spacing w:line="240" w:lineRule="auto" w:before="6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、剩余募集资金及利息永久补充流动资金</w:t>
            </w:r>
          </w:p>
          <w:p>
            <w:pPr>
              <w:pStyle w:val="TableParagraph"/>
              <w:spacing w:line="300" w:lineRule="auto" w:before="63"/>
              <w:ind w:left="16"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日，公司第二届董事会第二十七次会议决议审议通过的《关于对超募资金投资项目 </w:t>
            </w:r>
            <w:r>
              <w:rPr>
                <w:rFonts w:ascii="宋体" w:hAnsi="宋体" w:cs="宋体" w:eastAsia="宋体" w:hint="default"/>
                <w:spacing w:val="-3"/>
                <w:sz w:val="18"/>
                <w:szCs w:val="18"/>
              </w:rPr>
              <w:t>结项并用剩余募集资金及利息永久补充流动资金的议案》，公司将结项后累计剩余的超募资金总额</w:t>
            </w:r>
          </w:p>
          <w:p>
            <w:pPr>
              <w:pStyle w:val="TableParagraph"/>
              <w:spacing w:line="240" w:lineRule="auto" w:before="31"/>
              <w:ind w:left="16" w:right="0"/>
              <w:jc w:val="both"/>
              <w:rPr>
                <w:rFonts w:ascii="宋体" w:hAnsi="宋体" w:cs="宋体" w:eastAsia="宋体" w:hint="default"/>
                <w:sz w:val="18"/>
                <w:szCs w:val="18"/>
              </w:rPr>
            </w:pP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z w:val="18"/>
                <w:szCs w:val="18"/>
              </w:rPr>
              <w:t>（总计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3 </w:t>
            </w:r>
            <w:r>
              <w:rPr>
                <w:rFonts w:ascii="宋体" w:hAnsi="宋体" w:cs="宋体" w:eastAsia="宋体" w:hint="default"/>
                <w:sz w:val="18"/>
                <w:szCs w:val="18"/>
              </w:rPr>
              <w:t>万元）永久补充流动资金。由于银行实行季度计息，利息实际发放按</w:t>
            </w:r>
          </w:p>
          <w:p>
            <w:pPr>
              <w:pStyle w:val="TableParagraph"/>
              <w:spacing w:line="309" w:lineRule="auto" w:before="63"/>
              <w:ind w:left="16" w:right="127"/>
              <w:jc w:val="both"/>
              <w:rPr>
                <w:rFonts w:ascii="宋体" w:hAnsi="宋体" w:cs="宋体" w:eastAsia="宋体" w:hint="default"/>
                <w:sz w:val="18"/>
                <w:szCs w:val="18"/>
              </w:rPr>
            </w:pPr>
            <w:r>
              <w:rPr>
                <w:rFonts w:ascii="宋体" w:hAnsi="宋体" w:cs="宋体" w:eastAsia="宋体" w:hint="default"/>
                <w:sz w:val="18"/>
                <w:szCs w:val="18"/>
              </w:rPr>
              <w:t>季度进行，因此截止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日尚有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万元为公司董事会审议通过《关于对超募资金投 资项目结项并用剩余募集资金及利息永久补充流动资金的议案》之日至实际转出之日期间的剩余募 集资金的利息。此部分利息收入已于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年永久补充流动资金。截止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日，公司首 次公开发行股票所募集的所有资金全部使用完毕，募集资金专户（北京银行股份有限公司中关村科 技园区支行，帐号为：</w:t>
            </w:r>
            <w:r>
              <w:rPr>
                <w:rFonts w:ascii="Times New Roman" w:hAnsi="Times New Roman" w:cs="Times New Roman" w:eastAsia="Times New Roman" w:hint="default"/>
                <w:sz w:val="18"/>
                <w:szCs w:val="18"/>
              </w:rPr>
              <w:t>01090879400120109075374</w:t>
            </w:r>
            <w:r>
              <w:rPr>
                <w:rFonts w:ascii="宋体" w:hAnsi="宋体" w:cs="宋体" w:eastAsia="宋体" w:hint="default"/>
                <w:sz w:val="18"/>
                <w:szCs w:val="18"/>
              </w:rPr>
              <w:t>）已于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月完成注销。</w:t>
            </w:r>
          </w:p>
        </w:tc>
      </w:tr>
      <w:tr>
        <w:trPr>
          <w:trHeight w:val="641"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10"/>
              <w:ind w:left="11" w:right="7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8"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8"/>
              <w:ind w:left="11" w:right="7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51"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9" w:lineRule="auto" w:before="8"/>
              <w:ind w:left="11" w:right="7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50"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316" w:lineRule="auto" w:before="8"/>
              <w:ind w:left="11" w:right="7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7"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1" w:right="7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309" w:lineRule="auto" w:before="10"/>
              <w:ind w:left="16"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西安市数字化“城市管理”信息系统建设项目的节余原因</w:t>
            </w:r>
            <w:r>
              <w:rPr>
                <w:rFonts w:ascii="宋体" w:hAnsi="宋体" w:cs="宋体" w:eastAsia="宋体" w:hint="default"/>
                <w:sz w:val="18"/>
                <w:szCs w:val="18"/>
              </w:rPr>
              <w:t> 该项目在中标后，为了尽快进场实施保障项目工期，在董事会决议使用超募资金建设该项目之前， 公司已经提前垫付了部分第三方产品的预付款，这部分款项无法做置换，导致原计划应以超募资金 支付的款项无法拨付，造成了该项目的资金尚有结余。此外，该项目为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项目，为了最大限度的 避免资金占压，公司争取到部分采购事项亦按照公司的收款节奏分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年支付，因此部分应付款项在</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项目结项时暂未支付。综上，本项目结余资金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（含利息收入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2" w:lineRule="auto" w:before="63"/>
              <w:ind w:left="16" w:right="1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建设成都技术中心项目的节余原因</w:t>
            </w:r>
            <w:r>
              <w:rPr>
                <w:rFonts w:ascii="宋体" w:hAnsi="宋体" w:cs="宋体" w:eastAsia="宋体" w:hint="default"/>
                <w:sz w:val="18"/>
                <w:szCs w:val="18"/>
              </w:rPr>
              <w:t> 在成都技术中心建设阶段，公司在房屋改造、设备购置等方面降低预算。此外，成都技术中心建设 早期阶段，没有实现大量人员的西迁，人员还主要集中在北京，因此人员费用未能如期使用超募资 金。综上，项目结项时造成本项目有部分结余资金，结余</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787.4</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万元（含利息收入）。</w:t>
            </w:r>
          </w:p>
        </w:tc>
      </w:tr>
      <w:tr>
        <w:trPr>
          <w:trHeight w:val="1574" w:hRule="exact"/>
        </w:trPr>
        <w:tc>
          <w:tcPr>
            <w:tcW w:w="1555" w:type="dxa"/>
            <w:tcBorders>
              <w:top w:val="single" w:sz="6" w:space="0" w:color="000000"/>
              <w:left w:val="single" w:sz="12"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1" w:right="7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8"/>
              <w:ind w:left="16" w:right="38"/>
              <w:jc w:val="left"/>
              <w:rPr>
                <w:rFonts w:ascii="宋体" w:hAnsi="宋体" w:cs="宋体" w:eastAsia="宋体" w:hint="default"/>
                <w:sz w:val="18"/>
                <w:szCs w:val="18"/>
              </w:rPr>
            </w:pPr>
            <w:r>
              <w:rPr>
                <w:rFonts w:ascii="宋体" w:hAnsi="宋体" w:cs="宋体" w:eastAsia="宋体" w:hint="default"/>
                <w:sz w:val="18"/>
                <w:szCs w:val="18"/>
              </w:rPr>
              <w:t>根据公司第二届董事会第二十七次会议决议审议通过的《关于对超募资金投资项目结项并用剩余募 </w:t>
            </w:r>
            <w:r>
              <w:rPr>
                <w:rFonts w:ascii="宋体" w:hAnsi="宋体" w:cs="宋体" w:eastAsia="宋体" w:hint="default"/>
                <w:spacing w:val="-3"/>
                <w:sz w:val="18"/>
                <w:szCs w:val="18"/>
              </w:rPr>
              <w:t>集资金及利息永久补充流动资金的议案》，公司将结项后累计剩余的超募资金总额（含利息收入）永</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久补充流动资金。截止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日，公司首次公开发行股票所募集的所有资金全部使用完 毕，募集资金专户（北京银行股份有限公司中关村科技园区支行，帐号为： </w:t>
            </w:r>
            <w:r>
              <w:rPr>
                <w:rFonts w:ascii="Times New Roman" w:hAnsi="Times New Roman" w:cs="Times New Roman" w:eastAsia="Times New Roman" w:hint="default"/>
                <w:sz w:val="18"/>
                <w:szCs w:val="18"/>
              </w:rPr>
              <w:t>01090879400120109075374</w:t>
            </w: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月完成注销。</w:t>
            </w:r>
          </w:p>
        </w:tc>
      </w:tr>
      <w:tr>
        <w:trPr>
          <w:trHeight w:val="958" w:hRule="exact"/>
        </w:trPr>
        <w:tc>
          <w:tcPr>
            <w:tcW w:w="1555" w:type="dxa"/>
            <w:tcBorders>
              <w:top w:val="single" w:sz="6" w:space="0" w:color="000000"/>
              <w:left w:val="single" w:sz="12" w:space="0" w:color="000000"/>
              <w:bottom w:val="single" w:sz="12" w:space="0" w:color="000000"/>
              <w:right w:val="single" w:sz="6" w:space="0" w:color="000000"/>
            </w:tcBorders>
            <w:shd w:val="clear" w:color="auto" w:fill="D2D2D2"/>
          </w:tcPr>
          <w:p>
            <w:pPr>
              <w:pStyle w:val="TableParagraph"/>
              <w:spacing w:line="316" w:lineRule="auto" w:before="8"/>
              <w:ind w:left="11" w:right="7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6"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年度，公司不存在募集资金使用及管理的违法违规情形，募集资金的使用已得到及时、准确、 充分的披露。</w:t>
            </w:r>
          </w:p>
        </w:tc>
      </w:tr>
    </w:tbl>
    <w:p>
      <w:pPr>
        <w:spacing w:after="0" w:line="300" w:lineRule="auto"/>
        <w:jc w:val="left"/>
        <w:rPr>
          <w:rFonts w:ascii="宋体" w:hAnsi="宋体" w:cs="宋体" w:eastAsia="宋体" w:hint="default"/>
          <w:sz w:val="18"/>
          <w:szCs w:val="18"/>
        </w:rPr>
        <w:sectPr>
          <w:pgSz w:w="11910" w:h="16840"/>
          <w:pgMar w:header="877" w:footer="1085" w:top="1220" w:bottom="1280" w:left="1140" w:right="980"/>
        </w:sectPr>
      </w:pPr>
    </w:p>
    <w:p>
      <w:pPr>
        <w:spacing w:line="240" w:lineRule="auto" w:before="10"/>
        <w:rPr>
          <w:rFonts w:ascii="Times New Roman" w:hAnsi="Times New Roman" w:cs="Times New Roman" w:eastAsia="Times New Roman" w:hint="default"/>
          <w:sz w:val="18"/>
          <w:szCs w:val="18"/>
        </w:rPr>
      </w:pPr>
    </w:p>
    <w:p>
      <w:pPr>
        <w:pStyle w:val="Heading2"/>
        <w:spacing w:line="367" w:lineRule="exact"/>
        <w:ind w:left="137" w:right="22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458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公司报告期不存在募集资金变更项目情况。</w:t>
      </w:r>
    </w:p>
    <w:p>
      <w:pPr>
        <w:pStyle w:val="Heading2"/>
        <w:spacing w:line="240" w:lineRule="auto" w:before="214"/>
        <w:ind w:left="137" w:right="229"/>
        <w:jc w:val="left"/>
        <w:rPr>
          <w:b w:val="0"/>
          <w:bCs w:val="0"/>
        </w:rPr>
      </w:pPr>
      <w:bookmarkStart w:name="_bookmark20" w:id="21"/>
      <w:bookmarkEnd w:id="21"/>
      <w:r>
        <w:rPr>
          <w:b w:val="0"/>
          <w:bCs w:val="0"/>
        </w:rPr>
      </w:r>
      <w:r>
        <w:rPr/>
        <w:t>六、重大资产和股权出售</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、出售重大资产情况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24"/>
          <w:szCs w:val="24"/>
        </w:rPr>
      </w:pPr>
    </w:p>
    <w:p>
      <w:pPr>
        <w:pStyle w:val="BodyText"/>
        <w:spacing w:line="326" w:lineRule="auto" w:before="0"/>
        <w:ind w:left="617" w:right="602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公司报告期未出售重大资产。</w:t>
      </w:r>
    </w:p>
    <w:p>
      <w:pPr>
        <w:spacing w:line="240" w:lineRule="auto" w:before="3"/>
        <w:rPr>
          <w:rFonts w:ascii="宋体" w:hAnsi="宋体" w:cs="宋体" w:eastAsia="宋体" w:hint="default"/>
          <w:sz w:val="22"/>
          <w:szCs w:val="22"/>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spacing w:line="427" w:lineRule="auto" w:before="0"/>
        <w:ind w:left="137" w:right="674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21" w:id="22"/>
      <w:bookmarkEnd w:id="22"/>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七、主要控股参股公司分析</w:t>
      </w:r>
      <w:r>
        <w:rPr>
          <w:rFonts w:ascii="Microsoft JhengHei" w:hAnsi="Microsoft JhengHei" w:cs="Microsoft JhengHei" w:eastAsia="Microsoft JhengHei" w:hint="default"/>
          <w:sz w:val="24"/>
          <w:szCs w:val="24"/>
        </w:rPr>
      </w:r>
    </w:p>
    <w:p>
      <w:pPr>
        <w:pStyle w:val="BodyText"/>
        <w:spacing w:line="240" w:lineRule="auto" w:before="99"/>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pStyle w:val="BodyText"/>
        <w:spacing w:line="240" w:lineRule="auto" w:before="123"/>
        <w:ind w:left="617" w:right="229"/>
        <w:jc w:val="left"/>
      </w:pPr>
      <w:r>
        <w:rPr/>
        <w:t>报告期内，公司有</w:t>
      </w:r>
      <w:r>
        <w:rPr>
          <w:spacing w:val="-60"/>
        </w:rPr>
        <w:t> </w:t>
      </w:r>
      <w:r>
        <w:rPr>
          <w:rFonts w:ascii="Calibri" w:hAnsi="Calibri" w:cs="Calibri" w:eastAsia="Calibri" w:hint="default"/>
        </w:rPr>
        <w:t>7</w:t>
      </w:r>
      <w:r>
        <w:rPr>
          <w:rFonts w:ascii="Calibri" w:hAnsi="Calibri" w:cs="Calibri" w:eastAsia="Calibri" w:hint="default"/>
          <w:spacing w:val="6"/>
        </w:rPr>
        <w:t> </w:t>
      </w:r>
      <w:r>
        <w:rPr/>
        <w:t>家全资子公司（超图信息、超图国际、克拉玛依超图、上海超</w:t>
      </w:r>
    </w:p>
    <w:p>
      <w:pPr>
        <w:pStyle w:val="BodyText"/>
        <w:spacing w:line="326" w:lineRule="auto" w:before="123"/>
        <w:ind w:right="206"/>
        <w:jc w:val="left"/>
      </w:pPr>
      <w:r>
        <w:rPr/>
        <w:t>途、山东超图</w:t>
      </w:r>
      <w:r>
        <w:rPr>
          <w:spacing w:val="-1"/>
        </w:rPr>
        <w:t>、</w:t>
      </w:r>
      <w:r>
        <w:rPr/>
        <w:t>南康科技、超图数据</w:t>
      </w:r>
      <w:r>
        <w:rPr>
          <w:spacing w:val="-120"/>
        </w:rPr>
        <w:t>）</w:t>
      </w:r>
      <w:r>
        <w:rPr/>
        <w:t>，</w:t>
      </w:r>
      <w:r>
        <w:rPr>
          <w:rFonts w:ascii="Calibri" w:hAnsi="Calibri" w:cs="Calibri" w:eastAsia="Calibri" w:hint="default"/>
        </w:rPr>
        <w:t>2</w:t>
      </w:r>
      <w:r>
        <w:rPr>
          <w:rFonts w:ascii="Calibri" w:hAnsi="Calibri" w:cs="Calibri" w:eastAsia="Calibri" w:hint="default"/>
          <w:spacing w:val="6"/>
        </w:rPr>
        <w:t> </w:t>
      </w:r>
      <w:r>
        <w:rPr/>
        <w:t>家控股子公司（日本超图和地图慧科技）和</w:t>
      </w:r>
      <w:r>
        <w:rPr>
          <w:spacing w:val="-60"/>
        </w:rPr>
        <w:t> </w:t>
      </w:r>
      <w:r>
        <w:rPr>
          <w:rFonts w:ascii="Calibri" w:hAnsi="Calibri" w:cs="Calibri" w:eastAsia="Calibri" w:hint="default"/>
        </w:rPr>
        <w:t>1</w:t>
      </w:r>
      <w:r>
        <w:rPr>
          <w:rFonts w:ascii="Calibri" w:hAnsi="Calibri" w:cs="Calibri" w:eastAsia="Calibri" w:hint="default"/>
          <w:spacing w:val="6"/>
        </w:rPr>
        <w:t> </w:t>
      </w:r>
      <w:r>
        <w:rPr/>
        <w:t>家 参股子公司（浙江中科</w:t>
      </w:r>
      <w:r>
        <w:rPr>
          <w:spacing w:val="-120"/>
        </w:rPr>
        <w:t>）</w:t>
      </w:r>
      <w:r>
        <w:rPr/>
        <w:t>，</w:t>
      </w:r>
      <w:r>
        <w:rPr>
          <w:rFonts w:ascii="Calibri" w:hAnsi="Calibri" w:cs="Calibri" w:eastAsia="Calibri" w:hint="default"/>
        </w:rPr>
        <w:t>1</w:t>
      </w:r>
      <w:r>
        <w:rPr>
          <w:rFonts w:ascii="Calibri" w:hAnsi="Calibri" w:cs="Calibri" w:eastAsia="Calibri" w:hint="default"/>
          <w:spacing w:val="6"/>
        </w:rPr>
        <w:t> </w:t>
      </w:r>
      <w:r>
        <w:rPr/>
        <w:t>家孙公司（芜湖联智</w:t>
      </w:r>
      <w:r>
        <w:rPr>
          <w:spacing w:val="-120"/>
        </w:rPr>
        <w:t>）</w:t>
      </w:r>
      <w:r>
        <w:rPr/>
        <w:t>。</w:t>
      </w:r>
    </w:p>
    <w:p>
      <w:pPr>
        <w:pStyle w:val="Heading2"/>
        <w:spacing w:line="363" w:lineRule="exact"/>
        <w:ind w:left="619" w:right="229"/>
        <w:jc w:val="left"/>
        <w:rPr>
          <w:b w:val="0"/>
          <w:bCs w:val="0"/>
        </w:rPr>
      </w:pPr>
      <w:r>
        <w:rPr/>
        <w:t>（一）报告期内新设立参股</w:t>
      </w:r>
      <w:r>
        <w:rPr>
          <w:rFonts w:ascii="Calibri" w:hAnsi="Calibri" w:cs="Calibri" w:eastAsia="Calibri" w:hint="default"/>
        </w:rPr>
        <w:t>/</w:t>
      </w:r>
      <w:r>
        <w:rPr/>
        <w:t>控股公司、全资公司情况</w:t>
      </w:r>
      <w:r>
        <w:rPr>
          <w:b w:val="0"/>
          <w:bCs w:val="0"/>
        </w:rPr>
      </w:r>
    </w:p>
    <w:p>
      <w:pPr>
        <w:pStyle w:val="BodyText"/>
        <w:spacing w:line="357" w:lineRule="auto" w:before="123"/>
        <w:ind w:right="269" w:firstLine="480"/>
        <w:jc w:val="left"/>
      </w:pPr>
      <w:r>
        <w:rPr/>
        <w:t>芜湖联智为公司报告期内公司全资子公司超图信息新设立的全资子公司，南康科技为 公司报告期内现金收购的全资子公司，超图数据、地图慧科技为公司报告期内新设的公 司。具体情况如下：</w:t>
      </w:r>
    </w:p>
    <w:p>
      <w:pPr>
        <w:pStyle w:val="Heading2"/>
        <w:spacing w:line="382" w:lineRule="exact"/>
        <w:ind w:left="619" w:right="229"/>
        <w:jc w:val="left"/>
        <w:rPr>
          <w:b w:val="0"/>
          <w:bCs w:val="0"/>
        </w:rPr>
      </w:pPr>
      <w:r>
        <w:rPr>
          <w:rFonts w:ascii="Calibri" w:hAnsi="Calibri" w:cs="Calibri" w:eastAsia="Calibri" w:hint="default"/>
        </w:rPr>
        <w:t>1</w:t>
      </w:r>
      <w:r>
        <w:rPr/>
        <w:t>、芜湖联智</w:t>
      </w:r>
      <w:r>
        <w:rPr>
          <w:b w:val="0"/>
          <w:bCs w:val="0"/>
        </w:rPr>
      </w:r>
    </w:p>
    <w:p>
      <w:pPr>
        <w:pStyle w:val="BodyText"/>
        <w:spacing w:line="357" w:lineRule="auto" w:before="123"/>
        <w:ind w:left="617" w:right="267"/>
        <w:jc w:val="left"/>
      </w:pPr>
      <w:r>
        <w:rPr/>
        <w:t>成立背景：为了更好的提供本地化服务，同时便于在安徽省开展其他业务。 名称：芜湖联智信息技术有限公司 类型：有限责任公司（自然人投资或控股的法人独资） 住所：芜湖高新技术产业开发区服务外包产业园的服务外包（科普）孵化园</w:t>
      </w:r>
      <w:r>
        <w:rPr>
          <w:spacing w:val="-60"/>
        </w:rPr>
        <w:t> </w:t>
      </w:r>
      <w:r>
        <w:rPr>
          <w:rFonts w:ascii="Calibri" w:hAnsi="Calibri" w:cs="Calibri" w:eastAsia="Calibri" w:hint="default"/>
        </w:rPr>
        <w:t>4</w:t>
      </w:r>
      <w:r>
        <w:rPr>
          <w:rFonts w:ascii="Calibri" w:hAnsi="Calibri" w:cs="Calibri" w:eastAsia="Calibri" w:hint="default"/>
          <w:spacing w:val="6"/>
        </w:rPr>
        <w:t> </w:t>
      </w:r>
      <w:r>
        <w:rPr/>
        <w:t>号楼六</w:t>
      </w:r>
    </w:p>
    <w:p>
      <w:pPr>
        <w:pStyle w:val="BodyText"/>
        <w:spacing w:line="294" w:lineRule="exact" w:before="0"/>
        <w:ind w:right="229"/>
        <w:jc w:val="left"/>
      </w:pPr>
      <w:r>
        <w:rPr/>
        <w:t>层北侧</w:t>
      </w:r>
    </w:p>
    <w:p>
      <w:pPr>
        <w:pStyle w:val="BodyText"/>
        <w:spacing w:line="240" w:lineRule="auto" w:before="154"/>
        <w:ind w:left="617" w:right="229"/>
        <w:jc w:val="left"/>
      </w:pPr>
      <w:r>
        <w:rPr/>
        <w:t>法定代表人：杜庆娥</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26" w:lineRule="auto" w:before="26"/>
        <w:ind w:left="617" w:right="6086"/>
        <w:jc w:val="left"/>
      </w:pPr>
      <w:r>
        <w:rPr/>
        <w:t>注册资本：</w:t>
      </w:r>
      <w:r>
        <w:rPr>
          <w:rFonts w:ascii="Calibri" w:hAnsi="Calibri" w:cs="Calibri" w:eastAsia="Calibri" w:hint="default"/>
        </w:rPr>
        <w:t>300</w:t>
      </w:r>
      <w:r>
        <w:rPr>
          <w:rFonts w:ascii="Calibri" w:hAnsi="Calibri" w:cs="Calibri" w:eastAsia="Calibri" w:hint="default"/>
          <w:spacing w:val="5"/>
        </w:rPr>
        <w:t> </w:t>
      </w:r>
      <w:r>
        <w:rPr/>
        <w:t>万元 成立日期：</w:t>
      </w:r>
      <w:r>
        <w:rPr>
          <w:rFonts w:ascii="Calibri" w:hAnsi="Calibri" w:cs="Calibri" w:eastAsia="Calibri" w:hint="default"/>
        </w:rPr>
        <w:t>2015</w:t>
      </w:r>
      <w:r>
        <w:rPr>
          <w:rFonts w:ascii="Calibri" w:hAnsi="Calibri" w:cs="Calibri" w:eastAsia="Calibri" w:hint="default"/>
          <w:spacing w:val="5"/>
        </w:rPr>
        <w:t> </w:t>
      </w:r>
      <w:r>
        <w:rPr/>
        <w:t>年</w:t>
      </w:r>
      <w:r>
        <w:rPr>
          <w:spacing w:val="-63"/>
        </w:rPr>
        <w:t> </w:t>
      </w:r>
      <w:r>
        <w:rPr>
          <w:rFonts w:ascii="Calibri" w:hAnsi="Calibri" w:cs="Calibri" w:eastAsia="Calibri" w:hint="default"/>
        </w:rPr>
        <w:t>2</w:t>
      </w:r>
      <w:r>
        <w:rPr>
          <w:rFonts w:ascii="Calibri" w:hAnsi="Calibri" w:cs="Calibri" w:eastAsia="Calibri" w:hint="default"/>
          <w:spacing w:val="3"/>
        </w:rPr>
        <w:t> </w:t>
      </w:r>
      <w:r>
        <w:rPr/>
        <w:t>月</w:t>
      </w:r>
      <w:r>
        <w:rPr>
          <w:spacing w:val="-61"/>
        </w:rPr>
        <w:t> </w:t>
      </w:r>
      <w:r>
        <w:rPr>
          <w:rFonts w:ascii="Calibri" w:hAnsi="Calibri" w:cs="Calibri" w:eastAsia="Calibri" w:hint="default"/>
        </w:rPr>
        <w:t>11</w:t>
      </w:r>
      <w:r>
        <w:rPr>
          <w:rFonts w:ascii="Calibri" w:hAnsi="Calibri" w:cs="Calibri" w:eastAsia="Calibri" w:hint="default"/>
          <w:spacing w:val="5"/>
        </w:rPr>
        <w:t> </w:t>
      </w:r>
      <w:r>
        <w:rPr/>
        <w:t>日</w:t>
      </w:r>
    </w:p>
    <w:p>
      <w:pPr>
        <w:pStyle w:val="BodyText"/>
        <w:spacing w:line="326" w:lineRule="auto" w:before="17"/>
        <w:ind w:left="617" w:right="269"/>
        <w:jc w:val="left"/>
      </w:pPr>
      <w:r>
        <w:rPr/>
        <w:t>营业期限：</w:t>
      </w:r>
      <w:r>
        <w:rPr>
          <w:rFonts w:ascii="Calibri" w:hAnsi="Calibri" w:cs="Calibri" w:eastAsia="Calibri" w:hint="default"/>
        </w:rPr>
        <w:t>2015</w:t>
      </w:r>
      <w:r>
        <w:rPr>
          <w:rFonts w:ascii="Calibri" w:hAnsi="Calibri" w:cs="Calibri" w:eastAsia="Calibri" w:hint="default"/>
          <w:spacing w:val="5"/>
        </w:rPr>
        <w:t> </w:t>
      </w:r>
      <w:r>
        <w:rPr/>
        <w:t>年</w:t>
      </w:r>
      <w:r>
        <w:rPr>
          <w:spacing w:val="-62"/>
        </w:rPr>
        <w:t> </w:t>
      </w:r>
      <w:r>
        <w:rPr>
          <w:rFonts w:ascii="Calibri" w:hAnsi="Calibri" w:cs="Calibri" w:eastAsia="Calibri" w:hint="default"/>
        </w:rPr>
        <w:t>2</w:t>
      </w:r>
      <w:r>
        <w:rPr>
          <w:rFonts w:ascii="Calibri" w:hAnsi="Calibri" w:cs="Calibri" w:eastAsia="Calibri" w:hint="default"/>
          <w:spacing w:val="3"/>
        </w:rPr>
        <w:t> </w:t>
      </w:r>
      <w:r>
        <w:rPr/>
        <w:t>月</w:t>
      </w:r>
      <w:r>
        <w:rPr>
          <w:spacing w:val="-61"/>
        </w:rPr>
        <w:t> </w:t>
      </w:r>
      <w:r>
        <w:rPr>
          <w:rFonts w:ascii="Calibri" w:hAnsi="Calibri" w:cs="Calibri" w:eastAsia="Calibri" w:hint="default"/>
        </w:rPr>
        <w:t>11</w:t>
      </w:r>
      <w:r>
        <w:rPr>
          <w:rFonts w:ascii="Calibri" w:hAnsi="Calibri" w:cs="Calibri" w:eastAsia="Calibri" w:hint="default"/>
          <w:spacing w:val="5"/>
        </w:rPr>
        <w:t> </w:t>
      </w:r>
      <w:r>
        <w:rPr/>
        <w:t>日至</w:t>
      </w:r>
      <w:r>
        <w:rPr>
          <w:spacing w:val="-61"/>
        </w:rPr>
        <w:t> </w:t>
      </w:r>
      <w:r>
        <w:rPr>
          <w:rFonts w:ascii="Calibri" w:hAnsi="Calibri" w:cs="Calibri" w:eastAsia="Calibri" w:hint="default"/>
        </w:rPr>
        <w:t>2045</w:t>
      </w:r>
      <w:r>
        <w:rPr>
          <w:rFonts w:ascii="Calibri" w:hAnsi="Calibri" w:cs="Calibri" w:eastAsia="Calibri" w:hint="default"/>
          <w:spacing w:val="6"/>
        </w:rPr>
        <w:t> </w:t>
      </w:r>
      <w:r>
        <w:rPr/>
        <w:t>年</w:t>
      </w:r>
      <w:r>
        <w:rPr>
          <w:spacing w:val="-61"/>
        </w:rPr>
        <w:t> </w:t>
      </w:r>
      <w:r>
        <w:rPr>
          <w:rFonts w:ascii="Calibri" w:hAnsi="Calibri" w:cs="Calibri" w:eastAsia="Calibri" w:hint="default"/>
        </w:rPr>
        <w:t>2</w:t>
      </w:r>
      <w:r>
        <w:rPr>
          <w:rFonts w:ascii="Calibri" w:hAnsi="Calibri" w:cs="Calibri" w:eastAsia="Calibri" w:hint="default"/>
          <w:spacing w:val="3"/>
        </w:rPr>
        <w:t> </w:t>
      </w:r>
      <w:r>
        <w:rPr/>
        <w:t>月</w:t>
      </w:r>
      <w:r>
        <w:rPr>
          <w:spacing w:val="-61"/>
        </w:rPr>
        <w:t> </w:t>
      </w:r>
      <w:r>
        <w:rPr>
          <w:rFonts w:ascii="Calibri" w:hAnsi="Calibri" w:cs="Calibri" w:eastAsia="Calibri" w:hint="default"/>
        </w:rPr>
        <w:t>10</w:t>
      </w:r>
      <w:r>
        <w:rPr>
          <w:rFonts w:ascii="Calibri" w:hAnsi="Calibri" w:cs="Calibri" w:eastAsia="Calibri" w:hint="default"/>
          <w:spacing w:val="5"/>
        </w:rPr>
        <w:t> </w:t>
      </w:r>
      <w:r>
        <w:rPr/>
        <w:t>日 经营范围：计算机软件开发及技术咨询、技术转让、技术服务，计算机系统集成，计</w:t>
      </w:r>
    </w:p>
    <w:p>
      <w:pPr>
        <w:pStyle w:val="BodyText"/>
        <w:spacing w:line="240" w:lineRule="auto" w:before="67"/>
        <w:ind w:right="229"/>
        <w:jc w:val="left"/>
      </w:pPr>
      <w:r>
        <w:rPr/>
        <w:t>算机软硬件及配件、机械设备、仪器仪表、电子产品销售。</w:t>
      </w:r>
    </w:p>
    <w:p>
      <w:pPr>
        <w:pStyle w:val="BodyText"/>
        <w:spacing w:line="333" w:lineRule="auto" w:before="77"/>
        <w:ind w:left="617" w:right="5309" w:firstLine="2"/>
        <w:jc w:val="left"/>
      </w:pPr>
      <w:r>
        <w:rPr>
          <w:rFonts w:ascii="Calibri" w:hAnsi="Calibri" w:cs="Calibri" w:eastAsia="Calibri" w:hint="default"/>
          <w:b/>
          <w:bCs/>
        </w:rPr>
        <w:t>2</w:t>
      </w:r>
      <w:r>
        <w:rPr>
          <w:rFonts w:ascii="Microsoft JhengHei" w:hAnsi="Microsoft JhengHei" w:cs="Microsoft JhengHei" w:eastAsia="Microsoft JhengHei" w:hint="default"/>
          <w:b/>
          <w:bCs/>
        </w:rPr>
        <w:t>、南康科技 </w:t>
      </w:r>
      <w:r>
        <w:rPr/>
        <w:t>名称：上海南康科技有限公司 类型：有限责任公司（自然人控股）</w:t>
      </w:r>
    </w:p>
    <w:p>
      <w:pPr>
        <w:pStyle w:val="BodyText"/>
        <w:spacing w:line="326" w:lineRule="auto" w:before="61"/>
        <w:ind w:left="617" w:right="4708"/>
        <w:jc w:val="left"/>
      </w:pPr>
      <w:r>
        <w:rPr/>
        <w:t>住所：上海市徐汇区乐山路</w:t>
      </w:r>
      <w:r>
        <w:rPr>
          <w:spacing w:val="-61"/>
        </w:rPr>
        <w:t> </w:t>
      </w:r>
      <w:r>
        <w:rPr>
          <w:rFonts w:ascii="Calibri" w:hAnsi="Calibri" w:cs="Calibri" w:eastAsia="Calibri" w:hint="default"/>
        </w:rPr>
        <w:t>33</w:t>
      </w:r>
      <w:r>
        <w:rPr>
          <w:rFonts w:ascii="Calibri" w:hAnsi="Calibri" w:cs="Calibri" w:eastAsia="Calibri" w:hint="default"/>
          <w:spacing w:val="5"/>
        </w:rPr>
        <w:t> </w:t>
      </w:r>
      <w:r>
        <w:rPr/>
        <w:t>号</w:t>
      </w:r>
      <w:r>
        <w:rPr>
          <w:spacing w:val="-61"/>
        </w:rPr>
        <w:t> </w:t>
      </w:r>
      <w:r>
        <w:rPr>
          <w:rFonts w:ascii="Calibri" w:hAnsi="Calibri" w:cs="Calibri" w:eastAsia="Calibri" w:hint="default"/>
        </w:rPr>
        <w:t>5</w:t>
      </w:r>
      <w:r>
        <w:rPr>
          <w:rFonts w:ascii="Calibri" w:hAnsi="Calibri" w:cs="Calibri" w:eastAsia="Calibri" w:hint="default"/>
          <w:spacing w:val="5"/>
        </w:rPr>
        <w:t> </w:t>
      </w:r>
      <w:r>
        <w:rPr/>
        <w:t>幢</w:t>
      </w:r>
      <w:r>
        <w:rPr>
          <w:spacing w:val="-61"/>
        </w:rPr>
        <w:t> </w:t>
      </w:r>
      <w:r>
        <w:rPr>
          <w:rFonts w:ascii="Calibri" w:hAnsi="Calibri" w:cs="Calibri" w:eastAsia="Calibri" w:hint="default"/>
        </w:rPr>
        <w:t>3</w:t>
      </w:r>
      <w:r>
        <w:rPr>
          <w:rFonts w:ascii="Calibri" w:hAnsi="Calibri" w:cs="Calibri" w:eastAsia="Calibri" w:hint="default"/>
          <w:spacing w:val="5"/>
        </w:rPr>
        <w:t> </w:t>
      </w:r>
      <w:r>
        <w:rPr/>
        <w:t>楼 注册资本：</w:t>
      </w:r>
      <w:r>
        <w:rPr>
          <w:rFonts w:ascii="Calibri" w:hAnsi="Calibri" w:cs="Calibri" w:eastAsia="Calibri" w:hint="default"/>
        </w:rPr>
        <w:t>2,000</w:t>
      </w:r>
      <w:r>
        <w:rPr>
          <w:rFonts w:ascii="Calibri" w:hAnsi="Calibri" w:cs="Calibri" w:eastAsia="Calibri" w:hint="default"/>
          <w:spacing w:val="8"/>
        </w:rPr>
        <w:t> </w:t>
      </w:r>
      <w:r>
        <w:rPr/>
        <w:t>万元</w:t>
      </w:r>
    </w:p>
    <w:p>
      <w:pPr>
        <w:pStyle w:val="BodyText"/>
        <w:spacing w:line="240" w:lineRule="auto" w:before="17"/>
        <w:ind w:left="617" w:right="229"/>
        <w:jc w:val="left"/>
      </w:pPr>
      <w:r>
        <w:rPr/>
        <w:t>成立日期：</w:t>
      </w:r>
      <w:r>
        <w:rPr>
          <w:rFonts w:ascii="Calibri" w:hAnsi="Calibri" w:cs="Calibri" w:eastAsia="Calibri" w:hint="default"/>
        </w:rPr>
        <w:t>1998</w:t>
      </w:r>
      <w:r>
        <w:rPr>
          <w:rFonts w:ascii="Calibri" w:hAnsi="Calibri" w:cs="Calibri" w:eastAsia="Calibri" w:hint="default"/>
          <w:spacing w:val="5"/>
        </w:rPr>
        <w:t> </w:t>
      </w:r>
      <w:r>
        <w:rPr/>
        <w:t>年</w:t>
      </w:r>
      <w:r>
        <w:rPr>
          <w:spacing w:val="-63"/>
        </w:rPr>
        <w:t> </w:t>
      </w:r>
      <w:r>
        <w:rPr>
          <w:rFonts w:ascii="Calibri" w:hAnsi="Calibri" w:cs="Calibri" w:eastAsia="Calibri" w:hint="default"/>
        </w:rPr>
        <w:t>3</w:t>
      </w:r>
      <w:r>
        <w:rPr>
          <w:rFonts w:ascii="Calibri" w:hAnsi="Calibri" w:cs="Calibri" w:eastAsia="Calibri" w:hint="default"/>
          <w:spacing w:val="3"/>
        </w:rPr>
        <w:t> </w:t>
      </w:r>
      <w:r>
        <w:rPr/>
        <w:t>月</w:t>
      </w:r>
      <w:r>
        <w:rPr>
          <w:spacing w:val="-61"/>
        </w:rPr>
        <w:t> </w:t>
      </w:r>
      <w:r>
        <w:rPr>
          <w:rFonts w:ascii="Calibri" w:hAnsi="Calibri" w:cs="Calibri" w:eastAsia="Calibri" w:hint="default"/>
        </w:rPr>
        <w:t>24</w:t>
      </w:r>
      <w:r>
        <w:rPr>
          <w:rFonts w:ascii="Calibri" w:hAnsi="Calibri" w:cs="Calibri" w:eastAsia="Calibri" w:hint="default"/>
          <w:spacing w:val="5"/>
        </w:rPr>
        <w:t> </w:t>
      </w:r>
      <w:r>
        <w:rPr/>
        <w:t>日</w:t>
      </w:r>
    </w:p>
    <w:p>
      <w:pPr>
        <w:pStyle w:val="BodyText"/>
        <w:spacing w:line="326" w:lineRule="auto" w:before="123"/>
        <w:ind w:right="211" w:firstLine="480"/>
        <w:jc w:val="left"/>
      </w:pPr>
      <w:r>
        <w:rPr/>
        <w:t>有关该公司的详细情况，请查看公司于</w:t>
      </w:r>
      <w:r>
        <w:rPr>
          <w:spacing w:val="-61"/>
        </w:rPr>
        <w:t> </w:t>
      </w:r>
      <w:r>
        <w:rPr>
          <w:rFonts w:ascii="Calibri" w:hAnsi="Calibri" w:cs="Calibri" w:eastAsia="Calibri" w:hint="default"/>
        </w:rPr>
        <w:t>2015</w:t>
      </w:r>
      <w:r>
        <w:rPr>
          <w:rFonts w:ascii="Calibri" w:hAnsi="Calibri" w:cs="Calibri" w:eastAsia="Calibri" w:hint="default"/>
          <w:spacing w:val="3"/>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11</w:t>
      </w:r>
      <w:r>
        <w:rPr>
          <w:rFonts w:ascii="Calibri" w:hAnsi="Calibri" w:cs="Calibri" w:eastAsia="Calibri" w:hint="default"/>
          <w:spacing w:val="5"/>
        </w:rPr>
        <w:t> </w:t>
      </w:r>
      <w:r>
        <w:rPr/>
        <w:t>日在巨潮资讯网上披露的《关 于收购上海南康科技有限公司</w:t>
      </w:r>
      <w:r>
        <w:rPr>
          <w:spacing w:val="-61"/>
        </w:rPr>
        <w:t> </w:t>
      </w:r>
      <w:r>
        <w:rPr>
          <w:rFonts w:ascii="Calibri" w:hAnsi="Calibri" w:cs="Calibri" w:eastAsia="Calibri" w:hint="default"/>
        </w:rPr>
        <w:t>100%</w:t>
      </w:r>
      <w:r>
        <w:rPr/>
        <w:t>股权的公告》以及《关于收购上海南康科技有限公司 </w:t>
      </w:r>
      <w:r>
        <w:rPr>
          <w:rFonts w:ascii="Calibri" w:hAnsi="Calibri" w:cs="Calibri" w:eastAsia="Calibri" w:hint="default"/>
          <w:spacing w:val="-8"/>
        </w:rPr>
        <w:t>100%</w:t>
      </w:r>
      <w:r>
        <w:rPr>
          <w:spacing w:val="-8"/>
        </w:rPr>
        <w:t>股权的可行性研究报告》，至</w:t>
      </w:r>
      <w:r>
        <w:rPr>
          <w:spacing w:val="-58"/>
        </w:rPr>
        <w:t> </w:t>
      </w:r>
      <w:r>
        <w:rPr>
          <w:rFonts w:ascii="Calibri" w:hAnsi="Calibri" w:cs="Calibri" w:eastAsia="Calibri" w:hint="default"/>
        </w:rPr>
        <w:t>2015</w:t>
      </w:r>
      <w:r>
        <w:rPr>
          <w:rFonts w:ascii="Calibri" w:hAnsi="Calibri" w:cs="Calibri" w:eastAsia="Calibri" w:hint="default"/>
          <w:spacing w:val="8"/>
        </w:rPr>
        <w:t> </w:t>
      </w:r>
      <w:r>
        <w:rPr/>
        <w:t>年</w:t>
      </w:r>
      <w:r>
        <w:rPr>
          <w:spacing w:val="-61"/>
        </w:rPr>
        <w:t> </w:t>
      </w:r>
      <w:r>
        <w:rPr>
          <w:rFonts w:ascii="Calibri" w:hAnsi="Calibri" w:cs="Calibri" w:eastAsia="Calibri" w:hint="default"/>
        </w:rPr>
        <w:t>7</w:t>
      </w:r>
      <w:r>
        <w:rPr>
          <w:rFonts w:ascii="Calibri" w:hAnsi="Calibri" w:cs="Calibri" w:eastAsia="Calibri" w:hint="default"/>
          <w:spacing w:val="6"/>
        </w:rPr>
        <w:t> </w:t>
      </w:r>
      <w:r>
        <w:rPr/>
        <w:t>月</w:t>
      </w:r>
      <w:r>
        <w:rPr>
          <w:spacing w:val="-58"/>
        </w:rPr>
        <w:t> </w:t>
      </w:r>
      <w:r>
        <w:rPr>
          <w:rFonts w:ascii="Calibri" w:hAnsi="Calibri" w:cs="Calibri" w:eastAsia="Calibri" w:hint="default"/>
        </w:rPr>
        <w:t>2</w:t>
      </w:r>
      <w:r>
        <w:rPr>
          <w:rFonts w:ascii="Calibri" w:hAnsi="Calibri" w:cs="Calibri" w:eastAsia="Calibri" w:hint="default"/>
          <w:spacing w:val="8"/>
        </w:rPr>
        <w:t> </w:t>
      </w:r>
      <w:r>
        <w:rPr/>
        <w:t>日，南康科技完成了股东变更的工商登记 手续并取得换发后的营业执照。</w:t>
      </w:r>
    </w:p>
    <w:p>
      <w:pPr>
        <w:spacing w:line="309" w:lineRule="auto" w:before="0"/>
        <w:ind w:left="617" w:right="269" w:firstLine="2"/>
        <w:jc w:val="left"/>
        <w:rPr>
          <w:rFonts w:ascii="宋体" w:hAnsi="宋体" w:cs="宋体" w:eastAsia="宋体" w:hint="default"/>
          <w:sz w:val="24"/>
          <w:szCs w:val="24"/>
        </w:rPr>
      </w:pPr>
      <w:r>
        <w:rPr>
          <w:rFonts w:ascii="Calibri" w:hAnsi="Calibri" w:cs="Calibri" w:eastAsia="Calibri" w:hint="default"/>
          <w:b/>
          <w:bCs/>
          <w:sz w:val="24"/>
          <w:szCs w:val="24"/>
        </w:rPr>
        <w:t>3</w:t>
      </w:r>
      <w:r>
        <w:rPr>
          <w:rFonts w:ascii="Microsoft JhengHei" w:hAnsi="Microsoft JhengHei" w:cs="Microsoft JhengHei" w:eastAsia="Microsoft JhengHei" w:hint="default"/>
          <w:b/>
          <w:bCs/>
          <w:sz w:val="24"/>
          <w:szCs w:val="24"/>
        </w:rPr>
        <w:t>、成都超图数据技术有限公司</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成立背景：布局大数据行业，设立公司未来投资各类地理信息大数据服务、商业地理</w:t>
      </w:r>
    </w:p>
    <w:p>
      <w:pPr>
        <w:pStyle w:val="BodyText"/>
        <w:spacing w:line="350" w:lineRule="auto" w:before="84"/>
        <w:ind w:left="617" w:right="2669" w:hanging="480"/>
        <w:jc w:val="left"/>
      </w:pPr>
      <w:r>
        <w:rPr/>
        <w:t>分析和地理信息系统应用云服务类公司的投资平台。 名称：成都超图数据技术有限公司 类型：其他有限责任公司（非自然人投资或控股的法人独资） 住所：成都高新区天府大道中段</w:t>
      </w:r>
      <w:r>
        <w:rPr>
          <w:spacing w:val="-61"/>
        </w:rPr>
        <w:t> </w:t>
      </w:r>
      <w:r>
        <w:rPr>
          <w:rFonts w:ascii="Calibri" w:hAnsi="Calibri" w:cs="Calibri" w:eastAsia="Calibri" w:hint="default"/>
        </w:rPr>
        <w:t>1366</w:t>
      </w:r>
      <w:r>
        <w:rPr>
          <w:rFonts w:ascii="Calibri" w:hAnsi="Calibri" w:cs="Calibri" w:eastAsia="Calibri" w:hint="default"/>
          <w:spacing w:val="5"/>
        </w:rPr>
        <w:t> </w:t>
      </w:r>
      <w:r>
        <w:rPr/>
        <w:t>号</w:t>
      </w:r>
      <w:r>
        <w:rPr>
          <w:spacing w:val="-63"/>
        </w:rPr>
        <w:t> </w:t>
      </w:r>
      <w:r>
        <w:rPr>
          <w:rFonts w:ascii="Calibri" w:hAnsi="Calibri" w:cs="Calibri" w:eastAsia="Calibri" w:hint="default"/>
        </w:rPr>
        <w:t>2</w:t>
      </w:r>
      <w:r>
        <w:rPr>
          <w:rFonts w:ascii="Calibri" w:hAnsi="Calibri" w:cs="Calibri" w:eastAsia="Calibri" w:hint="default"/>
          <w:spacing w:val="5"/>
        </w:rPr>
        <w:t> </w:t>
      </w:r>
      <w:r>
        <w:rPr/>
        <w:t>栋</w:t>
      </w:r>
      <w:r>
        <w:rPr>
          <w:spacing w:val="-64"/>
        </w:rPr>
        <w:t> </w:t>
      </w:r>
      <w:r>
        <w:rPr>
          <w:rFonts w:ascii="Calibri" w:hAnsi="Calibri" w:cs="Calibri" w:eastAsia="Calibri" w:hint="default"/>
        </w:rPr>
        <w:t>6</w:t>
      </w:r>
      <w:r>
        <w:rPr>
          <w:rFonts w:ascii="Calibri" w:hAnsi="Calibri" w:cs="Calibri" w:eastAsia="Calibri" w:hint="default"/>
          <w:spacing w:val="5"/>
        </w:rPr>
        <w:t> </w:t>
      </w:r>
      <w:r>
        <w:rPr/>
        <w:t>层</w:t>
      </w:r>
      <w:r>
        <w:rPr>
          <w:spacing w:val="-61"/>
        </w:rPr>
        <w:t> </w:t>
      </w:r>
      <w:r>
        <w:rPr>
          <w:rFonts w:ascii="Calibri" w:hAnsi="Calibri" w:cs="Calibri" w:eastAsia="Calibri" w:hint="default"/>
        </w:rPr>
        <w:t>16</w:t>
      </w:r>
      <w:r>
        <w:rPr>
          <w:rFonts w:ascii="Calibri" w:hAnsi="Calibri" w:cs="Calibri" w:eastAsia="Calibri" w:hint="default"/>
          <w:spacing w:val="5"/>
        </w:rPr>
        <w:t> </w:t>
      </w:r>
      <w:r>
        <w:rPr/>
        <w:t>号 法定代表人：宋关福</w:t>
      </w:r>
    </w:p>
    <w:p>
      <w:pPr>
        <w:pStyle w:val="BodyText"/>
        <w:spacing w:line="326" w:lineRule="auto" w:before="44"/>
        <w:ind w:left="617" w:right="6207"/>
        <w:jc w:val="left"/>
      </w:pPr>
      <w:r>
        <w:rPr/>
        <w:t>注册资本：</w:t>
      </w:r>
      <w:r>
        <w:rPr>
          <w:rFonts w:ascii="Calibri" w:hAnsi="Calibri" w:cs="Calibri" w:eastAsia="Calibri" w:hint="default"/>
        </w:rPr>
        <w:t>5000</w:t>
      </w:r>
      <w:r>
        <w:rPr>
          <w:rFonts w:ascii="Calibri" w:hAnsi="Calibri" w:cs="Calibri" w:eastAsia="Calibri" w:hint="default"/>
          <w:spacing w:val="5"/>
        </w:rPr>
        <w:t> </w:t>
      </w:r>
      <w:r>
        <w:rPr/>
        <w:t>万元 成立日期：</w:t>
      </w:r>
      <w:r>
        <w:rPr>
          <w:rFonts w:ascii="Calibri" w:hAnsi="Calibri" w:cs="Calibri" w:eastAsia="Calibri" w:hint="default"/>
        </w:rPr>
        <w:t>2016</w:t>
      </w:r>
      <w:r>
        <w:rPr>
          <w:rFonts w:ascii="Calibri" w:hAnsi="Calibri" w:cs="Calibri" w:eastAsia="Calibri" w:hint="default"/>
          <w:spacing w:val="5"/>
        </w:rPr>
        <w:t> </w:t>
      </w:r>
      <w:r>
        <w:rPr/>
        <w:t>年</w:t>
      </w:r>
      <w:r>
        <w:rPr>
          <w:spacing w:val="-63"/>
        </w:rPr>
        <w:t> </w:t>
      </w:r>
      <w:r>
        <w:rPr>
          <w:rFonts w:ascii="Calibri" w:hAnsi="Calibri" w:cs="Calibri" w:eastAsia="Calibri" w:hint="default"/>
        </w:rPr>
        <w:t>1</w:t>
      </w:r>
      <w:r>
        <w:rPr>
          <w:rFonts w:ascii="Calibri" w:hAnsi="Calibri" w:cs="Calibri" w:eastAsia="Calibri" w:hint="default"/>
          <w:spacing w:val="3"/>
        </w:rPr>
        <w:t> </w:t>
      </w:r>
      <w:r>
        <w:rPr/>
        <w:t>月</w:t>
      </w:r>
      <w:r>
        <w:rPr>
          <w:spacing w:val="-61"/>
        </w:rPr>
        <w:t> </w:t>
      </w:r>
      <w:r>
        <w:rPr>
          <w:rFonts w:ascii="Calibri" w:hAnsi="Calibri" w:cs="Calibri" w:eastAsia="Calibri" w:hint="default"/>
        </w:rPr>
        <w:t>4</w:t>
      </w:r>
      <w:r>
        <w:rPr>
          <w:rFonts w:ascii="Calibri" w:hAnsi="Calibri" w:cs="Calibri" w:eastAsia="Calibri" w:hint="default"/>
          <w:spacing w:val="5"/>
        </w:rPr>
        <w:t> </w:t>
      </w:r>
      <w:r>
        <w:rPr/>
        <w:t>日</w:t>
      </w:r>
    </w:p>
    <w:p>
      <w:pPr>
        <w:pStyle w:val="BodyText"/>
        <w:spacing w:line="326" w:lineRule="auto" w:before="17"/>
        <w:ind w:left="617" w:right="269"/>
        <w:jc w:val="left"/>
      </w:pPr>
      <w:r>
        <w:rPr/>
        <w:t>营业期限：</w:t>
      </w:r>
      <w:r>
        <w:rPr>
          <w:rFonts w:ascii="Calibri" w:hAnsi="Calibri" w:cs="Calibri" w:eastAsia="Calibri" w:hint="default"/>
        </w:rPr>
        <w:t>2016</w:t>
      </w:r>
      <w:r>
        <w:rPr>
          <w:rFonts w:ascii="Calibri" w:hAnsi="Calibri" w:cs="Calibri" w:eastAsia="Calibri" w:hint="default"/>
          <w:spacing w:val="5"/>
        </w:rPr>
        <w:t> </w:t>
      </w:r>
      <w:r>
        <w:rPr/>
        <w:t>年</w:t>
      </w:r>
      <w:r>
        <w:rPr>
          <w:spacing w:val="-62"/>
        </w:rPr>
        <w:t> </w:t>
      </w:r>
      <w:r>
        <w:rPr>
          <w:rFonts w:ascii="Calibri" w:hAnsi="Calibri" w:cs="Calibri" w:eastAsia="Calibri" w:hint="default"/>
        </w:rPr>
        <w:t>1</w:t>
      </w:r>
      <w:r>
        <w:rPr>
          <w:rFonts w:ascii="Calibri" w:hAnsi="Calibri" w:cs="Calibri" w:eastAsia="Calibri" w:hint="default"/>
          <w:spacing w:val="3"/>
        </w:rPr>
        <w:t> </w:t>
      </w:r>
      <w:r>
        <w:rPr/>
        <w:t>月</w:t>
      </w:r>
      <w:r>
        <w:rPr>
          <w:spacing w:val="-61"/>
        </w:rPr>
        <w:t> </w:t>
      </w:r>
      <w:r>
        <w:rPr>
          <w:rFonts w:ascii="Calibri" w:hAnsi="Calibri" w:cs="Calibri" w:eastAsia="Calibri" w:hint="default"/>
        </w:rPr>
        <w:t>4</w:t>
      </w:r>
      <w:r>
        <w:rPr>
          <w:rFonts w:ascii="Calibri" w:hAnsi="Calibri" w:cs="Calibri" w:eastAsia="Calibri" w:hint="default"/>
          <w:spacing w:val="5"/>
        </w:rPr>
        <w:t> </w:t>
      </w:r>
      <w:r>
        <w:rPr/>
        <w:t>日至</w:t>
      </w:r>
      <w:r>
        <w:rPr>
          <w:spacing w:val="-61"/>
        </w:rPr>
        <w:t> </w:t>
      </w:r>
      <w:r>
        <w:rPr>
          <w:rFonts w:ascii="Calibri" w:hAnsi="Calibri" w:cs="Calibri" w:eastAsia="Calibri" w:hint="default"/>
        </w:rPr>
        <w:t>2066</w:t>
      </w:r>
      <w:r>
        <w:rPr>
          <w:rFonts w:ascii="Calibri" w:hAnsi="Calibri" w:cs="Calibri" w:eastAsia="Calibri" w:hint="default"/>
          <w:spacing w:val="5"/>
        </w:rPr>
        <w:t> </w:t>
      </w:r>
      <w:r>
        <w:rPr/>
        <w:t>年</w:t>
      </w:r>
      <w:r>
        <w:rPr>
          <w:spacing w:val="-61"/>
        </w:rPr>
        <w:t> </w:t>
      </w:r>
      <w:r>
        <w:rPr>
          <w:rFonts w:ascii="Calibri" w:hAnsi="Calibri" w:cs="Calibri" w:eastAsia="Calibri" w:hint="default"/>
        </w:rPr>
        <w:t>1</w:t>
      </w:r>
      <w:r>
        <w:rPr>
          <w:rFonts w:ascii="Calibri" w:hAnsi="Calibri" w:cs="Calibri" w:eastAsia="Calibri" w:hint="default"/>
          <w:spacing w:val="5"/>
        </w:rPr>
        <w:t> </w:t>
      </w:r>
      <w:r>
        <w:rPr/>
        <w:t>月</w:t>
      </w:r>
      <w:r>
        <w:rPr>
          <w:spacing w:val="-63"/>
        </w:rPr>
        <w:t> </w:t>
      </w:r>
      <w:r>
        <w:rPr>
          <w:rFonts w:ascii="Calibri" w:hAnsi="Calibri" w:cs="Calibri" w:eastAsia="Calibri" w:hint="default"/>
        </w:rPr>
        <w:t>3</w:t>
      </w:r>
      <w:r>
        <w:rPr>
          <w:rFonts w:ascii="Calibri" w:hAnsi="Calibri" w:cs="Calibri" w:eastAsia="Calibri" w:hint="default"/>
          <w:spacing w:val="5"/>
        </w:rPr>
        <w:t> </w:t>
      </w:r>
      <w:r>
        <w:rPr/>
        <w:t>日 经营范围：数据处理；软件技术开发、技术咨询、技术转让、技术服务；计算机系统</w:t>
      </w:r>
    </w:p>
    <w:p>
      <w:pPr>
        <w:pStyle w:val="BodyText"/>
        <w:spacing w:line="357" w:lineRule="auto" w:before="67"/>
        <w:ind w:right="149"/>
        <w:jc w:val="left"/>
      </w:pPr>
      <w:r>
        <w:rPr>
          <w:spacing w:val="-3"/>
        </w:rPr>
        <w:t>集成；销售计算机硬件及辅助设备、机械设备、仪器仪表、电子产品；自有房屋租赁。（依</w:t>
      </w:r>
      <w:r>
        <w:rPr/>
        <w:t> 法须经批准的项目、经相关部门批准后方可开展经营活动）</w:t>
      </w:r>
    </w:p>
    <w:p>
      <w:pPr>
        <w:pStyle w:val="BodyText"/>
        <w:spacing w:line="240" w:lineRule="auto"/>
        <w:ind w:left="617" w:right="229"/>
        <w:jc w:val="left"/>
      </w:pPr>
      <w:r>
        <w:rPr>
          <w:rFonts w:ascii="Calibri" w:hAnsi="Calibri" w:cs="Calibri" w:eastAsia="Calibri" w:hint="default"/>
        </w:rPr>
        <w:t>4</w:t>
      </w:r>
      <w:r>
        <w:rPr/>
        <w:t>、成都地图慧科技有限公司</w:t>
      </w:r>
    </w:p>
    <w:p>
      <w:pPr>
        <w:spacing w:after="0" w:line="240" w:lineRule="auto"/>
        <w:jc w:val="left"/>
        <w:sectPr>
          <w:footerReference w:type="default" r:id="rId20"/>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right="286" w:firstLine="480"/>
        <w:jc w:val="both"/>
      </w:pPr>
      <w:r>
        <w:rPr/>
        <w:t>成立背景：将地图慧业务进行剥离，并以地图慧部分资产及货币资金作为出资，与管 理团队共同设立子公司，以建立符合地图慧业务特点的研发管理、市场营销和人员激励等 体制，有效促进新型互联网业务的发展。</w:t>
      </w:r>
    </w:p>
    <w:p>
      <w:pPr>
        <w:pStyle w:val="BodyText"/>
        <w:spacing w:line="348" w:lineRule="auto"/>
        <w:ind w:left="617" w:right="3388"/>
        <w:jc w:val="left"/>
      </w:pPr>
      <w:r>
        <w:rPr/>
        <w:t>名称：成都地图慧科技有限公司 类型：其他有限责任公司 住所：成都高新区天府大道中段</w:t>
      </w:r>
      <w:r>
        <w:rPr>
          <w:spacing w:val="-61"/>
        </w:rPr>
        <w:t> </w:t>
      </w:r>
      <w:r>
        <w:rPr>
          <w:rFonts w:ascii="Calibri" w:hAnsi="Calibri" w:cs="Calibri" w:eastAsia="Calibri" w:hint="default"/>
        </w:rPr>
        <w:t>1366</w:t>
      </w:r>
      <w:r>
        <w:rPr>
          <w:rFonts w:ascii="Calibri" w:hAnsi="Calibri" w:cs="Calibri" w:eastAsia="Calibri" w:hint="default"/>
          <w:spacing w:val="5"/>
        </w:rPr>
        <w:t> </w:t>
      </w:r>
      <w:r>
        <w:rPr/>
        <w:t>号</w:t>
      </w:r>
      <w:r>
        <w:rPr>
          <w:spacing w:val="-63"/>
        </w:rPr>
        <w:t> </w:t>
      </w:r>
      <w:r>
        <w:rPr>
          <w:rFonts w:ascii="Calibri" w:hAnsi="Calibri" w:cs="Calibri" w:eastAsia="Calibri" w:hint="default"/>
        </w:rPr>
        <w:t>2</w:t>
      </w:r>
      <w:r>
        <w:rPr>
          <w:rFonts w:ascii="Calibri" w:hAnsi="Calibri" w:cs="Calibri" w:eastAsia="Calibri" w:hint="default"/>
          <w:spacing w:val="5"/>
        </w:rPr>
        <w:t> </w:t>
      </w:r>
      <w:r>
        <w:rPr/>
        <w:t>栋</w:t>
      </w:r>
      <w:r>
        <w:rPr>
          <w:spacing w:val="-64"/>
        </w:rPr>
        <w:t> </w:t>
      </w:r>
      <w:r>
        <w:rPr>
          <w:rFonts w:ascii="Calibri" w:hAnsi="Calibri" w:cs="Calibri" w:eastAsia="Calibri" w:hint="default"/>
        </w:rPr>
        <w:t>6</w:t>
      </w:r>
      <w:r>
        <w:rPr>
          <w:rFonts w:ascii="Calibri" w:hAnsi="Calibri" w:cs="Calibri" w:eastAsia="Calibri" w:hint="default"/>
          <w:spacing w:val="5"/>
        </w:rPr>
        <w:t> </w:t>
      </w:r>
      <w:r>
        <w:rPr/>
        <w:t>层</w:t>
      </w:r>
      <w:r>
        <w:rPr>
          <w:spacing w:val="-61"/>
        </w:rPr>
        <w:t> </w:t>
      </w:r>
      <w:r>
        <w:rPr>
          <w:rFonts w:ascii="Calibri" w:hAnsi="Calibri" w:cs="Calibri" w:eastAsia="Calibri" w:hint="default"/>
        </w:rPr>
        <w:t>17</w:t>
      </w:r>
      <w:r>
        <w:rPr>
          <w:rFonts w:ascii="Calibri" w:hAnsi="Calibri" w:cs="Calibri" w:eastAsia="Calibri" w:hint="default"/>
          <w:spacing w:val="5"/>
        </w:rPr>
        <w:t> </w:t>
      </w:r>
      <w:r>
        <w:rPr/>
        <w:t>号 法定代表人：宋关福</w:t>
      </w:r>
    </w:p>
    <w:p>
      <w:pPr>
        <w:pStyle w:val="BodyText"/>
        <w:spacing w:line="326" w:lineRule="auto" w:before="46"/>
        <w:ind w:left="617" w:right="6207"/>
        <w:jc w:val="left"/>
      </w:pPr>
      <w:r>
        <w:rPr/>
        <w:t>注册资本：</w:t>
      </w:r>
      <w:r>
        <w:rPr>
          <w:rFonts w:ascii="Calibri" w:hAnsi="Calibri" w:cs="Calibri" w:eastAsia="Calibri" w:hint="default"/>
        </w:rPr>
        <w:t>1100</w:t>
      </w:r>
      <w:r>
        <w:rPr>
          <w:rFonts w:ascii="Calibri" w:hAnsi="Calibri" w:cs="Calibri" w:eastAsia="Calibri" w:hint="default"/>
          <w:spacing w:val="5"/>
        </w:rPr>
        <w:t> </w:t>
      </w:r>
      <w:r>
        <w:rPr/>
        <w:t>万元 成立日期：</w:t>
      </w:r>
      <w:r>
        <w:rPr>
          <w:rFonts w:ascii="Calibri" w:hAnsi="Calibri" w:cs="Calibri" w:eastAsia="Calibri" w:hint="default"/>
        </w:rPr>
        <w:t>2016</w:t>
      </w:r>
      <w:r>
        <w:rPr>
          <w:rFonts w:ascii="Calibri" w:hAnsi="Calibri" w:cs="Calibri" w:eastAsia="Calibri" w:hint="default"/>
          <w:spacing w:val="5"/>
        </w:rPr>
        <w:t> </w:t>
      </w:r>
      <w:r>
        <w:rPr/>
        <w:t>年</w:t>
      </w:r>
      <w:r>
        <w:rPr>
          <w:spacing w:val="-63"/>
        </w:rPr>
        <w:t> </w:t>
      </w:r>
      <w:r>
        <w:rPr>
          <w:rFonts w:ascii="Calibri" w:hAnsi="Calibri" w:cs="Calibri" w:eastAsia="Calibri" w:hint="default"/>
        </w:rPr>
        <w:t>1</w:t>
      </w:r>
      <w:r>
        <w:rPr>
          <w:rFonts w:ascii="Calibri" w:hAnsi="Calibri" w:cs="Calibri" w:eastAsia="Calibri" w:hint="default"/>
          <w:spacing w:val="3"/>
        </w:rPr>
        <w:t> </w:t>
      </w:r>
      <w:r>
        <w:rPr/>
        <w:t>月</w:t>
      </w:r>
      <w:r>
        <w:rPr>
          <w:spacing w:val="-61"/>
        </w:rPr>
        <w:t> </w:t>
      </w:r>
      <w:r>
        <w:rPr>
          <w:rFonts w:ascii="Calibri" w:hAnsi="Calibri" w:cs="Calibri" w:eastAsia="Calibri" w:hint="default"/>
        </w:rPr>
        <w:t>5</w:t>
      </w:r>
      <w:r>
        <w:rPr>
          <w:rFonts w:ascii="Calibri" w:hAnsi="Calibri" w:cs="Calibri" w:eastAsia="Calibri" w:hint="default"/>
          <w:spacing w:val="5"/>
        </w:rPr>
        <w:t> </w:t>
      </w:r>
      <w:r>
        <w:rPr/>
        <w:t>日</w:t>
      </w:r>
    </w:p>
    <w:p>
      <w:pPr>
        <w:pStyle w:val="BodyText"/>
        <w:spacing w:line="326" w:lineRule="auto" w:before="17"/>
        <w:ind w:left="617" w:right="269"/>
        <w:jc w:val="left"/>
      </w:pPr>
      <w:r>
        <w:rPr/>
        <w:t>营业期限：</w:t>
      </w:r>
      <w:r>
        <w:rPr>
          <w:rFonts w:ascii="Calibri" w:hAnsi="Calibri" w:cs="Calibri" w:eastAsia="Calibri" w:hint="default"/>
        </w:rPr>
        <w:t>2016</w:t>
      </w:r>
      <w:r>
        <w:rPr>
          <w:rFonts w:ascii="Calibri" w:hAnsi="Calibri" w:cs="Calibri" w:eastAsia="Calibri" w:hint="default"/>
          <w:spacing w:val="5"/>
        </w:rPr>
        <w:t> </w:t>
      </w:r>
      <w:r>
        <w:rPr/>
        <w:t>年</w:t>
      </w:r>
      <w:r>
        <w:rPr>
          <w:spacing w:val="-62"/>
        </w:rPr>
        <w:t> </w:t>
      </w:r>
      <w:r>
        <w:rPr>
          <w:rFonts w:ascii="Calibri" w:hAnsi="Calibri" w:cs="Calibri" w:eastAsia="Calibri" w:hint="default"/>
        </w:rPr>
        <w:t>1</w:t>
      </w:r>
      <w:r>
        <w:rPr>
          <w:rFonts w:ascii="Calibri" w:hAnsi="Calibri" w:cs="Calibri" w:eastAsia="Calibri" w:hint="default"/>
          <w:spacing w:val="3"/>
        </w:rPr>
        <w:t> </w:t>
      </w:r>
      <w:r>
        <w:rPr/>
        <w:t>月</w:t>
      </w:r>
      <w:r>
        <w:rPr>
          <w:spacing w:val="-61"/>
        </w:rPr>
        <w:t> </w:t>
      </w:r>
      <w:r>
        <w:rPr>
          <w:rFonts w:ascii="Calibri" w:hAnsi="Calibri" w:cs="Calibri" w:eastAsia="Calibri" w:hint="default"/>
        </w:rPr>
        <w:t>5</w:t>
      </w:r>
      <w:r>
        <w:rPr>
          <w:rFonts w:ascii="Calibri" w:hAnsi="Calibri" w:cs="Calibri" w:eastAsia="Calibri" w:hint="default"/>
          <w:spacing w:val="5"/>
        </w:rPr>
        <w:t> </w:t>
      </w:r>
      <w:r>
        <w:rPr/>
        <w:t>日至</w:t>
      </w:r>
      <w:r>
        <w:rPr>
          <w:spacing w:val="-61"/>
        </w:rPr>
        <w:t> </w:t>
      </w:r>
      <w:r>
        <w:rPr>
          <w:rFonts w:ascii="Calibri" w:hAnsi="Calibri" w:cs="Calibri" w:eastAsia="Calibri" w:hint="default"/>
        </w:rPr>
        <w:t>2066</w:t>
      </w:r>
      <w:r>
        <w:rPr>
          <w:rFonts w:ascii="Calibri" w:hAnsi="Calibri" w:cs="Calibri" w:eastAsia="Calibri" w:hint="default"/>
          <w:spacing w:val="5"/>
        </w:rPr>
        <w:t> </w:t>
      </w:r>
      <w:r>
        <w:rPr/>
        <w:t>年</w:t>
      </w:r>
      <w:r>
        <w:rPr>
          <w:spacing w:val="-61"/>
        </w:rPr>
        <w:t> </w:t>
      </w:r>
      <w:r>
        <w:rPr>
          <w:rFonts w:ascii="Calibri" w:hAnsi="Calibri" w:cs="Calibri" w:eastAsia="Calibri" w:hint="default"/>
        </w:rPr>
        <w:t>1</w:t>
      </w:r>
      <w:r>
        <w:rPr>
          <w:rFonts w:ascii="Calibri" w:hAnsi="Calibri" w:cs="Calibri" w:eastAsia="Calibri" w:hint="default"/>
          <w:spacing w:val="5"/>
        </w:rPr>
        <w:t> </w:t>
      </w:r>
      <w:r>
        <w:rPr/>
        <w:t>月</w:t>
      </w:r>
      <w:r>
        <w:rPr>
          <w:spacing w:val="-63"/>
        </w:rPr>
        <w:t> </w:t>
      </w:r>
      <w:r>
        <w:rPr>
          <w:rFonts w:ascii="Calibri" w:hAnsi="Calibri" w:cs="Calibri" w:eastAsia="Calibri" w:hint="default"/>
        </w:rPr>
        <w:t>4</w:t>
      </w:r>
      <w:r>
        <w:rPr>
          <w:rFonts w:ascii="Calibri" w:hAnsi="Calibri" w:cs="Calibri" w:eastAsia="Calibri" w:hint="default"/>
          <w:spacing w:val="5"/>
        </w:rPr>
        <w:t> </w:t>
      </w:r>
      <w:r>
        <w:rPr/>
        <w:t>日 经营范围：软件技术开发、技术咨询、技术转让、技术服务；计算机系统集成；销售</w:t>
      </w:r>
    </w:p>
    <w:p>
      <w:pPr>
        <w:pStyle w:val="BodyText"/>
        <w:spacing w:line="357" w:lineRule="auto" w:before="67"/>
        <w:ind w:right="149"/>
        <w:jc w:val="left"/>
      </w:pPr>
      <w:r>
        <w:rPr>
          <w:spacing w:val="-3"/>
        </w:rPr>
        <w:t>计算机硬件及辅助设备、机械设备、仪器仪表、电子产品；数据处理。（依法须经批准的项</w:t>
      </w:r>
      <w:r>
        <w:rPr/>
        <w:t> 目、经相关部门批准后方可开展经营活动）</w:t>
      </w:r>
    </w:p>
    <w:p>
      <w:pPr>
        <w:pStyle w:val="BodyText"/>
        <w:spacing w:line="240" w:lineRule="auto"/>
        <w:ind w:left="617" w:right="229"/>
        <w:jc w:val="left"/>
      </w:pPr>
      <w:r>
        <w:rPr>
          <w:rFonts w:ascii="Calibri" w:hAnsi="Calibri" w:cs="Calibri" w:eastAsia="Calibri" w:hint="default"/>
        </w:rPr>
        <w:t>2016</w:t>
      </w:r>
      <w:r>
        <w:rPr>
          <w:rFonts w:ascii="Calibri" w:hAnsi="Calibri" w:cs="Calibri" w:eastAsia="Calibri" w:hint="default"/>
          <w:spacing w:val="5"/>
        </w:rPr>
        <w:t> </w:t>
      </w:r>
      <w:r>
        <w:rPr/>
        <w:t>年</w:t>
      </w:r>
      <w:r>
        <w:rPr>
          <w:spacing w:val="-64"/>
        </w:rPr>
        <w:t> </w:t>
      </w:r>
      <w:r>
        <w:rPr>
          <w:rFonts w:ascii="Calibri" w:hAnsi="Calibri" w:cs="Calibri" w:eastAsia="Calibri" w:hint="default"/>
        </w:rPr>
        <w:t>2</w:t>
      </w:r>
      <w:r>
        <w:rPr>
          <w:rFonts w:ascii="Calibri" w:hAnsi="Calibri" w:cs="Calibri" w:eastAsia="Calibri" w:hint="default"/>
          <w:spacing w:val="5"/>
        </w:rPr>
        <w:t> </w:t>
      </w:r>
      <w:r>
        <w:rPr/>
        <w:t>月</w:t>
      </w:r>
      <w:r>
        <w:rPr>
          <w:spacing w:val="-61"/>
        </w:rPr>
        <w:t> </w:t>
      </w:r>
      <w:r>
        <w:rPr>
          <w:rFonts w:ascii="Calibri" w:hAnsi="Calibri" w:cs="Calibri" w:eastAsia="Calibri" w:hint="default"/>
        </w:rPr>
        <w:t>16</w:t>
      </w:r>
      <w:r>
        <w:rPr>
          <w:rFonts w:ascii="Calibri" w:hAnsi="Calibri" w:cs="Calibri" w:eastAsia="Calibri" w:hint="default"/>
          <w:spacing w:val="5"/>
        </w:rPr>
        <w:t> </w:t>
      </w:r>
      <w:r>
        <w:rPr/>
        <w:t>日，公司将在地图慧科技的全部出资</w:t>
      </w:r>
      <w:r>
        <w:rPr>
          <w:spacing w:val="-61"/>
        </w:rPr>
        <w:t> </w:t>
      </w:r>
      <w:r>
        <w:rPr>
          <w:rFonts w:ascii="Calibri" w:hAnsi="Calibri" w:cs="Calibri" w:eastAsia="Calibri" w:hint="default"/>
        </w:rPr>
        <w:t>880</w:t>
      </w:r>
      <w:r>
        <w:rPr>
          <w:rFonts w:ascii="Calibri" w:hAnsi="Calibri" w:cs="Calibri" w:eastAsia="Calibri" w:hint="default"/>
          <w:spacing w:val="5"/>
        </w:rPr>
        <w:t> </w:t>
      </w:r>
      <w:r>
        <w:rPr/>
        <w:t>万元（占公司注册资本的</w:t>
      </w:r>
    </w:p>
    <w:p>
      <w:pPr>
        <w:pStyle w:val="BodyText"/>
        <w:spacing w:line="240" w:lineRule="auto" w:before="123"/>
        <w:ind w:right="229"/>
        <w:jc w:val="left"/>
      </w:pPr>
      <w:r>
        <w:rPr>
          <w:rFonts w:ascii="Calibri" w:hAnsi="Calibri" w:cs="Calibri" w:eastAsia="Calibri" w:hint="default"/>
        </w:rPr>
        <w:t>80%</w:t>
      </w:r>
      <w:r>
        <w:rPr/>
        <w:t>）转让给超图数据。</w:t>
      </w:r>
    </w:p>
    <w:p>
      <w:pPr>
        <w:pStyle w:val="BodyText"/>
        <w:spacing w:line="240" w:lineRule="auto" w:before="123"/>
        <w:ind w:left="617" w:right="229"/>
        <w:jc w:val="left"/>
      </w:pPr>
      <w:r>
        <w:rPr/>
        <w:t>主要子公司及对公司净利润影响达</w:t>
      </w:r>
      <w:r>
        <w:rPr>
          <w:spacing w:val="-62"/>
        </w:rPr>
        <w:t> </w:t>
      </w:r>
      <w:r>
        <w:rPr>
          <w:rFonts w:ascii="Calibri" w:hAnsi="Calibri" w:cs="Calibri" w:eastAsia="Calibri" w:hint="default"/>
        </w:rPr>
        <w:t>10%</w:t>
      </w:r>
      <w:r>
        <w:rPr/>
        <w:t>以上的参股公司情况。</w:t>
      </w:r>
    </w:p>
    <w:p>
      <w:pPr>
        <w:pStyle w:val="Heading2"/>
        <w:spacing w:line="240" w:lineRule="auto" w:before="47"/>
        <w:ind w:left="619" w:right="229"/>
        <w:jc w:val="left"/>
        <w:rPr>
          <w:b w:val="0"/>
          <w:bCs w:val="0"/>
        </w:rPr>
      </w:pPr>
      <w:r>
        <w:rPr/>
        <w:t>（二）报告期内公司及子公司参股</w:t>
      </w:r>
      <w:r>
        <w:rPr>
          <w:rFonts w:ascii="Calibri" w:hAnsi="Calibri" w:cs="Calibri" w:eastAsia="Calibri" w:hint="default"/>
        </w:rPr>
        <w:t>/</w:t>
      </w:r>
      <w:r>
        <w:rPr/>
        <w:t>控股公司、全资公司情况</w:t>
      </w:r>
      <w:r>
        <w:rPr>
          <w:b w:val="0"/>
          <w:bCs w:val="0"/>
        </w:rPr>
      </w:r>
    </w:p>
    <w:p>
      <w:pPr>
        <w:pStyle w:val="BodyText"/>
        <w:spacing w:line="240" w:lineRule="auto" w:before="123"/>
        <w:ind w:left="0" w:right="148"/>
        <w:jc w:val="right"/>
      </w:pPr>
      <w:r>
        <w:rPr/>
        <w:t>单位：元</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542"/>
        <w:gridCol w:w="545"/>
        <w:gridCol w:w="1889"/>
        <w:gridCol w:w="1080"/>
        <w:gridCol w:w="1088"/>
        <w:gridCol w:w="1090"/>
        <w:gridCol w:w="1090"/>
        <w:gridCol w:w="1082"/>
        <w:gridCol w:w="1082"/>
      </w:tblGrid>
      <w:tr>
        <w:trPr>
          <w:trHeight w:val="634" w:hRule="exact"/>
        </w:trPr>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p>
            <w:pPr>
              <w:pStyle w:val="TableParagraph"/>
              <w:spacing w:line="313" w:lineRule="exact"/>
              <w:ind w:left="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p>
            <w:pPr>
              <w:pStyle w:val="TableParagraph"/>
              <w:spacing w:line="313" w:lineRule="exact"/>
              <w:ind w:left="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3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主要产品或服务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总资产</w:t>
            </w:r>
            <w:r>
              <w:rPr>
                <w:rFonts w:ascii="Microsoft JhengHei" w:hAnsi="Microsoft JhengHei" w:cs="Microsoft JhengHei" w:eastAsia="Microsoft JhengHei"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净资产</w:t>
            </w:r>
            <w:r>
              <w:rPr>
                <w:rFonts w:ascii="Microsoft JhengHei" w:hAnsi="Microsoft JhengHei" w:cs="Microsoft JhengHei" w:eastAsia="Microsoft JhengHei"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7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营业利润</w:t>
            </w:r>
            <w:r>
              <w:rPr>
                <w:rFonts w:ascii="Microsoft JhengHei" w:hAnsi="Microsoft JhengHei" w:cs="Microsoft JhengHei" w:eastAsia="Microsoft JhengHei"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r>
      <w:tr>
        <w:trPr>
          <w:trHeight w:val="946"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超图 信息</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9" w:right="38"/>
              <w:jc w:val="both"/>
              <w:rPr>
                <w:rFonts w:ascii="宋体" w:hAnsi="宋体" w:cs="宋体" w:eastAsia="宋体" w:hint="default"/>
                <w:sz w:val="18"/>
                <w:szCs w:val="18"/>
              </w:rPr>
            </w:pPr>
            <w:r>
              <w:rPr>
                <w:rFonts w:ascii="宋体" w:hAnsi="宋体" w:cs="宋体" w:eastAsia="宋体" w:hint="default"/>
                <w:sz w:val="18"/>
                <w:szCs w:val="18"/>
              </w:rPr>
              <w:t>向安全部门提供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 息系统技术开发和相关 平台产品的研发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19,284,596.64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6,578,620.21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9,013,330.36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1,067,516.28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1,031,980.37</w:t>
            </w:r>
          </w:p>
        </w:tc>
      </w:tr>
      <w:tr>
        <w:trPr>
          <w:trHeight w:val="1258"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南康 科技</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9" w:right="38"/>
              <w:jc w:val="both"/>
              <w:rPr>
                <w:rFonts w:ascii="宋体" w:hAnsi="宋体" w:cs="宋体" w:eastAsia="宋体" w:hint="default"/>
                <w:sz w:val="18"/>
                <w:szCs w:val="18"/>
              </w:rPr>
            </w:pPr>
            <w:r>
              <w:rPr>
                <w:rFonts w:ascii="宋体" w:hAnsi="宋体" w:cs="宋体" w:eastAsia="宋体" w:hint="default"/>
                <w:sz w:val="18"/>
                <w:szCs w:val="18"/>
              </w:rPr>
              <w:t>房地产行业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技术开 发及技术服务；</w:t>
            </w:r>
            <w:r>
              <w:rPr>
                <w:rFonts w:ascii="Times New Roman" w:hAnsi="Times New Roman" w:cs="Times New Roman" w:eastAsia="Times New Roman" w:hint="default"/>
                <w:sz w:val="18"/>
                <w:szCs w:val="18"/>
              </w:rPr>
              <w:t>CAI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w:t>
            </w:r>
            <w:r>
              <w:rPr>
                <w:rFonts w:ascii="宋体" w:hAnsi="宋体" w:cs="宋体" w:eastAsia="宋体" w:hint="default"/>
                <w:w w:val="99"/>
                <w:sz w:val="18"/>
                <w:szCs w:val="18"/>
              </w:rPr>
              <w:t> </w:t>
            </w:r>
            <w:r>
              <w:rPr>
                <w:rFonts w:ascii="宋体" w:hAnsi="宋体" w:cs="宋体" w:eastAsia="宋体" w:hint="default"/>
                <w:sz w:val="18"/>
                <w:szCs w:val="18"/>
              </w:rPr>
              <w:t>据采集平台软件研发与</w:t>
            </w:r>
            <w:r>
              <w:rPr>
                <w:rFonts w:ascii="宋体" w:hAnsi="宋体" w:cs="宋体" w:eastAsia="宋体" w:hint="default"/>
                <w:w w:val="99"/>
                <w:sz w:val="18"/>
                <w:szCs w:val="18"/>
              </w:rPr>
              <w:t> </w:t>
            </w:r>
            <w:r>
              <w:rPr>
                <w:rFonts w:ascii="宋体" w:hAnsi="宋体" w:cs="宋体" w:eastAsia="宋体" w:hint="default"/>
                <w:sz w:val="18"/>
                <w:szCs w:val="18"/>
              </w:rPr>
              <w:t>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46,194,141.95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38,611,591.73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37,769,970.66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11,758,183.04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11,967,313.85</w:t>
            </w:r>
          </w:p>
        </w:tc>
      </w:tr>
      <w:tr>
        <w:trPr>
          <w:trHeight w:val="948"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4" w:right="86"/>
              <w:jc w:val="left"/>
              <w:rPr>
                <w:rFonts w:ascii="宋体" w:hAnsi="宋体" w:cs="宋体" w:eastAsia="宋体" w:hint="default"/>
                <w:sz w:val="18"/>
                <w:szCs w:val="18"/>
              </w:rPr>
            </w:pPr>
            <w:r>
              <w:rPr>
                <w:rFonts w:ascii="宋体" w:hAnsi="宋体" w:cs="宋体" w:eastAsia="宋体" w:hint="default"/>
                <w:sz w:val="18"/>
                <w:szCs w:val="18"/>
              </w:rPr>
              <w:t>超图 国际</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9"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SuperMap 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软件英 文版的研发、销售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441" w:right="84" w:hanging="360"/>
              <w:jc w:val="left"/>
              <w:rPr>
                <w:rFonts w:ascii="宋体" w:hAnsi="宋体" w:cs="宋体" w:eastAsia="宋体"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450 </w:t>
            </w:r>
            <w:r>
              <w:rPr>
                <w:rFonts w:ascii="宋体" w:hAnsi="宋体" w:cs="宋体" w:eastAsia="宋体" w:hint="default"/>
                <w:sz w:val="18"/>
                <w:szCs w:val="18"/>
              </w:rPr>
              <w:t>万 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13,268,049.39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12,879,104.88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pacing w:val="-1"/>
                <w:sz w:val="18"/>
              </w:rPr>
              <w:t>2,875,916.05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2,847,882.33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3,331,560.86</w:t>
            </w:r>
          </w:p>
        </w:tc>
      </w:tr>
      <w:tr>
        <w:trPr>
          <w:trHeight w:val="1258"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日本 超图</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6"/>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9"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SuperMap GIS </w:t>
            </w:r>
            <w:r>
              <w:rPr>
                <w:rFonts w:ascii="宋体" w:hAnsi="宋体" w:cs="宋体" w:eastAsia="宋体" w:hint="default"/>
                <w:sz w:val="18"/>
                <w:szCs w:val="18"/>
              </w:rPr>
              <w:t>日文版 的研发、销售和日本地 区地理信息工程应用服 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日元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2,3620</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41,207,508.68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26,769,087.44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6,123,685.33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-782,731.92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-963,944</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085" w:header="877" w:top="1220" w:bottom="1280" w:left="1140" w:right="980"/>
          <w:pgNumType w:start="41"/>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542"/>
        <w:gridCol w:w="545"/>
        <w:gridCol w:w="1889"/>
        <w:gridCol w:w="1080"/>
        <w:gridCol w:w="1088"/>
        <w:gridCol w:w="1090"/>
        <w:gridCol w:w="1090"/>
        <w:gridCol w:w="1082"/>
        <w:gridCol w:w="1082"/>
      </w:tblGrid>
      <w:tr>
        <w:trPr>
          <w:trHeight w:val="946"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上海 超途</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00" w:lineRule="auto"/>
              <w:ind w:left="19" w:right="38"/>
              <w:jc w:val="left"/>
              <w:rPr>
                <w:rFonts w:ascii="宋体" w:hAnsi="宋体" w:cs="宋体" w:eastAsia="宋体" w:hint="default"/>
                <w:sz w:val="18"/>
                <w:szCs w:val="18"/>
              </w:rPr>
            </w:pPr>
            <w:r>
              <w:rPr>
                <w:rFonts w:ascii="宋体" w:hAnsi="宋体" w:cs="宋体" w:eastAsia="宋体" w:hint="default"/>
                <w:sz w:val="18"/>
                <w:szCs w:val="18"/>
              </w:rPr>
              <w:t>华东地区的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技术开 发服务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986,141.45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985,581.45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1,239.31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w w:val="95"/>
                <w:sz w:val="18"/>
              </w:rPr>
              <w:t>1,239.31</w:t>
            </w:r>
          </w:p>
        </w:tc>
      </w:tr>
      <w:tr>
        <w:trPr>
          <w:trHeight w:val="946"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both"/>
              <w:rPr>
                <w:rFonts w:ascii="宋体" w:hAnsi="宋体" w:cs="宋体" w:eastAsia="宋体" w:hint="default"/>
                <w:sz w:val="18"/>
                <w:szCs w:val="18"/>
              </w:rPr>
            </w:pPr>
            <w:r>
              <w:rPr>
                <w:rFonts w:ascii="宋体" w:hAnsi="宋体" w:cs="宋体" w:eastAsia="宋体" w:hint="default"/>
                <w:sz w:val="18"/>
                <w:szCs w:val="18"/>
              </w:rPr>
              <w:t>克拉 玛依 超图</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19" w:right="38"/>
              <w:jc w:val="left"/>
              <w:rPr>
                <w:rFonts w:ascii="宋体" w:hAnsi="宋体" w:cs="宋体" w:eastAsia="宋体" w:hint="default"/>
                <w:sz w:val="18"/>
                <w:szCs w:val="18"/>
              </w:rPr>
            </w:pPr>
            <w:r>
              <w:rPr>
                <w:rFonts w:ascii="宋体" w:hAnsi="宋体" w:cs="宋体" w:eastAsia="宋体" w:hint="default"/>
                <w:sz w:val="18"/>
                <w:szCs w:val="18"/>
              </w:rPr>
              <w:t>新疆地区的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技术开 发服务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6,542,448.97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2,659,603.91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3,535,663.71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-344,543.14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-325,762.89</w:t>
            </w:r>
          </w:p>
        </w:tc>
      </w:tr>
      <w:tr>
        <w:trPr>
          <w:trHeight w:val="946"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山东 超图</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技术开发服务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3,098,666.24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2,930,886.24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-70,365.86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-69,113.76</w:t>
            </w:r>
          </w:p>
        </w:tc>
      </w:tr>
      <w:tr>
        <w:trPr>
          <w:trHeight w:val="949"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4" w:right="86"/>
              <w:jc w:val="left"/>
              <w:rPr>
                <w:rFonts w:ascii="宋体" w:hAnsi="宋体" w:cs="宋体" w:eastAsia="宋体" w:hint="default"/>
                <w:sz w:val="18"/>
                <w:szCs w:val="18"/>
              </w:rPr>
            </w:pPr>
            <w:r>
              <w:rPr>
                <w:rFonts w:ascii="宋体" w:hAnsi="宋体" w:cs="宋体" w:eastAsia="宋体" w:hint="default"/>
                <w:sz w:val="18"/>
                <w:szCs w:val="18"/>
              </w:rPr>
              <w:t>芜湖 联智</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9" w:right="38"/>
              <w:jc w:val="left"/>
              <w:rPr>
                <w:rFonts w:ascii="宋体" w:hAnsi="宋体" w:cs="宋体" w:eastAsia="宋体" w:hint="default"/>
                <w:sz w:val="18"/>
                <w:szCs w:val="18"/>
              </w:rPr>
            </w:pPr>
            <w:r>
              <w:rPr>
                <w:rFonts w:ascii="宋体" w:hAnsi="宋体" w:cs="宋体" w:eastAsia="宋体" w:hint="default"/>
                <w:sz w:val="18"/>
                <w:szCs w:val="18"/>
              </w:rPr>
              <w:t>安徽地区的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技术开 发服务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499,862.25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499,862.25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-137.75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-137.75</w:t>
            </w:r>
          </w:p>
        </w:tc>
      </w:tr>
      <w:tr>
        <w:trPr>
          <w:trHeight w:val="1258"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超图 数据</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6"/>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58"/>
              <w:jc w:val="both"/>
              <w:rPr>
                <w:rFonts w:ascii="宋体" w:hAnsi="宋体" w:cs="宋体" w:eastAsia="宋体" w:hint="default"/>
                <w:sz w:val="18"/>
                <w:szCs w:val="18"/>
              </w:rPr>
            </w:pPr>
            <w:r>
              <w:rPr>
                <w:rFonts w:ascii="宋体" w:hAnsi="宋体" w:cs="宋体" w:eastAsia="宋体" w:hint="default"/>
                <w:sz w:val="18"/>
                <w:szCs w:val="18"/>
              </w:rPr>
              <w:t>地理信息大数据服务、 商业地理分析和地理信 息系统应用云服务解决 方案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8"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both"/>
              <w:rPr>
                <w:rFonts w:ascii="宋体" w:hAnsi="宋体" w:cs="宋体" w:eastAsia="宋体" w:hint="default"/>
                <w:sz w:val="18"/>
                <w:szCs w:val="18"/>
              </w:rPr>
            </w:pPr>
            <w:r>
              <w:rPr>
                <w:rFonts w:ascii="宋体" w:hAnsi="宋体" w:cs="宋体" w:eastAsia="宋体" w:hint="default"/>
                <w:sz w:val="18"/>
                <w:szCs w:val="18"/>
              </w:rPr>
              <w:t>地图 慧科 技</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86" w:right="86"/>
              <w:jc w:val="both"/>
              <w:rPr>
                <w:rFonts w:ascii="宋体" w:hAnsi="宋体" w:cs="宋体" w:eastAsia="宋体" w:hint="default"/>
                <w:sz w:val="18"/>
                <w:szCs w:val="18"/>
              </w:rPr>
            </w:pPr>
            <w:r>
              <w:rPr>
                <w:rFonts w:ascii="宋体" w:hAnsi="宋体" w:cs="宋体" w:eastAsia="宋体" w:hint="default"/>
                <w:sz w:val="18"/>
                <w:szCs w:val="18"/>
              </w:rPr>
              <w:t>控股 孙公 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9" w:right="58"/>
              <w:jc w:val="left"/>
              <w:rPr>
                <w:rFonts w:ascii="宋体" w:hAnsi="宋体" w:cs="宋体" w:eastAsia="宋体" w:hint="default"/>
                <w:sz w:val="18"/>
                <w:szCs w:val="18"/>
              </w:rPr>
            </w:pPr>
            <w:r>
              <w:rPr>
                <w:rFonts w:ascii="宋体" w:hAnsi="宋体" w:cs="宋体" w:eastAsia="宋体" w:hint="default"/>
                <w:sz w:val="18"/>
                <w:szCs w:val="18"/>
              </w:rPr>
              <w:t>互联网地图服务、企业 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LBS </w:t>
            </w:r>
            <w:r>
              <w:rPr>
                <w:rFonts w:ascii="宋体" w:hAnsi="宋体" w:cs="宋体" w:eastAsia="宋体" w:hint="default"/>
                <w:sz w:val="18"/>
                <w:szCs w:val="18"/>
              </w:rPr>
              <w:t>应用服 务、商业分析服务以及 位置相关大数据服务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4" w:right="86"/>
              <w:jc w:val="left"/>
              <w:rPr>
                <w:rFonts w:ascii="宋体" w:hAnsi="宋体" w:cs="宋体" w:eastAsia="宋体" w:hint="default"/>
                <w:sz w:val="18"/>
                <w:szCs w:val="18"/>
              </w:rPr>
            </w:pPr>
            <w:r>
              <w:rPr>
                <w:rFonts w:ascii="宋体" w:hAnsi="宋体" w:cs="宋体" w:eastAsia="宋体" w:hint="default"/>
                <w:sz w:val="18"/>
                <w:szCs w:val="18"/>
              </w:rPr>
              <w:t>浙江 中科</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6" w:right="86"/>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技术开发服务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11,124,542.36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5,969,726.35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4,893,663.29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-46,523.51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201,093.48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17" w:right="346"/>
        <w:jc w:val="left"/>
      </w:pPr>
      <w:r>
        <w:rPr/>
        <w:t>报告期内取得和处置子公司的情况</w:t>
      </w:r>
    </w:p>
    <w:p>
      <w:pPr>
        <w:pStyle w:val="BodyText"/>
        <w:spacing w:line="240" w:lineRule="auto" w:before="154"/>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1526"/>
        <w:gridCol w:w="1844"/>
        <w:gridCol w:w="6201"/>
      </w:tblGrid>
      <w:tr>
        <w:trPr>
          <w:trHeight w:val="63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公司名称</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报告期内取得和处</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置子公司方式</w:t>
            </w:r>
            <w:r>
              <w:rPr>
                <w:rFonts w:ascii="Microsoft JhengHei" w:hAnsi="Microsoft JhengHei" w:cs="Microsoft JhengHei" w:eastAsia="Microsoft JhengHei" w:hint="default"/>
                <w:sz w:val="21"/>
                <w:szCs w:val="21"/>
              </w:rPr>
            </w:r>
          </w:p>
        </w:tc>
        <w:tc>
          <w:tcPr>
            <w:tcW w:w="6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7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对整体生产经营和业绩的影响</w:t>
            </w:r>
            <w:r>
              <w:rPr>
                <w:rFonts w:ascii="Microsoft JhengHei" w:hAnsi="Microsoft JhengHei" w:cs="Microsoft JhengHei" w:eastAsia="Microsoft JhengHei" w:hint="default"/>
                <w:sz w:val="21"/>
                <w:szCs w:val="21"/>
              </w:rPr>
            </w:r>
          </w:p>
        </w:tc>
      </w:tr>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芜湖联智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sz w:val="21"/>
                <w:szCs w:val="21"/>
              </w:rPr>
              <w:t>独资设立</w:t>
            </w:r>
          </w:p>
        </w:tc>
        <w:tc>
          <w:tcPr>
            <w:tcW w:w="6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73"/>
              <w:jc w:val="left"/>
              <w:rPr>
                <w:rFonts w:ascii="宋体" w:hAnsi="宋体" w:cs="宋体" w:eastAsia="宋体" w:hint="default"/>
                <w:sz w:val="21"/>
                <w:szCs w:val="21"/>
              </w:rPr>
            </w:pPr>
            <w:r>
              <w:rPr>
                <w:rFonts w:ascii="宋体" w:hAnsi="宋体" w:cs="宋体" w:eastAsia="宋体" w:hint="default"/>
                <w:spacing w:val="-2"/>
                <w:sz w:val="21"/>
                <w:szCs w:val="21"/>
              </w:rPr>
              <w:t>有利于公司更好的提供本地化服务，同时便于在安徽省开展其他业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务报告。</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收购</w:t>
            </w:r>
          </w:p>
        </w:tc>
        <w:tc>
          <w:tcPr>
            <w:tcW w:w="6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72"/>
              <w:jc w:val="both"/>
              <w:rPr>
                <w:rFonts w:ascii="宋体" w:hAnsi="宋体" w:cs="宋体" w:eastAsia="宋体" w:hint="default"/>
                <w:sz w:val="21"/>
                <w:szCs w:val="21"/>
              </w:rPr>
            </w:pPr>
            <w:r>
              <w:rPr>
                <w:rFonts w:ascii="宋体" w:hAnsi="宋体" w:cs="宋体" w:eastAsia="宋体" w:hint="default"/>
                <w:spacing w:val="-2"/>
                <w:sz w:val="21"/>
                <w:szCs w:val="21"/>
              </w:rPr>
              <w:t>能够有效延伸公司产品应用范围，扩大公司相关产品的市场应用领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域，尤其有助于公司在不动产登记市场的战略布局，本期贡献净利</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1,196.73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超图数据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独资设立</w:t>
            </w:r>
          </w:p>
        </w:tc>
        <w:tc>
          <w:tcPr>
            <w:tcW w:w="6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报告期末，该公司还未完成设立工作，尚未有实质性经营活动。</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地图慧科技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合资设立</w:t>
            </w:r>
          </w:p>
        </w:tc>
        <w:tc>
          <w:tcPr>
            <w:tcW w:w="6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报告期末，该公司还未完成设立工作，尚未有实质性经营活动。</w:t>
            </w:r>
          </w:p>
        </w:tc>
      </w:tr>
    </w:tbl>
    <w:p>
      <w:pPr>
        <w:pStyle w:val="BodyText"/>
        <w:spacing w:line="357" w:lineRule="auto" w:before="39"/>
        <w:ind w:left="617" w:right="349"/>
        <w:jc w:val="left"/>
      </w:pPr>
      <w:r>
        <w:rPr/>
        <w:t>主要控股参股公司情况说明： 超图数据、地图慧科技报告期内尚未完成设立工作，也无经营活动，此外注册资本尚</w:t>
      </w:r>
    </w:p>
    <w:p>
      <w:pPr>
        <w:spacing w:line="470" w:lineRule="auto" w:before="36"/>
        <w:ind w:left="137" w:right="514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未缴付，因此报告期内也未纳入合并报表。 </w:t>
      </w:r>
      <w:bookmarkStart w:name="_bookmark22" w:id="23"/>
      <w:bookmarkEnd w:id="23"/>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八、公司控制的结构化主体情况</w:t>
      </w:r>
      <w:r>
        <w:rPr>
          <w:rFonts w:ascii="Microsoft JhengHei" w:hAnsi="Microsoft JhengHei" w:cs="Microsoft JhengHei" w:eastAsia="Microsoft JhengHei" w:hint="default"/>
          <w:sz w:val="24"/>
          <w:szCs w:val="24"/>
        </w:rPr>
      </w:r>
    </w:p>
    <w:p>
      <w:pPr>
        <w:pStyle w:val="BodyText"/>
        <w:spacing w:line="240" w:lineRule="auto" w:before="43"/>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77" w:footer="1085" w:top="1220" w:bottom="1280" w:left="1140" w:right="900"/>
        </w:sectPr>
      </w:pPr>
    </w:p>
    <w:p>
      <w:pPr>
        <w:spacing w:line="240" w:lineRule="auto" w:before="10"/>
        <w:rPr>
          <w:rFonts w:ascii="宋体" w:hAnsi="宋体" w:cs="宋体" w:eastAsia="宋体" w:hint="default"/>
          <w:sz w:val="10"/>
          <w:szCs w:val="10"/>
        </w:rPr>
      </w:pPr>
    </w:p>
    <w:p>
      <w:pPr>
        <w:pStyle w:val="Heading2"/>
        <w:spacing w:line="367" w:lineRule="exact"/>
        <w:ind w:left="137" w:right="229"/>
        <w:jc w:val="left"/>
        <w:rPr>
          <w:b w:val="0"/>
          <w:bCs w:val="0"/>
        </w:rPr>
      </w:pPr>
      <w:bookmarkStart w:name="_bookmark23" w:id="24"/>
      <w:bookmarkEnd w:id="24"/>
      <w:r>
        <w:rPr>
          <w:b w:val="0"/>
          <w:bCs w:val="0"/>
        </w:rPr>
      </w:r>
      <w:r>
        <w:rPr/>
        <w:t>九、公司未来发展的展望</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、公司前期披露的发展战略和经营计划在报告期内的进展情况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338" w:lineRule="auto" w:before="0"/>
        <w:ind w:right="270" w:firstLine="480"/>
        <w:jc w:val="left"/>
      </w:pPr>
      <w:r>
        <w:rPr/>
        <w:t>公司在</w:t>
      </w:r>
      <w:r>
        <w:rPr>
          <w:spacing w:val="-61"/>
        </w:rPr>
        <w:t> </w:t>
      </w:r>
      <w:r>
        <w:rPr>
          <w:rFonts w:ascii="Times New Roman" w:hAnsi="Times New Roman" w:cs="Times New Roman" w:eastAsia="Times New Roman" w:hint="default"/>
        </w:rPr>
        <w:t>2014 </w:t>
      </w:r>
      <w:r>
        <w:rPr/>
        <w:t>年年报中披露过公司</w:t>
      </w:r>
      <w:r>
        <w:rPr>
          <w:spacing w:val="-60"/>
        </w:rPr>
        <w:t> </w:t>
      </w:r>
      <w:r>
        <w:rPr>
          <w:rFonts w:ascii="Times New Roman" w:hAnsi="Times New Roman" w:cs="Times New Roman" w:eastAsia="Times New Roman" w:hint="default"/>
        </w:rPr>
        <w:t>2015 </w:t>
      </w:r>
      <w:r>
        <w:rPr/>
        <w:t>年度经营计划，上述计划在本报告期内均得到 了落实，具体如下：</w:t>
      </w:r>
    </w:p>
    <w:p>
      <w:pPr>
        <w:pStyle w:val="BodyText"/>
        <w:spacing w:line="240" w:lineRule="auto" w:before="55"/>
        <w:ind w:left="336" w:right="22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）举行技术大会，发布</w:t>
      </w:r>
      <w:r>
        <w:rPr>
          <w:rFonts w:ascii="Times New Roman" w:hAnsi="Times New Roman" w:cs="Times New Roman" w:eastAsia="Times New Roman" w:hint="default"/>
        </w:rPr>
        <w:t>SuperMap GIS</w:t>
      </w:r>
      <w:r>
        <w:rPr>
          <w:rFonts w:ascii="Times New Roman" w:hAnsi="Times New Roman" w:cs="Times New Roman" w:eastAsia="Times New Roman" w:hint="default"/>
          <w:spacing w:val="-7"/>
        </w:rPr>
        <w:t> </w:t>
      </w:r>
      <w:r>
        <w:rPr>
          <w:rFonts w:ascii="Times New Roman" w:hAnsi="Times New Roman" w:cs="Times New Roman" w:eastAsia="Times New Roman" w:hint="default"/>
        </w:rPr>
        <w:t>8C</w:t>
      </w:r>
    </w:p>
    <w:p>
      <w:pPr>
        <w:pStyle w:val="BodyText"/>
        <w:spacing w:line="240" w:lineRule="auto" w:before="135"/>
        <w:ind w:left="617" w:right="0"/>
        <w:jc w:val="left"/>
      </w:pPr>
      <w:r>
        <w:rPr/>
        <w:t>报告期，已按照原计划于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日在国家会议中心举办技术大会并发布新产品—</w:t>
      </w:r>
    </w:p>
    <w:p>
      <w:pPr>
        <w:pStyle w:val="BodyText"/>
        <w:spacing w:line="240" w:lineRule="auto" w:before="135"/>
        <w:ind w:right="229"/>
        <w:jc w:val="left"/>
      </w:pPr>
      <w:r>
        <w:rPr/>
        <w:t>—</w:t>
      </w:r>
      <w:r>
        <w:rPr>
          <w:rFonts w:ascii="Times New Roman" w:hAnsi="Times New Roman" w:cs="Times New Roman" w:eastAsia="Times New Roman" w:hint="default"/>
        </w:rPr>
        <w:t>SuperMap GIS</w:t>
      </w:r>
      <w:r>
        <w:rPr>
          <w:rFonts w:ascii="Times New Roman" w:hAnsi="Times New Roman" w:cs="Times New Roman" w:eastAsia="Times New Roman" w:hint="default"/>
          <w:spacing w:val="-6"/>
        </w:rPr>
        <w:t> </w:t>
      </w:r>
      <w:r>
        <w:rPr>
          <w:rFonts w:ascii="Times New Roman" w:hAnsi="Times New Roman" w:cs="Times New Roman" w:eastAsia="Times New Roman" w:hint="default"/>
        </w:rPr>
        <w:t>8C</w:t>
      </w:r>
      <w:r>
        <w:rPr/>
        <w:t>。</w:t>
      </w:r>
    </w:p>
    <w:p>
      <w:pPr>
        <w:pStyle w:val="BodyText"/>
        <w:spacing w:line="338" w:lineRule="auto" w:before="136"/>
        <w:ind w:left="617" w:right="269" w:hanging="281"/>
        <w:jc w:val="left"/>
      </w:pPr>
      <w:r>
        <w:rPr/>
        <w:t>（</w:t>
      </w:r>
      <w:r>
        <w:rPr>
          <w:rFonts w:ascii="Times New Roman" w:hAnsi="Times New Roman" w:cs="Times New Roman" w:eastAsia="Times New Roman" w:hint="default"/>
        </w:rPr>
        <w:t>2</w:t>
      </w:r>
      <w:r>
        <w:rPr/>
        <w:t>）加强平台软件客户服务 报告期内，公司已成立大客户支持部，该部门为公司平台级大客户及战略客户提供点</w:t>
      </w:r>
    </w:p>
    <w:p>
      <w:pPr>
        <w:pStyle w:val="BodyText"/>
        <w:spacing w:line="357" w:lineRule="auto" w:before="55"/>
        <w:ind w:right="269"/>
        <w:jc w:val="left"/>
      </w:pPr>
      <w:r>
        <w:rPr/>
        <w:t>对点的支持和全程跟踪服务，提供专业的高级定制培训以及专家级现场系统调优和安装部 署等服务内容。</w:t>
      </w:r>
    </w:p>
    <w:p>
      <w:pPr>
        <w:pStyle w:val="BodyText"/>
        <w:spacing w:line="338" w:lineRule="auto"/>
        <w:ind w:left="617" w:right="269" w:hanging="281"/>
        <w:jc w:val="left"/>
      </w:pPr>
      <w:r>
        <w:rPr/>
        <w:t>（</w:t>
      </w:r>
      <w:r>
        <w:rPr>
          <w:rFonts w:ascii="Times New Roman" w:hAnsi="Times New Roman" w:cs="Times New Roman" w:eastAsia="Times New Roman" w:hint="default"/>
        </w:rPr>
        <w:t>3</w:t>
      </w:r>
      <w:r>
        <w:rPr/>
        <w:t>）加强营销力量建设 根据年初计划，公司进一步加强了销售力量建设，扩编了应用销售团队，提升了销售</w:t>
      </w:r>
    </w:p>
    <w:p>
      <w:pPr>
        <w:pStyle w:val="BodyText"/>
        <w:spacing w:line="357" w:lineRule="auto" w:before="55"/>
        <w:ind w:right="285"/>
        <w:jc w:val="both"/>
      </w:pPr>
      <w:r>
        <w:rPr/>
        <w:t>力量的市场覆盖度；行业应用销售已下沉至各地方区域，进一步提升了北京以外办公区的 售前销售能力。此外，公司针对不动产登记信息领域这个重点市场，加强了销售布局，将 原有国土和房产业务部门的营销团队做了全面梳理和整合，在成都、西安和武汉等地部署 了销售和售前服务团队，此外，通过资本合作方式并购了南康科技，通过并购基金参股北 京世纪安图数码科发展有限公司，进一步加强了不动产登记的市场布局。</w:t>
      </w:r>
    </w:p>
    <w:p>
      <w:pPr>
        <w:pStyle w:val="BodyText"/>
        <w:spacing w:line="338" w:lineRule="auto"/>
        <w:ind w:left="617" w:right="269" w:hanging="281"/>
        <w:jc w:val="left"/>
      </w:pPr>
      <w:r>
        <w:rPr/>
        <w:t>（</w:t>
      </w:r>
      <w:r>
        <w:rPr>
          <w:rFonts w:ascii="Times New Roman" w:hAnsi="Times New Roman" w:cs="Times New Roman" w:eastAsia="Times New Roman" w:hint="default"/>
        </w:rPr>
        <w:t>4</w:t>
      </w:r>
      <w:r>
        <w:rPr/>
        <w:t>）利用倾斜摄影契机再推三维</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报告期内，公司分别在大连、沈阳、哈尔滨、长春、深圳、重庆、杭州、北京、乌鲁</w:t>
      </w:r>
    </w:p>
    <w:p>
      <w:pPr>
        <w:pStyle w:val="BodyText"/>
        <w:spacing w:line="338" w:lineRule="auto" w:before="55"/>
        <w:ind w:right="269"/>
        <w:jc w:val="left"/>
      </w:pPr>
      <w:r>
        <w:rPr/>
        <w:t>木齐等</w:t>
      </w:r>
      <w:r>
        <w:rPr>
          <w:rFonts w:ascii="Times New Roman" w:hAnsi="Times New Roman" w:cs="Times New Roman" w:eastAsia="Times New Roman" w:hint="default"/>
        </w:rPr>
        <w:t>17</w:t>
      </w:r>
      <w:r>
        <w:rPr/>
        <w:t>个城市举办了全国倾斜摄影技术联盟百城巡展，全面展示了倾斜摄影自动三维建 模技术的优点、未来的广泛应用前景，进一步加强了三维</w:t>
      </w:r>
      <w:r>
        <w:rPr>
          <w:rFonts w:ascii="Times New Roman" w:hAnsi="Times New Roman" w:cs="Times New Roman" w:eastAsia="Times New Roman" w:hint="default"/>
        </w:rPr>
        <w:t>GIS</w:t>
      </w:r>
      <w:r>
        <w:rPr/>
        <w:t>的推广。</w:t>
      </w:r>
    </w:p>
    <w:p>
      <w:pPr>
        <w:pStyle w:val="BodyText"/>
        <w:spacing w:line="338" w:lineRule="auto" w:before="27"/>
        <w:ind w:left="617" w:right="269" w:hanging="281"/>
        <w:jc w:val="left"/>
      </w:pPr>
      <w:r>
        <w:rPr/>
        <w:t>（</w:t>
      </w:r>
      <w:r>
        <w:rPr>
          <w:rFonts w:ascii="Times New Roman" w:hAnsi="Times New Roman" w:cs="Times New Roman" w:eastAsia="Times New Roman" w:hint="default"/>
        </w:rPr>
        <w:t>5</w:t>
      </w:r>
      <w:r>
        <w:rPr/>
        <w:t>）进一步推动应用业务客户满意度计划 报告期内，公司智慧城市业务群以及资环业务群成立了产品研发中心，以加强对本业</w:t>
      </w:r>
    </w:p>
    <w:p>
      <w:pPr>
        <w:pStyle w:val="BodyText"/>
        <w:spacing w:line="357" w:lineRule="auto" w:before="55"/>
        <w:ind w:right="269"/>
        <w:jc w:val="left"/>
      </w:pPr>
      <w:r>
        <w:rPr/>
        <w:t>务群的应用平台产品的研发，从而丰富了公司的应用产品，提高了应用产品品质；报告期 内，公司加强了项目培训、进一步改造了项目流程，进一步提升了项目管理水平；在定制 软件业务进行了全面的敏捷开发培训，大力推行敏捷开发模式，进一步提升了用户满意 度。</w:t>
      </w:r>
    </w:p>
    <w:p>
      <w:pPr>
        <w:pStyle w:val="BodyText"/>
        <w:spacing w:line="240" w:lineRule="auto"/>
        <w:ind w:left="336" w:right="229"/>
        <w:jc w:val="left"/>
      </w:pPr>
      <w:r>
        <w:rPr/>
        <w:t>（</w:t>
      </w:r>
      <w:r>
        <w:rPr>
          <w:rFonts w:ascii="Times New Roman" w:hAnsi="Times New Roman" w:cs="Times New Roman" w:eastAsia="Times New Roman" w:hint="default"/>
        </w:rPr>
        <w:t>6</w:t>
      </w:r>
      <w:r>
        <w:rPr/>
        <w:t>）进一步建设产品支持与培训体系</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38" w:lineRule="auto" w:before="26"/>
        <w:ind w:right="228" w:firstLine="480"/>
        <w:jc w:val="left"/>
      </w:pPr>
      <w:r>
        <w:rPr/>
        <w:t>报告期内，公司进一步完善了产品培训体系，增设云</w:t>
      </w:r>
      <w:r>
        <w:rPr>
          <w:rFonts w:ascii="Times New Roman" w:hAnsi="Times New Roman" w:cs="Times New Roman" w:eastAsia="Times New Roman" w:hint="default"/>
        </w:rPr>
        <w:t>GIS</w:t>
      </w:r>
      <w:r>
        <w:rPr/>
        <w:t>等前沿技术培训模块，并在 全国范围内陆续开展多场</w:t>
      </w:r>
      <w:r>
        <w:rPr>
          <w:rFonts w:ascii="Times New Roman" w:hAnsi="Times New Roman" w:cs="Times New Roman" w:eastAsia="Times New Roman" w:hint="default"/>
        </w:rPr>
        <w:t>SuperMap</w:t>
      </w:r>
      <w:r>
        <w:rPr>
          <w:rFonts w:ascii="Times New Roman" w:hAnsi="Times New Roman" w:cs="Times New Roman" w:eastAsia="Times New Roman" w:hint="default"/>
          <w:spacing w:val="-5"/>
        </w:rPr>
        <w:t> </w:t>
      </w:r>
      <w:r>
        <w:rPr>
          <w:rFonts w:ascii="Times New Roman" w:hAnsi="Times New Roman" w:cs="Times New Roman" w:eastAsia="Times New Roman" w:hint="default"/>
        </w:rPr>
        <w:t>GIS</w:t>
      </w:r>
      <w:r>
        <w:rPr/>
        <w:t>技术培训，让更多的用户系统掌握</w:t>
      </w:r>
      <w:r>
        <w:rPr>
          <w:rFonts w:ascii="Times New Roman" w:hAnsi="Times New Roman" w:cs="Times New Roman" w:eastAsia="Times New Roman" w:hint="default"/>
        </w:rPr>
        <w:t>SuperMap</w:t>
      </w:r>
      <w:r>
        <w:rPr/>
        <w:t>技术。 在高校推广方面，与高校合作，落实高校实验基地举措，将</w:t>
      </w:r>
      <w:r>
        <w:rPr>
          <w:rFonts w:ascii="Times New Roman" w:hAnsi="Times New Roman" w:cs="Times New Roman" w:eastAsia="Times New Roman" w:hint="default"/>
        </w:rPr>
        <w:t>SuperMap</w:t>
      </w:r>
      <w:r>
        <w:rPr/>
        <w:t>实验课程纳入合作学 校的课程大纲中，培养更多的</w:t>
      </w:r>
      <w:r>
        <w:rPr>
          <w:rFonts w:ascii="Times New Roman" w:hAnsi="Times New Roman" w:cs="Times New Roman" w:eastAsia="Times New Roman" w:hint="default"/>
        </w:rPr>
        <w:t>GIS</w:t>
      </w:r>
      <w:r>
        <w:rPr/>
        <w:t>专业人才。</w:t>
      </w:r>
    </w:p>
    <w:p>
      <w:pPr>
        <w:pStyle w:val="BodyText"/>
        <w:spacing w:line="357" w:lineRule="auto" w:before="27"/>
        <w:ind w:right="269" w:firstLine="480"/>
        <w:jc w:val="left"/>
      </w:pPr>
      <w:r>
        <w:rPr/>
        <w:t>报告期内，公司在支持中心成立了大客户支持部以及三维支持部，由专人全方位对接 大客户、三维客户，进一步改善了系统用户的感受，提高了满意度。</w:t>
      </w:r>
    </w:p>
    <w:p>
      <w:pPr>
        <w:pStyle w:val="BodyText"/>
        <w:spacing w:line="338" w:lineRule="auto"/>
        <w:ind w:left="617" w:right="269" w:hanging="281"/>
        <w:jc w:val="left"/>
      </w:pPr>
      <w:r>
        <w:rPr/>
        <w:t>（</w:t>
      </w:r>
      <w:r>
        <w:rPr>
          <w:rFonts w:ascii="Times New Roman" w:hAnsi="Times New Roman" w:cs="Times New Roman" w:eastAsia="Times New Roman" w:hint="default"/>
        </w:rPr>
        <w:t>7</w:t>
      </w:r>
      <w:r>
        <w:rPr/>
        <w:t>）进一步规范预算管理，管控开支，监控过程 报告期内，公司制订了预算编制标准，明确编制要求，制作费用参照标准，严格费用</w:t>
      </w:r>
    </w:p>
    <w:p>
      <w:pPr>
        <w:pStyle w:val="BodyText"/>
        <w:spacing w:line="357" w:lineRule="auto" w:before="56"/>
        <w:ind w:right="269"/>
        <w:jc w:val="left"/>
      </w:pPr>
      <w:r>
        <w:rPr/>
        <w:t>审核，提高预算编制正确率；开发并上线了预算管理控制系统，设置了预警点，加强了预 算管控。</w:t>
      </w:r>
    </w:p>
    <w:p>
      <w:pPr>
        <w:pStyle w:val="BodyText"/>
        <w:spacing w:line="338" w:lineRule="auto"/>
        <w:ind w:left="617" w:right="269" w:hanging="281"/>
        <w:jc w:val="left"/>
      </w:pPr>
      <w:r>
        <w:rPr/>
        <w:t>（</w:t>
      </w:r>
      <w:r>
        <w:rPr>
          <w:rFonts w:ascii="Times New Roman" w:hAnsi="Times New Roman" w:cs="Times New Roman" w:eastAsia="Times New Roman" w:hint="default"/>
        </w:rPr>
        <w:t>8</w:t>
      </w:r>
      <w:r>
        <w:rPr/>
        <w:t>）进一步加强外延扩张工作 报告期内，公司进一步加强了外延扩张工作，全资收购了南康科技，参与设立了超图</w:t>
      </w:r>
    </w:p>
    <w:p>
      <w:pPr>
        <w:pStyle w:val="BodyText"/>
        <w:spacing w:line="357" w:lineRule="auto" w:before="55"/>
        <w:ind w:right="269"/>
        <w:jc w:val="left"/>
      </w:pPr>
      <w:r>
        <w:rPr/>
        <w:t>道乐以及超图知卓产业并购基金，并通过超图道乐并购基金参股北京世纪安图数码科技发 展有限责任公司（以下简称</w:t>
      </w:r>
      <w:r>
        <w:rPr>
          <w:rFonts w:ascii="Times New Roman" w:hAnsi="Times New Roman" w:cs="Times New Roman" w:eastAsia="Times New Roman" w:hint="default"/>
        </w:rPr>
        <w:t>“</w:t>
      </w:r>
      <w:r>
        <w:rPr/>
        <w:t>世纪安图</w:t>
      </w:r>
      <w:r>
        <w:rPr>
          <w:rFonts w:ascii="Times New Roman" w:hAnsi="Times New Roman" w:cs="Times New Roman" w:eastAsia="Times New Roman" w:hint="default"/>
        </w:rPr>
        <w:t>”</w:t>
      </w:r>
      <w:r>
        <w:rPr/>
        <w:t>）。</w:t>
      </w:r>
    </w:p>
    <w:p>
      <w:pPr>
        <w:pStyle w:val="BodyText"/>
        <w:spacing w:line="345" w:lineRule="auto" w:before="5"/>
        <w:ind w:right="269" w:firstLine="480"/>
        <w:jc w:val="left"/>
      </w:pPr>
      <w:r>
        <w:rPr/>
        <w:t>世纪安图成立于</w:t>
      </w:r>
      <w:r>
        <w:rPr>
          <w:rFonts w:ascii="Times New Roman" w:hAnsi="Times New Roman" w:cs="Times New Roman" w:eastAsia="Times New Roman" w:hint="default"/>
        </w:rPr>
        <w:t>1998</w:t>
      </w:r>
      <w:r>
        <w:rPr/>
        <w:t>年，经过十余年发展，一直专注于国土资源和住建行业信息化建 设，先后为重庆、成都、西安、长沙、武汉、大连、长春、昆明、济南、杭州、珠海等十 几个大中城市的国土资源和住建等部门建立了先进、稳定、功能强大的</w:t>
      </w:r>
      <w:r>
        <w:rPr>
          <w:rFonts w:ascii="Times New Roman" w:hAnsi="Times New Roman" w:cs="Times New Roman" w:eastAsia="Times New Roman" w:hint="default"/>
        </w:rPr>
        <w:t>GIS</w:t>
      </w:r>
      <w:r>
        <w:rPr/>
        <w:t>等应用系统。 公司自主知识产权的软件著作权超过</w:t>
      </w:r>
      <w:r>
        <w:rPr>
          <w:rFonts w:ascii="Times New Roman" w:hAnsi="Times New Roman" w:cs="Times New Roman" w:eastAsia="Times New Roman" w:hint="default"/>
        </w:rPr>
        <w:t>50</w:t>
      </w:r>
      <w:r>
        <w:rPr/>
        <w:t>个，在电子政务平台、国土资源“一张图”数据库 建设和管理系统、国土资源综合监管平台、基础地理信息系统、空间数据转换与互操作、 空间数据采集加工等方面具有国内领先的技术优势。</w:t>
      </w:r>
    </w:p>
    <w:p>
      <w:pPr>
        <w:pStyle w:val="BodyText"/>
        <w:spacing w:line="348" w:lineRule="auto" w:before="48"/>
        <w:ind w:right="285" w:firstLine="480"/>
        <w:jc w:val="both"/>
      </w:pPr>
      <w:r>
        <w:rPr/>
        <w:t>公司通过超图道乐并购基金参股世纪安图，持有该公司</w:t>
      </w:r>
      <w:r>
        <w:rPr>
          <w:rFonts w:ascii="Times New Roman" w:hAnsi="Times New Roman" w:cs="Times New Roman" w:eastAsia="Times New Roman" w:hint="default"/>
        </w:rPr>
        <w:t>25%</w:t>
      </w:r>
      <w:r>
        <w:rPr/>
        <w:t>的股权。并购基金的投资 进一步完善了公司不动产登记市场战略，有助于公司深度携手战略合作伙伴夯实在不动登 记业务领域的市场占有率。</w:t>
      </w:r>
    </w:p>
    <w:p>
      <w:pPr>
        <w:pStyle w:val="BodyText"/>
        <w:spacing w:line="357" w:lineRule="auto" w:before="46"/>
        <w:ind w:right="269" w:firstLine="480"/>
        <w:jc w:val="left"/>
      </w:pPr>
      <w:r>
        <w:rPr/>
        <w:t>此外，报告期内，公司启动了发行股份及支付现金收购南京国图的资产重组事项，截 至本报告报出，该事项已获得证监会发审委有条件通过。</w:t>
      </w:r>
    </w:p>
    <w:p>
      <w:pPr>
        <w:spacing w:line="240" w:lineRule="auto" w:before="11"/>
        <w:rPr>
          <w:rFonts w:ascii="宋体" w:hAnsi="宋体" w:cs="宋体" w:eastAsia="宋体" w:hint="default"/>
          <w:sz w:val="19"/>
          <w:szCs w:val="19"/>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、地理信息产业发展趋势和预测</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t>（</w:t>
      </w:r>
      <w:r>
        <w:rPr>
          <w:rFonts w:ascii="宋体" w:hAnsi="宋体" w:cs="宋体" w:eastAsia="宋体" w:hint="default"/>
        </w:rPr>
        <w:t>1</w:t>
      </w:r>
      <w:r>
        <w:rPr/>
        <w:t>）地理信息产业支持政策持续出台，产业环境持续优化。</w:t>
      </w:r>
    </w:p>
    <w:p>
      <w:pPr>
        <w:pStyle w:val="BodyText"/>
        <w:spacing w:line="240" w:lineRule="auto" w:before="154"/>
        <w:ind w:left="617" w:right="0"/>
        <w:jc w:val="left"/>
      </w:pPr>
      <w:r>
        <w:rPr/>
        <w:t>自</w:t>
      </w:r>
      <w:r>
        <w:rPr>
          <w:spacing w:val="-61"/>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月《国务院办公厅关于促进地理信息产业发展的意见》出台以来，相关部</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right="166"/>
        <w:jc w:val="left"/>
      </w:pPr>
      <w:r>
        <w:rPr/>
        <w:t>门和地方先后出台了一系列相应政策，进一步推动了《意见》精神的贯彻落地。国家测绘 </w:t>
      </w:r>
      <w:r>
        <w:rPr>
          <w:spacing w:val="-3"/>
        </w:rPr>
        <w:t>地理信息局联合国家发展改革委出台《国家地理信息产业发展规划》（</w:t>
      </w:r>
      <w:r>
        <w:rPr>
          <w:rFonts w:ascii="宋体" w:hAnsi="宋体" w:cs="宋体" w:eastAsia="宋体" w:hint="default"/>
          <w:spacing w:val="-3"/>
        </w:rPr>
        <w:t>2014-2020</w:t>
      </w:r>
      <w:r>
        <w:rPr>
          <w:rFonts w:ascii="宋体" w:hAnsi="宋体" w:cs="宋体" w:eastAsia="宋体" w:hint="default"/>
          <w:spacing w:val="-60"/>
        </w:rPr>
        <w:t> </w:t>
      </w:r>
      <w:r>
        <w:rPr>
          <w:spacing w:val="-30"/>
        </w:rPr>
        <w:t>年），提</w:t>
      </w:r>
      <w:r>
        <w:rPr/>
        <w:t> 出产业发展总体要求、重点领域，明确主要任务和政策措施。此外，国家测绘地理信息局 </w:t>
      </w:r>
      <w:r>
        <w:rPr>
          <w:spacing w:val="-3"/>
        </w:rPr>
        <w:t>修订并印发《测绘资质管理规定》和《测绘资质分级标准》，总体上降低了行业准入门槛，</w:t>
      </w:r>
      <w:r>
        <w:rPr/>
        <w:t> 强化对从事地理信息相关企业单位的引导、规范、协调和服务，为企业发展营造更加宽 松、有序的发展环境，推动地理信息市场健康发展。国家测绘地理信息局制定了《国家测 绘地理信息局立法规划（</w:t>
      </w:r>
      <w:r>
        <w:rPr>
          <w:rFonts w:ascii="宋体" w:hAnsi="宋体" w:cs="宋体" w:eastAsia="宋体" w:hint="default"/>
        </w:rPr>
        <w:t>2015</w:t>
      </w:r>
      <w:r>
        <w:rPr/>
        <w:t>—</w:t>
      </w:r>
      <w:r>
        <w:rPr>
          <w:rFonts w:ascii="宋体" w:hAnsi="宋体" w:cs="宋体" w:eastAsia="宋体" w:hint="default"/>
        </w:rPr>
        <w:t>2020</w:t>
      </w:r>
      <w:r>
        <w:rPr>
          <w:rFonts w:ascii="宋体" w:hAnsi="宋体" w:cs="宋体" w:eastAsia="宋体" w:hint="default"/>
          <w:spacing w:val="-60"/>
        </w:rPr>
        <w:t> </w:t>
      </w:r>
      <w:r>
        <w:rPr>
          <w:spacing w:val="-10"/>
        </w:rPr>
        <w:t>年）》，将“促进地理信息应用”作为七个立法重点之</w:t>
      </w:r>
      <w:r>
        <w:rPr/>
        <w:t> 一。各地依托现有产业资源和人才资源，有针对性地对贯彻落实《意见》精神进行了部 署，目前已有浙江、湖北、吉林、江苏、新疆等</w:t>
      </w:r>
      <w:r>
        <w:rPr>
          <w:spacing w:val="-60"/>
        </w:rPr>
        <w:t> </w:t>
      </w:r>
      <w:r>
        <w:rPr>
          <w:rFonts w:ascii="宋体" w:hAnsi="宋体" w:cs="宋体" w:eastAsia="宋体" w:hint="default"/>
        </w:rPr>
        <w:t>20</w:t>
      </w:r>
      <w:r>
        <w:rPr>
          <w:rFonts w:ascii="宋体" w:hAnsi="宋体" w:cs="宋体" w:eastAsia="宋体" w:hint="default"/>
          <w:spacing w:val="-60"/>
        </w:rPr>
        <w:t> </w:t>
      </w:r>
      <w:r>
        <w:rPr/>
        <w:t>个省（区）人民政府出台了促进地理信 息产业发展的鼓励性政策文件。</w:t>
      </w:r>
    </w:p>
    <w:p>
      <w:pPr>
        <w:pStyle w:val="BodyText"/>
        <w:spacing w:line="357" w:lineRule="auto"/>
        <w:ind w:right="269" w:firstLine="480"/>
        <w:jc w:val="left"/>
      </w:pPr>
      <w:r>
        <w:rPr/>
        <w:t>在国家对地理信息产业的重视和支持下，地理信息产业环境持续优化，地理信息消费 环境持续改善，地理信息产业规模快速增长、质量效益不断提升。</w:t>
      </w:r>
    </w:p>
    <w:p>
      <w:pPr>
        <w:pStyle w:val="BodyText"/>
        <w:spacing w:line="357" w:lineRule="auto"/>
        <w:ind w:right="229" w:firstLine="480"/>
        <w:jc w:val="left"/>
      </w:pPr>
      <w:r>
        <w:rPr>
          <w:spacing w:val="-4"/>
        </w:rPr>
        <w:t>（</w:t>
      </w:r>
      <w:r>
        <w:rPr>
          <w:rFonts w:ascii="宋体" w:hAnsi="宋体" w:cs="宋体" w:eastAsia="宋体" w:hint="default"/>
          <w:spacing w:val="-4"/>
        </w:rPr>
        <w:t>2</w:t>
      </w:r>
      <w:r>
        <w:rPr>
          <w:spacing w:val="-4"/>
        </w:rPr>
        <w:t>）“地理信息</w:t>
      </w:r>
      <w:r>
        <w:rPr>
          <w:rFonts w:ascii="宋体" w:hAnsi="宋体" w:cs="宋体" w:eastAsia="宋体" w:hint="default"/>
          <w:spacing w:val="-4"/>
        </w:rPr>
        <w:t>+</w:t>
      </w:r>
      <w:r>
        <w:rPr>
          <w:spacing w:val="-4"/>
        </w:rPr>
        <w:t>”行动战略将进一步推动地理信息产业的发展，形成地理信息新业</w:t>
      </w:r>
      <w:r>
        <w:rPr/>
        <w:t> 态。</w:t>
      </w:r>
    </w:p>
    <w:p>
      <w:pPr>
        <w:pStyle w:val="BodyText"/>
        <w:spacing w:line="240" w:lineRule="auto"/>
        <w:ind w:left="617" w:right="0"/>
        <w:jc w:val="left"/>
      </w:pPr>
      <w:r>
        <w:rPr>
          <w:rFonts w:ascii="宋体" w:hAnsi="宋体" w:cs="宋体" w:eastAsia="宋体" w:hint="default"/>
        </w:rPr>
        <w:t>2015</w:t>
      </w:r>
      <w:r>
        <w:rPr>
          <w:rFonts w:ascii="宋体" w:hAnsi="宋体" w:cs="宋体" w:eastAsia="宋体" w:hint="default"/>
          <w:spacing w:val="-61"/>
        </w:rPr>
        <w:t> </w:t>
      </w:r>
      <w:r>
        <w:rPr/>
        <w:t>年</w:t>
      </w:r>
      <w:r>
        <w:rPr>
          <w:spacing w:val="-120"/>
        </w:rPr>
        <w:t>，</w:t>
      </w:r>
      <w:r>
        <w:rPr/>
        <w:t>“互联网</w:t>
      </w:r>
      <w:r>
        <w:rPr>
          <w:rFonts w:ascii="宋体" w:hAnsi="宋体" w:cs="宋体" w:eastAsia="宋体" w:hint="default"/>
        </w:rPr>
        <w:t>+</w:t>
      </w:r>
      <w:r>
        <w:rPr/>
        <w:t>”正当红</w:t>
      </w:r>
      <w:r>
        <w:rPr>
          <w:spacing w:val="-120"/>
        </w:rPr>
        <w:t>，</w:t>
      </w:r>
      <w:r>
        <w:rPr/>
        <w:t>“地理信息</w:t>
      </w:r>
      <w:r>
        <w:rPr>
          <w:rFonts w:ascii="宋体" w:hAnsi="宋体" w:cs="宋体" w:eastAsia="宋体" w:hint="default"/>
        </w:rPr>
        <w:t>+</w:t>
      </w:r>
      <w:r>
        <w:rPr/>
        <w:t>”行动战略也在积极推进。国家测绘地理信</w:t>
      </w:r>
    </w:p>
    <w:p>
      <w:pPr>
        <w:pStyle w:val="BodyText"/>
        <w:spacing w:line="357" w:lineRule="auto" w:before="154"/>
        <w:ind w:right="166"/>
        <w:jc w:val="both"/>
      </w:pPr>
      <w:r>
        <w:rPr/>
        <w:t>息局局长库热西在</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日举行的地理信息产业企业家座谈会中首次指出，地理信 息也是一种信息能源，我们不仅要利用“互联网</w:t>
      </w:r>
      <w:r>
        <w:rPr>
          <w:rFonts w:ascii="宋体" w:hAnsi="宋体" w:cs="宋体" w:eastAsia="宋体" w:hint="default"/>
        </w:rPr>
        <w:t>+</w:t>
      </w:r>
      <w:r>
        <w:rPr/>
        <w:t>”激发出其巨大的能量，而且要通过积极 推进“地理信息</w:t>
      </w:r>
      <w:r>
        <w:rPr>
          <w:rFonts w:ascii="宋体" w:hAnsi="宋体" w:cs="宋体" w:eastAsia="宋体" w:hint="default"/>
        </w:rPr>
        <w:t>+</w:t>
      </w:r>
      <w:r>
        <w:rPr/>
        <w:t>”行动策略，产生出新的信息能源，催生新的产品、新的服务、新的增长 极。</w:t>
      </w:r>
    </w:p>
    <w:p>
      <w:pPr>
        <w:pStyle w:val="BodyText"/>
        <w:spacing w:line="357" w:lineRule="auto"/>
        <w:ind w:right="285" w:firstLine="480"/>
        <w:jc w:val="both"/>
      </w:pPr>
      <w:r>
        <w:rPr/>
        <w:t>地理信息产业是战略性新兴产业，也是生产性的服务业，需要与其他行业融合创新， 共同发挥作用。在经济新常态的背景下，移动互联网产业加速发展的机遇与经济下行压力 给产业带来的挑战并存，地理信息产业与物联网、大数据等新兴产业正在加快融合，不断 催生出新的商业模式和新的服务模式，形成新的业态。</w:t>
      </w:r>
    </w:p>
    <w:p>
      <w:pPr>
        <w:pStyle w:val="BodyText"/>
        <w:spacing w:line="357" w:lineRule="auto"/>
        <w:ind w:right="149" w:firstLine="480"/>
        <w:jc w:val="left"/>
      </w:pPr>
      <w:r>
        <w:rPr/>
        <w:t>“地理信息</w:t>
      </w:r>
      <w:r>
        <w:rPr>
          <w:rFonts w:ascii="宋体" w:hAnsi="宋体" w:cs="宋体" w:eastAsia="宋体" w:hint="default"/>
        </w:rPr>
        <w:t>+</w:t>
      </w:r>
      <w:r>
        <w:rPr/>
        <w:t>”将地理信息行业多年发展积累的数据资源整合盘活，预示着重构模式创 </w:t>
      </w:r>
      <w:r>
        <w:rPr>
          <w:spacing w:val="-3"/>
        </w:rPr>
        <w:t>新产品的信息能源创新时代已经来临。“地理信息+”行动战略的提出与推进，让地理信息</w:t>
      </w:r>
      <w:r>
        <w:rPr/>
        <w:t> 与更多领域跨界融合，催生出许多位置服务的新产品、新服务和新业态，开辟出新的市场 空间。</w:t>
      </w:r>
    </w:p>
    <w:p>
      <w:pPr>
        <w:spacing w:after="0" w:line="357"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rFonts w:ascii="Times New Roman" w:hAnsi="Times New Roman" w:cs="Times New Roman" w:eastAsia="Times New Roman" w:hint="default"/>
        </w:rPr>
        <w:t>3</w:t>
      </w:r>
      <w:r>
        <w:rPr/>
        <w:t>、公司面临的机遇和挑战</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before="0"/>
        <w:ind w:left="617" w:right="269"/>
        <w:jc w:val="left"/>
      </w:pPr>
      <w:r>
        <w:rPr/>
        <w:t>（</w:t>
      </w:r>
      <w:r>
        <w:rPr>
          <w:rFonts w:ascii="宋体" w:hAnsi="宋体" w:cs="宋体" w:eastAsia="宋体" w:hint="default"/>
        </w:rPr>
        <w:t>1</w:t>
      </w:r>
      <w:r>
        <w:rPr/>
        <w:t>）基于北斗高精度导航的空间地理位置服务带来发展机遇 卫星导航与位置服务产业是战略性新兴产业，已成为世界各国经济社会发展必不可少</w:t>
      </w:r>
    </w:p>
    <w:p>
      <w:pPr>
        <w:pStyle w:val="BodyText"/>
        <w:spacing w:line="357" w:lineRule="auto"/>
        <w:ind w:left="617" w:right="269" w:hanging="480"/>
        <w:jc w:val="left"/>
      </w:pPr>
      <w:r>
        <w:rPr/>
        <w:t>的重要手段和抢占未来竞争制高点的重要突破口。 当前，我国北斗卫星导航系统正在步入全球覆盖的新进程，国内卫星导航与位置服务</w:t>
      </w:r>
    </w:p>
    <w:p>
      <w:pPr>
        <w:pStyle w:val="BodyText"/>
        <w:spacing w:line="357" w:lineRule="auto"/>
        <w:ind w:right="149"/>
        <w:jc w:val="left"/>
      </w:pPr>
      <w:r>
        <w:rPr/>
        <w:t>产业获得了高速发展，北斗卫星导航技术已广泛应用于测绘、交通运输、海洋渔业、电 力、能源、精细农业等专业领域，以及智能手机、车载导航等大众消费领域，正在朝着更 加精细化、智慧化、服务化的方向发展。北斗产业化应用不仅需要与行业深度融合，同时 也面临着实现自主可控的全新挑战。发展自主可控的测绘地理信息产业，构建北斗高精度</w:t>
      </w:r>
      <w:r>
        <w:rPr>
          <w:rFonts w:ascii="宋体" w:hAnsi="宋体" w:cs="宋体" w:eastAsia="宋体" w:hint="default"/>
        </w:rPr>
        <w:t>+ </w:t>
      </w:r>
      <w:r>
        <w:rPr/>
        <w:t>高分卫星</w:t>
      </w:r>
      <w:r>
        <w:rPr>
          <w:rFonts w:ascii="宋体" w:hAnsi="宋体" w:cs="宋体" w:eastAsia="宋体" w:hint="default"/>
        </w:rPr>
        <w:t>+GIS</w:t>
      </w:r>
      <w:r>
        <w:rPr>
          <w:rFonts w:ascii="宋体" w:hAnsi="宋体" w:cs="宋体" w:eastAsia="宋体" w:hint="default"/>
          <w:spacing w:val="-60"/>
        </w:rPr>
        <w:t> </w:t>
      </w:r>
      <w:r>
        <w:rPr/>
        <w:t>一体化的地理空间信息整体解决方案，将为构建自主、安全、可控空间信息 体系和国防安全提供重要的技术保障。</w:t>
      </w:r>
    </w:p>
    <w:p>
      <w:pPr>
        <w:pStyle w:val="BodyText"/>
        <w:spacing w:line="357" w:lineRule="auto"/>
        <w:ind w:right="269" w:firstLine="480"/>
        <w:jc w:val="left"/>
      </w:pPr>
      <w:r>
        <w:rPr/>
        <w:t>顺应产业新形势的发展，公司推出了创新的云端一体化的</w:t>
      </w:r>
      <w:r>
        <w:rPr>
          <w:spacing w:val="-61"/>
        </w:rPr>
        <w:t> </w:t>
      </w:r>
      <w:r>
        <w:rPr>
          <w:rFonts w:ascii="宋体" w:hAnsi="宋体" w:cs="宋体" w:eastAsia="宋体" w:hint="default"/>
        </w:rPr>
        <w:t>GIS</w:t>
      </w:r>
      <w:r>
        <w:rPr>
          <w:rFonts w:ascii="宋体" w:hAnsi="宋体" w:cs="宋体" w:eastAsia="宋体" w:hint="default"/>
          <w:spacing w:val="-61"/>
        </w:rPr>
        <w:t> </w:t>
      </w:r>
      <w:r>
        <w:rPr/>
        <w:t>平台软件，不断创新北 斗高精度应用，形成了“北斗高精度</w:t>
      </w:r>
      <w:r>
        <w:rPr>
          <w:rFonts w:ascii="宋体" w:hAnsi="宋体" w:cs="宋体" w:eastAsia="宋体" w:hint="default"/>
        </w:rPr>
        <w:t>+</w:t>
      </w:r>
      <w:r>
        <w:rPr/>
        <w:t>高分卫星+GIS”一体化的地理空间信息整体解决方 案。该方案利用海量时空数据管理、</w:t>
      </w:r>
      <w:r>
        <w:rPr>
          <w:rFonts w:ascii="宋体" w:hAnsi="宋体" w:cs="宋体" w:eastAsia="宋体" w:hint="default"/>
        </w:rPr>
        <w:t>GIS</w:t>
      </w:r>
      <w:r>
        <w:rPr>
          <w:rFonts w:ascii="宋体" w:hAnsi="宋体" w:cs="宋体" w:eastAsia="宋体" w:hint="default"/>
          <w:spacing w:val="-60"/>
        </w:rPr>
        <w:t> </w:t>
      </w:r>
      <w:r>
        <w:rPr/>
        <w:t>技术、消息总线、高性能时空大数据挖掘、北斗 卫星定位导航以及北斗短报文等关键技术，建设安全自主可控、高性能、高并发、跨平 台、集成灵活的北斗导航电子地图基础服务平台，推进行业服务模式升级，为北斗卫星导 航系统大规模应用推广提供基础支撑。</w:t>
      </w:r>
    </w:p>
    <w:p>
      <w:pPr>
        <w:pStyle w:val="BodyText"/>
        <w:spacing w:line="240" w:lineRule="auto"/>
        <w:ind w:left="617" w:right="229"/>
        <w:jc w:val="left"/>
      </w:pPr>
      <w:r>
        <w:rPr/>
        <w:t>（</w:t>
      </w:r>
      <w:r>
        <w:rPr>
          <w:rFonts w:ascii="宋体" w:hAnsi="宋体" w:cs="宋体" w:eastAsia="宋体" w:hint="default"/>
        </w:rPr>
        <w:t>2</w:t>
      </w:r>
      <w:r>
        <w:rPr/>
        <w:t>）不动产登记市场的集中建设带来巨大市场机遇</w:t>
      </w:r>
    </w:p>
    <w:p>
      <w:pPr>
        <w:pStyle w:val="BodyText"/>
        <w:spacing w:line="357" w:lineRule="auto" w:before="154"/>
        <w:ind w:right="149" w:firstLine="480"/>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4"/>
        </w:rPr>
        <w:t>日，《不动产登记暂行条例》正式实施。根据该条例要求，我国境内包</w:t>
      </w:r>
      <w:r>
        <w:rPr/>
        <w:t> </w:t>
      </w:r>
      <w:r>
        <w:rPr>
          <w:spacing w:val="-3"/>
        </w:rPr>
        <w:t>括土地、房产、林草、海域等各类不动产，将统一登记颁发“不动产登记证书”，原有分散</w:t>
      </w:r>
      <w:r>
        <w:rPr/>
        <w:t> 于多个部门的不动产登记职责将整合到各级不动产登记局部门承担。</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日，国</w:t>
      </w:r>
    </w:p>
    <w:p>
      <w:pPr>
        <w:pStyle w:val="BodyText"/>
        <w:spacing w:line="357" w:lineRule="auto"/>
        <w:ind w:right="210"/>
        <w:jc w:val="left"/>
      </w:pPr>
      <w:r>
        <w:rPr>
          <w:spacing w:val="-4"/>
        </w:rPr>
        <w:t>土资源部印发《关于做好不动产登记信息管理基础平台建设工作通知》，要求</w:t>
      </w:r>
      <w:r>
        <w:rPr>
          <w:spacing w:val="-54"/>
        </w:rPr>
        <w:t> </w:t>
      </w:r>
      <w:r>
        <w:rPr>
          <w:rFonts w:ascii="宋体" w:hAnsi="宋体" w:cs="宋体" w:eastAsia="宋体" w:hint="default"/>
        </w:rPr>
        <w:t>2015</w:t>
      </w:r>
      <w:r>
        <w:rPr>
          <w:rFonts w:ascii="宋体" w:hAnsi="宋体" w:cs="宋体" w:eastAsia="宋体" w:hint="default"/>
          <w:spacing w:val="-55"/>
        </w:rPr>
        <w:t> </w:t>
      </w:r>
      <w:r>
        <w:rPr/>
        <w:t>下半年</w:t>
      </w:r>
      <w:r>
        <w:rPr>
          <w:spacing w:val="-115"/>
        </w:rPr>
        <w:t> </w:t>
      </w:r>
      <w:r>
        <w:rPr/>
        <w:t>各地完成不动产登记信息平台上线试运行，</w:t>
      </w:r>
      <w:r>
        <w:rPr>
          <w:rFonts w:ascii="宋体" w:hAnsi="宋体" w:cs="宋体" w:eastAsia="宋体" w:hint="default"/>
        </w:rPr>
        <w:t>2016</w:t>
      </w:r>
      <w:r>
        <w:rPr>
          <w:rFonts w:ascii="宋体" w:hAnsi="宋体" w:cs="宋体" w:eastAsia="宋体" w:hint="default"/>
          <w:spacing w:val="-60"/>
        </w:rPr>
        <w:t> </w:t>
      </w:r>
      <w:r>
        <w:rPr/>
        <w:t>年基本完成各级不动产登记数据整合建 库，</w:t>
      </w:r>
      <w:r>
        <w:rPr>
          <w:rFonts w:ascii="宋体" w:hAnsi="宋体" w:cs="宋体" w:eastAsia="宋体" w:hint="default"/>
        </w:rPr>
        <w:t>2017</w:t>
      </w:r>
      <w:r>
        <w:rPr>
          <w:rFonts w:ascii="宋体" w:hAnsi="宋体" w:cs="宋体" w:eastAsia="宋体" w:hint="default"/>
          <w:spacing w:val="-61"/>
        </w:rPr>
        <w:t> </w:t>
      </w:r>
      <w:r>
        <w:rPr/>
        <w:t>年基本建成覆盖全国的不动产登记信息平台。由此可见，今明两年为不动产登记 集中建设期。</w:t>
      </w:r>
    </w:p>
    <w:p>
      <w:pPr>
        <w:pStyle w:val="BodyText"/>
        <w:spacing w:line="357" w:lineRule="auto"/>
        <w:ind w:right="287" w:firstLine="480"/>
        <w:jc w:val="both"/>
      </w:pPr>
      <w:r>
        <w:rPr/>
        <w:t>根据国家相关部门发布的不动产数据库规程及不动产权籍调查相关规范，不动产单元 需要在空间上准确定位，才能确保统一登记不错不重不漏，从而实现房地信息一体化管理 和不动产登记信息一张图管理。因此，测绘和地理信息相关技术是确保不动产统一登记信 息系统建设的基础环节，不动产统计登记系统必须基于地理信息系统才能完成基础数据库</w:t>
      </w:r>
    </w:p>
    <w:p>
      <w:pPr>
        <w:spacing w:after="0" w:line="357" w:lineRule="auto"/>
        <w:jc w:val="both"/>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right="212"/>
        <w:jc w:val="left"/>
      </w:pPr>
      <w:r>
        <w:rPr/>
        <w:t>建设和发证等基础业务。全国不动产登记系统建设工作涉及省级（</w:t>
      </w:r>
      <w:r>
        <w:rPr>
          <w:rFonts w:ascii="宋体" w:hAnsi="宋体" w:cs="宋体" w:eastAsia="宋体" w:hint="default"/>
        </w:rPr>
        <w:t>32</w:t>
      </w:r>
      <w:r>
        <w:rPr>
          <w:rFonts w:ascii="宋体" w:hAnsi="宋体" w:cs="宋体" w:eastAsia="宋体" w:hint="default"/>
          <w:spacing w:val="-60"/>
        </w:rPr>
        <w:t> </w:t>
      </w:r>
      <w:r>
        <w:rPr>
          <w:spacing w:val="-14"/>
        </w:rPr>
        <w:t>个）、市级（</w:t>
      </w:r>
      <w:r>
        <w:rPr>
          <w:rFonts w:ascii="宋体" w:hAnsi="宋体" w:cs="宋体" w:eastAsia="宋体" w:hint="default"/>
          <w:spacing w:val="-14"/>
        </w:rPr>
        <w:t>333</w:t>
      </w:r>
      <w:r>
        <w:rPr>
          <w:rFonts w:ascii="宋体" w:hAnsi="宋体" w:cs="宋体" w:eastAsia="宋体" w:hint="default"/>
          <w:spacing w:val="-115"/>
        </w:rPr>
        <w:t> </w:t>
      </w:r>
      <w:r>
        <w:rPr>
          <w:spacing w:val="-11"/>
        </w:rPr>
        <w:t>个）、区县级（</w:t>
      </w:r>
      <w:r>
        <w:rPr>
          <w:rFonts w:ascii="宋体" w:hAnsi="宋体" w:cs="宋体" w:eastAsia="宋体" w:hint="default"/>
          <w:spacing w:val="-11"/>
        </w:rPr>
        <w:t>2,856</w:t>
      </w:r>
      <w:r>
        <w:rPr>
          <w:rFonts w:ascii="宋体" w:hAnsi="宋体" w:cs="宋体" w:eastAsia="宋体" w:hint="default"/>
          <w:spacing w:val="-51"/>
        </w:rPr>
        <w:t> </w:t>
      </w:r>
      <w:r>
        <w:rPr/>
        <w:t>个）等各级不动产登记主管部门。因此，国家大力推行不动产统一登 记，将为地理信息及测绘行业发展带来巨大的市场机遇。</w:t>
      </w:r>
    </w:p>
    <w:p>
      <w:pPr>
        <w:pStyle w:val="BodyText"/>
        <w:spacing w:line="357" w:lineRule="auto"/>
        <w:ind w:right="285" w:firstLine="480"/>
        <w:jc w:val="both"/>
      </w:pPr>
      <w:r>
        <w:rPr/>
        <w:t>对此，公司已提前进行了布局，增加了销售力量，并研发了多个与不动产登记相关的 产品，此外，通过全资收购、参股和发行股票收购资产等方式，整合业内优秀公司，通过 资本方式加速不动产登记业务领域的市场占有率。</w:t>
      </w:r>
    </w:p>
    <w:p>
      <w:pPr>
        <w:pStyle w:val="BodyText"/>
        <w:spacing w:line="240" w:lineRule="auto"/>
        <w:ind w:left="617" w:right="229"/>
        <w:jc w:val="left"/>
      </w:pPr>
      <w:r>
        <w:rPr/>
        <w:t>（</w:t>
      </w:r>
      <w:r>
        <w:rPr>
          <w:rFonts w:ascii="宋体" w:hAnsi="宋体" w:cs="宋体" w:eastAsia="宋体" w:hint="default"/>
        </w:rPr>
        <w:t>3</w:t>
      </w:r>
      <w:r>
        <w:rPr/>
        <w:t>）</w:t>
      </w:r>
      <w:r>
        <w:rPr>
          <w:rFonts w:ascii="宋体" w:hAnsi="宋体" w:cs="宋体" w:eastAsia="宋体" w:hint="default"/>
        </w:rPr>
        <w:t>BIM</w:t>
      </w:r>
      <w:r>
        <w:rPr>
          <w:rFonts w:ascii="宋体" w:hAnsi="宋体" w:cs="宋体" w:eastAsia="宋体" w:hint="default"/>
          <w:spacing w:val="-61"/>
        </w:rPr>
        <w:t> </w:t>
      </w:r>
      <w:r>
        <w:rPr/>
        <w:t>技术的全面应用将进一步促进</w:t>
      </w:r>
      <w:r>
        <w:rPr>
          <w:spacing w:val="-61"/>
        </w:rPr>
        <w:t> </w:t>
      </w:r>
      <w:r>
        <w:rPr>
          <w:rFonts w:ascii="宋体" w:hAnsi="宋体" w:cs="宋体" w:eastAsia="宋体" w:hint="default"/>
        </w:rPr>
        <w:t>GIS</w:t>
      </w:r>
      <w:r>
        <w:rPr>
          <w:rFonts w:ascii="宋体" w:hAnsi="宋体" w:cs="宋体" w:eastAsia="宋体" w:hint="default"/>
          <w:spacing w:val="-61"/>
        </w:rPr>
        <w:t> </w:t>
      </w:r>
      <w:r>
        <w:rPr/>
        <w:t>的应用</w:t>
      </w:r>
    </w:p>
    <w:p>
      <w:pPr>
        <w:pStyle w:val="BodyText"/>
        <w:spacing w:line="357" w:lineRule="auto" w:before="154"/>
        <w:ind w:right="285" w:firstLine="480"/>
        <w:jc w:val="both"/>
      </w:pPr>
      <w:r>
        <w:rPr>
          <w:rFonts w:ascii="宋体" w:hAnsi="宋体" w:cs="宋体" w:eastAsia="宋体" w:hint="default"/>
        </w:rPr>
        <w:t>BIM</w:t>
      </w:r>
      <w:r>
        <w:rPr>
          <w:rFonts w:ascii="宋体" w:hAnsi="宋体" w:cs="宋体" w:eastAsia="宋体" w:hint="default"/>
          <w:spacing w:val="-61"/>
        </w:rPr>
        <w:t> </w:t>
      </w:r>
      <w:r>
        <w:rPr/>
        <w:t>是建筑信息模型（</w:t>
      </w:r>
      <w:r>
        <w:rPr>
          <w:rFonts w:ascii="宋体" w:hAnsi="宋体" w:cs="宋体" w:eastAsia="宋体" w:hint="default"/>
        </w:rPr>
        <w:t>Building Information Modeling</w:t>
      </w:r>
      <w:r>
        <w:rPr/>
        <w:t>）的缩写，</w:t>
      </w:r>
      <w:r>
        <w:rPr>
          <w:rFonts w:ascii="宋体" w:hAnsi="宋体" w:cs="宋体" w:eastAsia="宋体" w:hint="default"/>
        </w:rPr>
        <w:t>BIM</w:t>
      </w:r>
      <w:r>
        <w:rPr>
          <w:rFonts w:ascii="宋体" w:hAnsi="宋体" w:cs="宋体" w:eastAsia="宋体" w:hint="default"/>
          <w:spacing w:val="-60"/>
        </w:rPr>
        <w:t> </w:t>
      </w:r>
      <w:r>
        <w:rPr/>
        <w:t>平台核心的技 术之一，是实现三维地理信息系统（</w:t>
      </w:r>
      <w:r>
        <w:rPr>
          <w:rFonts w:ascii="宋体" w:hAnsi="宋体" w:cs="宋体" w:eastAsia="宋体" w:hint="default"/>
        </w:rPr>
        <w:t>3DGIS</w:t>
      </w:r>
      <w:r>
        <w:rPr/>
        <w:t>）与建筑信息模型（</w:t>
      </w:r>
      <w:r>
        <w:rPr>
          <w:rFonts w:ascii="宋体" w:hAnsi="宋体" w:cs="宋体" w:eastAsia="宋体" w:hint="default"/>
        </w:rPr>
        <w:t>BIM</w:t>
      </w:r>
      <w:r>
        <w:rPr/>
        <w:t>）之间无缝和属性信息 无损集成应用。通过</w:t>
      </w:r>
      <w:r>
        <w:rPr>
          <w:spacing w:val="-61"/>
        </w:rPr>
        <w:t> </w:t>
      </w:r>
      <w:r>
        <w:rPr>
          <w:rFonts w:ascii="宋体" w:hAnsi="宋体" w:cs="宋体" w:eastAsia="宋体" w:hint="default"/>
        </w:rPr>
        <w:t>3DGIS</w:t>
      </w:r>
      <w:r>
        <w:rPr>
          <w:rFonts w:ascii="宋体" w:hAnsi="宋体" w:cs="宋体" w:eastAsia="宋体" w:hint="default"/>
          <w:spacing w:val="-61"/>
        </w:rPr>
        <w:t> </w:t>
      </w:r>
      <w:r>
        <w:rPr/>
        <w:t>与</w:t>
      </w:r>
      <w:r>
        <w:rPr>
          <w:spacing w:val="-61"/>
        </w:rPr>
        <w:t> </w:t>
      </w:r>
      <w:r>
        <w:rPr>
          <w:rFonts w:ascii="宋体" w:hAnsi="宋体" w:cs="宋体" w:eastAsia="宋体" w:hint="default"/>
        </w:rPr>
        <w:t>BIM</w:t>
      </w:r>
      <w:r>
        <w:rPr>
          <w:rFonts w:ascii="宋体" w:hAnsi="宋体" w:cs="宋体" w:eastAsia="宋体" w:hint="default"/>
          <w:spacing w:val="-61"/>
        </w:rPr>
        <w:t> </w:t>
      </w:r>
      <w:r>
        <w:rPr/>
        <w:t>之间无缝和无损集成技术，还原了三维地理信息与三维 建筑信息一体化客观存在，更重要的意义是通过该技术，将</w:t>
      </w:r>
      <w:r>
        <w:rPr>
          <w:spacing w:val="-60"/>
        </w:rPr>
        <w:t> </w:t>
      </w:r>
      <w:r>
        <w:rPr>
          <w:rFonts w:ascii="宋体" w:hAnsi="宋体" w:cs="宋体" w:eastAsia="宋体" w:hint="default"/>
        </w:rPr>
        <w:t>GIS</w:t>
      </w:r>
      <w:r>
        <w:rPr>
          <w:rFonts w:ascii="宋体" w:hAnsi="宋体" w:cs="宋体" w:eastAsia="宋体" w:hint="default"/>
          <w:spacing w:val="-60"/>
        </w:rPr>
        <w:t> </w:t>
      </w:r>
      <w:r>
        <w:rPr/>
        <w:t>发展了四十多年的技术、 方法、经验直接用于</w:t>
      </w:r>
      <w:r>
        <w:rPr>
          <w:spacing w:val="-61"/>
        </w:rPr>
        <w:t> </w:t>
      </w:r>
      <w:r>
        <w:rPr>
          <w:rFonts w:ascii="宋体" w:hAnsi="宋体" w:cs="宋体" w:eastAsia="宋体" w:hint="default"/>
        </w:rPr>
        <w:t>BIM</w:t>
      </w:r>
      <w:r>
        <w:rPr>
          <w:rFonts w:ascii="宋体" w:hAnsi="宋体" w:cs="宋体" w:eastAsia="宋体" w:hint="default"/>
          <w:spacing w:val="-60"/>
        </w:rPr>
        <w:t> </w:t>
      </w:r>
      <w:r>
        <w:rPr/>
        <w:t>模型的各类应用，推动了</w:t>
      </w:r>
      <w:r>
        <w:rPr>
          <w:spacing w:val="-60"/>
        </w:rPr>
        <w:t> </w:t>
      </w:r>
      <w:r>
        <w:rPr>
          <w:rFonts w:ascii="宋体" w:hAnsi="宋体" w:cs="宋体" w:eastAsia="宋体" w:hint="default"/>
        </w:rPr>
        <w:t>BIM</w:t>
      </w:r>
      <w:r>
        <w:rPr>
          <w:rFonts w:ascii="宋体" w:hAnsi="宋体" w:cs="宋体" w:eastAsia="宋体" w:hint="default"/>
          <w:spacing w:val="-60"/>
        </w:rPr>
        <w:t> </w:t>
      </w:r>
      <w:r>
        <w:rPr/>
        <w:t>的技术进步。</w:t>
      </w:r>
    </w:p>
    <w:p>
      <w:pPr>
        <w:pStyle w:val="BodyText"/>
        <w:spacing w:line="357" w:lineRule="auto"/>
        <w:ind w:right="149" w:firstLine="480"/>
        <w:jc w:val="left"/>
      </w:pPr>
      <w:r>
        <w:rPr/>
        <w:t>现代化、工业化、信息化是我国建筑业发展的三个方向，建筑信息模型（</w:t>
      </w:r>
      <w:r>
        <w:rPr>
          <w:rFonts w:ascii="宋体" w:hAnsi="宋体" w:cs="宋体" w:eastAsia="宋体" w:hint="default"/>
        </w:rPr>
        <w:t>BIM</w:t>
      </w:r>
      <w:r>
        <w:rPr/>
        <w:t>）技术将 成为中国建筑业信息化未来十年的主旋律。目前，</w:t>
      </w:r>
      <w:r>
        <w:rPr>
          <w:rFonts w:ascii="宋体" w:hAnsi="宋体" w:cs="宋体" w:eastAsia="宋体" w:hint="default"/>
        </w:rPr>
        <w:t>BIM</w:t>
      </w:r>
      <w:r>
        <w:rPr>
          <w:rFonts w:ascii="宋体" w:hAnsi="宋体" w:cs="宋体" w:eastAsia="宋体" w:hint="default"/>
          <w:spacing w:val="-60"/>
        </w:rPr>
        <w:t> </w:t>
      </w:r>
      <w:r>
        <w:rPr/>
        <w:t>理念已经在我国建筑行业迅速扩 </w:t>
      </w:r>
      <w:r>
        <w:rPr>
          <w:spacing w:val="-6"/>
        </w:rPr>
        <w:t>展，并且得到了国家相关部门的明确认同。《关于印发</w:t>
      </w:r>
      <w:r>
        <w:rPr>
          <w:spacing w:val="-50"/>
        </w:rPr>
        <w:t> </w:t>
      </w:r>
      <w:r>
        <w:rPr>
          <w:rFonts w:ascii="宋体" w:hAnsi="宋体" w:cs="宋体" w:eastAsia="宋体" w:hint="default"/>
        </w:rPr>
        <w:t>2011-2015</w:t>
      </w:r>
      <w:r>
        <w:rPr>
          <w:rFonts w:ascii="宋体" w:hAnsi="宋体" w:cs="宋体" w:eastAsia="宋体" w:hint="default"/>
          <w:spacing w:val="-50"/>
        </w:rPr>
        <w:t> </w:t>
      </w:r>
      <w:r>
        <w:rPr/>
        <w:t>年建筑业信息化发展纲要 </w:t>
      </w:r>
      <w:r>
        <w:rPr>
          <w:spacing w:val="-9"/>
        </w:rPr>
        <w:t>的通知》（建质</w:t>
      </w:r>
      <w:r>
        <w:rPr>
          <w:rFonts w:ascii="宋体" w:hAnsi="宋体" w:cs="宋体" w:eastAsia="宋体" w:hint="default"/>
          <w:spacing w:val="-9"/>
        </w:rPr>
        <w:t>[2011]67</w:t>
      </w:r>
      <w:r>
        <w:rPr>
          <w:rFonts w:ascii="宋体" w:hAnsi="宋体" w:cs="宋体" w:eastAsia="宋体" w:hint="default"/>
          <w:spacing w:val="-59"/>
        </w:rPr>
        <w:t> </w:t>
      </w:r>
      <w:r>
        <w:rPr/>
        <w:t>号）和《住房城乡建设部关于推进建筑业发展和改革的若干意</w:t>
      </w:r>
      <w:r>
        <w:rPr>
          <w:spacing w:val="-108"/>
        </w:rPr>
        <w:t> </w:t>
      </w:r>
      <w:r>
        <w:rPr/>
        <w:t>见》明确将</w:t>
      </w:r>
      <w:r>
        <w:rPr>
          <w:spacing w:val="-61"/>
        </w:rPr>
        <w:t> </w:t>
      </w:r>
      <w:r>
        <w:rPr>
          <w:rFonts w:ascii="宋体" w:hAnsi="宋体" w:cs="宋体" w:eastAsia="宋体" w:hint="default"/>
        </w:rPr>
        <w:t>BIM</w:t>
      </w:r>
      <w:r>
        <w:rPr>
          <w:rFonts w:ascii="宋体" w:hAnsi="宋体" w:cs="宋体" w:eastAsia="宋体" w:hint="default"/>
          <w:spacing w:val="-60"/>
        </w:rPr>
        <w:t> </w:t>
      </w:r>
      <w:r>
        <w:rPr/>
        <w:t>写入建筑发展“十二五”规划。</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日住房城乡建设部发布的</w:t>
      </w:r>
    </w:p>
    <w:p>
      <w:pPr>
        <w:pStyle w:val="BodyText"/>
        <w:spacing w:line="357" w:lineRule="auto"/>
        <w:ind w:right="149"/>
        <w:jc w:val="left"/>
      </w:pPr>
      <w:r>
        <w:rPr/>
        <w:t>《关于推进建筑信息模型应用的指导意见》就推</w:t>
      </w:r>
      <w:r>
        <w:rPr>
          <w:spacing w:val="-60"/>
        </w:rPr>
        <w:t> </w:t>
      </w:r>
      <w:r>
        <w:rPr>
          <w:rFonts w:ascii="宋体" w:hAnsi="宋体" w:cs="宋体" w:eastAsia="宋体" w:hint="default"/>
        </w:rPr>
        <w:t>BIM</w:t>
      </w:r>
      <w:r>
        <w:rPr>
          <w:rFonts w:ascii="宋体" w:hAnsi="宋体" w:cs="宋体" w:eastAsia="宋体" w:hint="default"/>
          <w:spacing w:val="-60"/>
        </w:rPr>
        <w:t> </w:t>
      </w:r>
      <w:r>
        <w:rPr/>
        <w:t>应用提出如下要求：到</w:t>
      </w:r>
      <w:r>
        <w:rPr>
          <w:spacing w:val="-60"/>
        </w:rPr>
        <w:t> </w:t>
      </w:r>
      <w:r>
        <w:rPr>
          <w:rFonts w:ascii="宋体" w:hAnsi="宋体" w:cs="宋体" w:eastAsia="宋体" w:hint="default"/>
        </w:rPr>
        <w:t>2020</w:t>
      </w:r>
      <w:r>
        <w:rPr>
          <w:rFonts w:ascii="宋体" w:hAnsi="宋体" w:cs="宋体" w:eastAsia="宋体" w:hint="default"/>
          <w:spacing w:val="-60"/>
        </w:rPr>
        <w:t> </w:t>
      </w:r>
      <w:r>
        <w:rPr/>
        <w:t>年末，建 筑行业甲级勘察、设计单位以及特级、一级房屋建筑工程施工企业应掌握并实现</w:t>
      </w:r>
      <w:r>
        <w:rPr>
          <w:spacing w:val="-59"/>
        </w:rPr>
        <w:t> </w:t>
      </w:r>
      <w:r>
        <w:rPr>
          <w:rFonts w:ascii="宋体" w:hAnsi="宋体" w:cs="宋体" w:eastAsia="宋体" w:hint="default"/>
        </w:rPr>
        <w:t>BIM</w:t>
      </w:r>
      <w:r>
        <w:rPr>
          <w:rFonts w:ascii="宋体" w:hAnsi="宋体" w:cs="宋体" w:eastAsia="宋体" w:hint="default"/>
          <w:spacing w:val="-60"/>
        </w:rPr>
        <w:t> </w:t>
      </w:r>
      <w:r>
        <w:rPr/>
        <w:t>与企 业管理系统和其他信息技术的一体化集成应用。到</w:t>
      </w:r>
      <w:r>
        <w:rPr>
          <w:spacing w:val="-60"/>
        </w:rPr>
        <w:t> </w:t>
      </w:r>
      <w:r>
        <w:rPr>
          <w:rFonts w:ascii="宋体" w:hAnsi="宋体" w:cs="宋体" w:eastAsia="宋体" w:hint="default"/>
        </w:rPr>
        <w:t>2020</w:t>
      </w:r>
      <w:r>
        <w:rPr>
          <w:rFonts w:ascii="宋体" w:hAnsi="宋体" w:cs="宋体" w:eastAsia="宋体" w:hint="default"/>
          <w:spacing w:val="-60"/>
        </w:rPr>
        <w:t> </w:t>
      </w:r>
      <w:r>
        <w:rPr/>
        <w:t>年末，以下新立项项目勘察设计、 施工、运营维护中，集成应用</w:t>
      </w:r>
      <w:r>
        <w:rPr>
          <w:spacing w:val="-60"/>
        </w:rPr>
        <w:t> </w:t>
      </w:r>
      <w:r>
        <w:rPr>
          <w:rFonts w:ascii="宋体" w:hAnsi="宋体" w:cs="宋体" w:eastAsia="宋体" w:hint="default"/>
        </w:rPr>
        <w:t>BIM</w:t>
      </w:r>
      <w:r>
        <w:rPr>
          <w:rFonts w:ascii="宋体" w:hAnsi="宋体" w:cs="宋体" w:eastAsia="宋体" w:hint="default"/>
          <w:spacing w:val="-60"/>
        </w:rPr>
        <w:t> </w:t>
      </w:r>
      <w:r>
        <w:rPr/>
        <w:t>的项目比率达到</w:t>
      </w:r>
      <w:r>
        <w:rPr>
          <w:spacing w:val="-60"/>
        </w:rPr>
        <w:t> </w:t>
      </w:r>
      <w:r>
        <w:rPr>
          <w:rFonts w:ascii="宋体" w:hAnsi="宋体" w:cs="宋体" w:eastAsia="宋体" w:hint="default"/>
        </w:rPr>
        <w:t>90%</w:t>
      </w:r>
      <w:r>
        <w:rPr/>
        <w:t>：以国有资金投资为主的大中型建 筑；申报绿色建筑的公共建筑和绿色生态示范小区。此外，要求建设单位、勘察单位、设 计单位、施工企业、工程总承包企业、运营维护单位全面使用</w:t>
      </w:r>
      <w:r>
        <w:rPr>
          <w:spacing w:val="-61"/>
        </w:rPr>
        <w:t> </w:t>
      </w:r>
      <w:r>
        <w:rPr>
          <w:rFonts w:ascii="宋体" w:hAnsi="宋体" w:cs="宋体" w:eastAsia="宋体" w:hint="default"/>
        </w:rPr>
        <w:t>BIM</w:t>
      </w:r>
      <w:r>
        <w:rPr>
          <w:rFonts w:ascii="宋体" w:hAnsi="宋体" w:cs="宋体" w:eastAsia="宋体" w:hint="default"/>
          <w:spacing w:val="-61"/>
        </w:rPr>
        <w:t> </w:t>
      </w:r>
      <w:r>
        <w:rPr/>
        <w:t>技术。</w:t>
      </w:r>
    </w:p>
    <w:p>
      <w:pPr>
        <w:pStyle w:val="BodyText"/>
        <w:spacing w:line="357" w:lineRule="auto"/>
        <w:ind w:right="285" w:firstLine="480"/>
        <w:jc w:val="both"/>
      </w:pPr>
      <w:r>
        <w:rPr/>
        <w:t>由此可见，基于</w:t>
      </w:r>
      <w:r>
        <w:rPr>
          <w:spacing w:val="-61"/>
        </w:rPr>
        <w:t> </w:t>
      </w:r>
      <w:r>
        <w:rPr>
          <w:rFonts w:ascii="宋体" w:hAnsi="宋体" w:cs="宋体" w:eastAsia="宋体" w:hint="default"/>
        </w:rPr>
        <w:t>BIM</w:t>
      </w:r>
      <w:r>
        <w:rPr>
          <w:rFonts w:ascii="宋体" w:hAnsi="宋体" w:cs="宋体" w:eastAsia="宋体" w:hint="default"/>
          <w:spacing w:val="-61"/>
        </w:rPr>
        <w:t> </w:t>
      </w:r>
      <w:r>
        <w:rPr/>
        <w:t>的设计、施工和运维等应用已经成为不可逆转的中国</w:t>
      </w:r>
      <w:r>
        <w:rPr>
          <w:spacing w:val="-60"/>
        </w:rPr>
        <w:t> </w:t>
      </w:r>
      <w:r>
        <w:rPr>
          <w:rFonts w:ascii="宋体" w:hAnsi="宋体" w:cs="宋体" w:eastAsia="宋体" w:hint="default"/>
        </w:rPr>
        <w:t>BIM</w:t>
      </w:r>
      <w:r>
        <w:rPr>
          <w:rFonts w:ascii="宋体" w:hAnsi="宋体" w:cs="宋体" w:eastAsia="宋体" w:hint="default"/>
          <w:spacing w:val="-61"/>
        </w:rPr>
        <w:t> </w:t>
      </w:r>
      <w:r>
        <w:rPr/>
        <w:t>发展的 趋势和方向，而</w:t>
      </w:r>
      <w:r>
        <w:rPr>
          <w:spacing w:val="-61"/>
        </w:rPr>
        <w:t> </w:t>
      </w:r>
      <w:r>
        <w:rPr>
          <w:rFonts w:ascii="宋体" w:hAnsi="宋体" w:cs="宋体" w:eastAsia="宋体" w:hint="default"/>
        </w:rPr>
        <w:t>BIM</w:t>
      </w:r>
      <w:r>
        <w:rPr>
          <w:rFonts w:ascii="宋体" w:hAnsi="宋体" w:cs="宋体" w:eastAsia="宋体" w:hint="default"/>
          <w:spacing w:val="-61"/>
        </w:rPr>
        <w:t> </w:t>
      </w:r>
      <w:r>
        <w:rPr/>
        <w:t>的全面应用将带动三维</w:t>
      </w:r>
      <w:r>
        <w:rPr>
          <w:spacing w:val="-61"/>
        </w:rPr>
        <w:t> </w:t>
      </w:r>
      <w:r>
        <w:rPr>
          <w:rFonts w:ascii="宋体" w:hAnsi="宋体" w:cs="宋体" w:eastAsia="宋体" w:hint="default"/>
        </w:rPr>
        <w:t>GIS</w:t>
      </w:r>
      <w:r>
        <w:rPr>
          <w:rFonts w:ascii="宋体" w:hAnsi="宋体" w:cs="宋体" w:eastAsia="宋体" w:hint="default"/>
          <w:spacing w:val="-61"/>
        </w:rPr>
        <w:t> </w:t>
      </w:r>
      <w:r>
        <w:rPr/>
        <w:t>的广泛应用。</w:t>
      </w:r>
    </w:p>
    <w:p>
      <w:pPr>
        <w:pStyle w:val="BodyText"/>
        <w:spacing w:line="240" w:lineRule="auto"/>
        <w:ind w:left="617" w:right="229"/>
        <w:jc w:val="left"/>
      </w:pPr>
      <w:r>
        <w:rPr/>
        <w:t>（</w:t>
      </w:r>
      <w:r>
        <w:rPr>
          <w:rFonts w:ascii="宋体" w:hAnsi="宋体" w:cs="宋体" w:eastAsia="宋体" w:hint="default"/>
        </w:rPr>
        <w:t>4</w:t>
      </w:r>
      <w:r>
        <w:rPr/>
        <w:t>）与虚拟现实技术的结合将带来广阔应用前景</w:t>
      </w:r>
    </w:p>
    <w:p>
      <w:pPr>
        <w:pStyle w:val="BodyText"/>
        <w:spacing w:line="357" w:lineRule="auto" w:before="154"/>
        <w:ind w:right="285" w:firstLine="480"/>
        <w:jc w:val="both"/>
      </w:pPr>
      <w:r>
        <w:rPr/>
        <w:t>虚拟现实（</w:t>
      </w:r>
      <w:r>
        <w:rPr>
          <w:rFonts w:ascii="宋体" w:hAnsi="宋体" w:cs="宋体" w:eastAsia="宋体" w:hint="default"/>
        </w:rPr>
        <w:t>Virtual</w:t>
      </w:r>
      <w:r>
        <w:rPr>
          <w:rFonts w:ascii="宋体" w:hAnsi="宋体" w:cs="宋体" w:eastAsia="宋体" w:hint="default"/>
          <w:spacing w:val="-1"/>
        </w:rPr>
        <w:t> </w:t>
      </w:r>
      <w:r>
        <w:rPr>
          <w:rFonts w:ascii="宋体" w:hAnsi="宋体" w:cs="宋体" w:eastAsia="宋体" w:hint="default"/>
        </w:rPr>
        <w:t>Reality</w:t>
      </w:r>
      <w:r>
        <w:rPr/>
        <w:t>，简称</w:t>
      </w:r>
      <w:r>
        <w:rPr>
          <w:spacing w:val="-61"/>
        </w:rPr>
        <w:t> </w:t>
      </w:r>
      <w:r>
        <w:rPr>
          <w:rFonts w:ascii="宋体" w:hAnsi="宋体" w:cs="宋体" w:eastAsia="宋体" w:hint="default"/>
        </w:rPr>
        <w:t>VR</w:t>
      </w:r>
      <w:r>
        <w:rPr/>
        <w:t>），从技术上来说，</w:t>
      </w:r>
      <w:r>
        <w:rPr>
          <w:rFonts w:ascii="宋体" w:hAnsi="宋体" w:cs="宋体" w:eastAsia="宋体" w:hint="default"/>
        </w:rPr>
        <w:t>VR</w:t>
      </w:r>
      <w:r>
        <w:rPr>
          <w:rFonts w:ascii="宋体" w:hAnsi="宋体" w:cs="宋体" w:eastAsia="宋体" w:hint="default"/>
          <w:spacing w:val="-61"/>
        </w:rPr>
        <w:t> </w:t>
      </w:r>
      <w:r>
        <w:rPr/>
        <w:t>系统构建具有完美人机 交互能力和启发构思的多维空间信息玩意，</w:t>
      </w:r>
      <w:r>
        <w:rPr>
          <w:rFonts w:ascii="宋体" w:hAnsi="宋体" w:cs="宋体" w:eastAsia="宋体" w:hint="default"/>
        </w:rPr>
        <w:t>GIS</w:t>
      </w:r>
      <w:r>
        <w:rPr>
          <w:rFonts w:ascii="宋体" w:hAnsi="宋体" w:cs="宋体" w:eastAsia="宋体" w:hint="default"/>
          <w:spacing w:val="-61"/>
        </w:rPr>
        <w:t> </w:t>
      </w:r>
      <w:r>
        <w:rPr/>
        <w:t>擅长空间三维地理要素的空间分布、空间 关系、空间过程的处理，两者之间存在领域重叠和相互关系。</w:t>
      </w:r>
    </w:p>
    <w:p>
      <w:pPr>
        <w:spacing w:after="0" w:line="357" w:lineRule="auto"/>
        <w:jc w:val="both"/>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right="149" w:firstLine="480"/>
        <w:jc w:val="left"/>
      </w:pPr>
      <w:r>
        <w:rPr/>
        <w:t>从应用上来说，</w:t>
      </w:r>
      <w:r>
        <w:rPr>
          <w:rFonts w:ascii="宋体" w:hAnsi="宋体" w:cs="宋体" w:eastAsia="宋体" w:hint="default"/>
        </w:rPr>
        <w:t>VR</w:t>
      </w:r>
      <w:r>
        <w:rPr>
          <w:rFonts w:ascii="宋体" w:hAnsi="宋体" w:cs="宋体" w:eastAsia="宋体" w:hint="default"/>
          <w:spacing w:val="-61"/>
        </w:rPr>
        <w:t> </w:t>
      </w:r>
      <w:r>
        <w:rPr/>
        <w:t>将是</w:t>
      </w:r>
      <w:r>
        <w:rPr>
          <w:spacing w:val="-61"/>
        </w:rPr>
        <w:t> </w:t>
      </w:r>
      <w:r>
        <w:rPr>
          <w:rFonts w:ascii="宋体" w:hAnsi="宋体" w:cs="宋体" w:eastAsia="宋体" w:hint="default"/>
        </w:rPr>
        <w:t>GIS</w:t>
      </w:r>
      <w:r>
        <w:rPr>
          <w:rFonts w:ascii="宋体" w:hAnsi="宋体" w:cs="宋体" w:eastAsia="宋体" w:hint="default"/>
          <w:spacing w:val="-61"/>
        </w:rPr>
        <w:t> </w:t>
      </w:r>
      <w:r>
        <w:rPr/>
        <w:t>应用的一个重要方向，</w:t>
      </w:r>
      <w:r>
        <w:rPr>
          <w:rFonts w:ascii="宋体" w:hAnsi="宋体" w:cs="宋体" w:eastAsia="宋体" w:hint="default"/>
        </w:rPr>
        <w:t>VR</w:t>
      </w:r>
      <w:r>
        <w:rPr>
          <w:rFonts w:ascii="宋体" w:hAnsi="宋体" w:cs="宋体" w:eastAsia="宋体" w:hint="default"/>
          <w:spacing w:val="-61"/>
        </w:rPr>
        <w:t> </w:t>
      </w:r>
      <w:r>
        <w:rPr/>
        <w:t>的商业价值一方面可作为沉浸式 的三维视频资源供人们消费、娱乐，另一方面</w:t>
      </w:r>
      <w:r>
        <w:rPr>
          <w:spacing w:val="-60"/>
        </w:rPr>
        <w:t> </w:t>
      </w:r>
      <w:r>
        <w:rPr>
          <w:rFonts w:ascii="宋体" w:hAnsi="宋体" w:cs="宋体" w:eastAsia="宋体" w:hint="default"/>
        </w:rPr>
        <w:t>VR</w:t>
      </w:r>
      <w:r>
        <w:rPr>
          <w:rFonts w:ascii="宋体" w:hAnsi="宋体" w:cs="宋体" w:eastAsia="宋体" w:hint="default"/>
          <w:spacing w:val="-60"/>
        </w:rPr>
        <w:t> </w:t>
      </w:r>
      <w:r>
        <w:rPr/>
        <w:t>中的三维空间也可以</w:t>
      </w:r>
      <w:r>
        <w:rPr>
          <w:spacing w:val="-60"/>
        </w:rPr>
        <w:t> </w:t>
      </w:r>
      <w:r>
        <w:rPr>
          <w:rFonts w:ascii="宋体" w:hAnsi="宋体" w:cs="宋体" w:eastAsia="宋体" w:hint="default"/>
        </w:rPr>
        <w:t>GIS</w:t>
      </w:r>
      <w:r>
        <w:rPr>
          <w:rFonts w:ascii="宋体" w:hAnsi="宋体" w:cs="宋体" w:eastAsia="宋体" w:hint="default"/>
          <w:spacing w:val="-60"/>
        </w:rPr>
        <w:t> </w:t>
      </w:r>
      <w:r>
        <w:rPr/>
        <w:t>化，让空间数据 融入其中，使其更具有行业应用的价值，未来这对于面向智慧城市的管理、三维仿真模拟 等领域，均能有结合之处。</w:t>
      </w:r>
    </w:p>
    <w:p>
      <w:pPr>
        <w:pStyle w:val="BodyText"/>
        <w:spacing w:line="357" w:lineRule="auto"/>
        <w:ind w:right="150" w:firstLine="480"/>
        <w:jc w:val="left"/>
      </w:pPr>
      <w:r>
        <w:rPr/>
        <w:t>针对</w:t>
      </w:r>
      <w:r>
        <w:rPr>
          <w:spacing w:val="-61"/>
        </w:rPr>
        <w:t> </w:t>
      </w:r>
      <w:r>
        <w:rPr>
          <w:rFonts w:ascii="宋体" w:hAnsi="宋体" w:cs="宋体" w:eastAsia="宋体" w:hint="default"/>
        </w:rPr>
        <w:t>VR</w:t>
      </w:r>
      <w:r>
        <w:rPr>
          <w:rFonts w:ascii="宋体" w:hAnsi="宋体" w:cs="宋体" w:eastAsia="宋体" w:hint="default"/>
          <w:spacing w:val="-60"/>
        </w:rPr>
        <w:t> </w:t>
      </w:r>
      <w:r>
        <w:rPr/>
        <w:t>带来的机遇，公司目前已经加入了中国虚拟现实与可视化技术创新战略联盟， 此外，公司将从行业用户对</w:t>
      </w:r>
      <w:r>
        <w:rPr>
          <w:spacing w:val="-61"/>
        </w:rPr>
        <w:t> </w:t>
      </w:r>
      <w:r>
        <w:rPr>
          <w:rFonts w:ascii="宋体" w:hAnsi="宋体" w:cs="宋体" w:eastAsia="宋体" w:hint="default"/>
        </w:rPr>
        <w:t>VR</w:t>
      </w:r>
      <w:r>
        <w:rPr>
          <w:rFonts w:ascii="宋体" w:hAnsi="宋体" w:cs="宋体" w:eastAsia="宋体" w:hint="default"/>
          <w:spacing w:val="-61"/>
        </w:rPr>
        <w:t> </w:t>
      </w:r>
      <w:r>
        <w:rPr/>
        <w:t>的需求出发，与联盟内的院校、企业、机构保持沟通、配 合，探索公司的</w:t>
      </w:r>
      <w:r>
        <w:rPr>
          <w:spacing w:val="-61"/>
        </w:rPr>
        <w:t> </w:t>
      </w:r>
      <w:r>
        <w:rPr>
          <w:rFonts w:ascii="宋体" w:hAnsi="宋体" w:cs="宋体" w:eastAsia="宋体" w:hint="default"/>
        </w:rPr>
        <w:t>VR</w:t>
      </w:r>
      <w:r>
        <w:rPr>
          <w:rFonts w:ascii="宋体" w:hAnsi="宋体" w:cs="宋体" w:eastAsia="宋体" w:hint="default"/>
          <w:spacing w:val="-61"/>
        </w:rPr>
        <w:t> </w:t>
      </w:r>
      <w:r>
        <w:rPr/>
        <w:t>产品战略。</w:t>
      </w:r>
    </w:p>
    <w:p>
      <w:pPr>
        <w:spacing w:line="240" w:lineRule="auto" w:before="12"/>
        <w:rPr>
          <w:rFonts w:ascii="宋体" w:hAnsi="宋体" w:cs="宋体" w:eastAsia="宋体" w:hint="default"/>
          <w:sz w:val="19"/>
          <w:szCs w:val="19"/>
        </w:rPr>
      </w:pPr>
    </w:p>
    <w:p>
      <w:pPr>
        <w:pStyle w:val="Heading2"/>
        <w:spacing w:line="240" w:lineRule="auto"/>
        <w:ind w:left="0" w:right="6327"/>
        <w:jc w:val="center"/>
        <w:rPr>
          <w:b w:val="0"/>
          <w:bCs w:val="0"/>
        </w:rPr>
      </w:pPr>
      <w:r>
        <w:rPr>
          <w:rFonts w:ascii="Times New Roman" w:hAnsi="Times New Roman" w:cs="Times New Roman" w:eastAsia="Times New Roman" w:hint="default"/>
          <w:spacing w:val="2"/>
        </w:rPr>
        <w:t>4</w:t>
      </w:r>
      <w:r>
        <w:rPr>
          <w:spacing w:val="2"/>
        </w:rPr>
        <w:t>、公司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spacing w:val="4"/>
        </w:rPr>
        <w:t>年主要经营计划</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年，公司将借助国产替代、不动产登记等利好政策，加大市场拓展和实施能力建</w:t>
      </w:r>
    </w:p>
    <w:p>
      <w:pPr>
        <w:pStyle w:val="BodyText"/>
        <w:spacing w:line="240" w:lineRule="auto" w:before="135"/>
        <w:ind w:right="229"/>
        <w:jc w:val="left"/>
      </w:pPr>
      <w:r>
        <w:rPr/>
        <w:t>设，开启超图</w:t>
      </w:r>
      <w:r>
        <w:rPr>
          <w:spacing w:val="-61"/>
        </w:rPr>
        <w:t> </w:t>
      </w:r>
      <w:r>
        <w:rPr>
          <w:rFonts w:ascii="Times New Roman" w:hAnsi="Times New Roman" w:cs="Times New Roman" w:eastAsia="Times New Roman" w:hint="default"/>
        </w:rPr>
        <w:t>2.0 </w:t>
      </w:r>
      <w:r>
        <w:rPr/>
        <w:t>时代的征程。具体有如下几个方面：</w:t>
      </w:r>
    </w:p>
    <w:p>
      <w:pPr>
        <w:pStyle w:val="Heading2"/>
        <w:spacing w:line="240" w:lineRule="auto" w:before="59"/>
        <w:ind w:left="619" w:right="229"/>
        <w:jc w:val="left"/>
        <w:rPr>
          <w:b w:val="0"/>
          <w:bCs w:val="0"/>
        </w:rPr>
      </w:pPr>
      <w:r>
        <w:rPr/>
        <w:t>（</w:t>
      </w:r>
      <w:r>
        <w:rPr>
          <w:rFonts w:ascii="Times New Roman" w:hAnsi="Times New Roman" w:cs="Times New Roman" w:eastAsia="Times New Roman" w:hint="default"/>
        </w:rPr>
        <w:t>1</w:t>
      </w:r>
      <w:r>
        <w:rPr/>
        <w:t>）在技术创新方面</w:t>
      </w:r>
      <w:r>
        <w:rPr>
          <w:b w:val="0"/>
          <w:bCs w:val="0"/>
        </w:rPr>
      </w:r>
    </w:p>
    <w:p>
      <w:pPr>
        <w:pStyle w:val="BodyText"/>
        <w:spacing w:line="348" w:lineRule="auto" w:before="126"/>
        <w:ind w:left="1337" w:right="232" w:hanging="360"/>
        <w:jc w:val="both"/>
      </w:pPr>
      <w:r>
        <w:rPr>
          <w:rFonts w:ascii="Times New Roman" w:hAnsi="Times New Roman" w:cs="Times New Roman" w:eastAsia="Times New Roman" w:hint="default"/>
        </w:rPr>
        <w:t>1</w:t>
      </w:r>
      <w:r>
        <w:rPr/>
        <w:t>）进一步强化公司产品与大数据、云计算技术的结合，拟于三季度发布产品</w:t>
      </w:r>
      <w:r>
        <w:rPr>
          <w:spacing w:val="-59"/>
        </w:rPr>
        <w:t> </w:t>
      </w:r>
      <w:r>
        <w:rPr>
          <w:rFonts w:ascii="Times New Roman" w:hAnsi="Times New Roman" w:cs="Times New Roman" w:eastAsia="Times New Roman" w:hint="default"/>
        </w:rPr>
        <w:t>V8.1 </w:t>
      </w:r>
      <w:r>
        <w:rPr/>
        <w:t>版本。新版本将提升分布式空间数据引擎能力，支持星环等国产云平台，实现 全国产化云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架构，提升云端</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应用的安全、自主、可控性能；</w:t>
      </w:r>
    </w:p>
    <w:p>
      <w:pPr>
        <w:pStyle w:val="BodyText"/>
        <w:spacing w:line="338" w:lineRule="auto" w:before="16"/>
        <w:ind w:left="1337" w:right="287" w:hanging="360"/>
        <w:jc w:val="both"/>
      </w:pPr>
      <w:r>
        <w:rPr>
          <w:rFonts w:ascii="Times New Roman" w:hAnsi="Times New Roman" w:cs="Times New Roman" w:eastAsia="Times New Roman" w:hint="default"/>
        </w:rPr>
        <w:t>2</w:t>
      </w:r>
      <w:r>
        <w:rPr/>
        <w:t>）公司将投入研发力量，打通与地理信息技术紧密结合的遥感、倾斜摄影测量和 </w:t>
      </w:r>
      <w:r>
        <w:rPr>
          <w:rFonts w:ascii="Times New Roman" w:hAnsi="Times New Roman" w:cs="Times New Roman" w:eastAsia="Times New Roman" w:hint="default"/>
        </w:rPr>
        <w:t>VR</w:t>
      </w:r>
      <w:r>
        <w:rPr>
          <w:rFonts w:ascii="Times New Roman" w:hAnsi="Times New Roman" w:cs="Times New Roman" w:eastAsia="Times New Roman" w:hint="default"/>
          <w:spacing w:val="-2"/>
        </w:rPr>
        <w:t> </w:t>
      </w:r>
      <w:r>
        <w:rPr/>
        <w:t>等技术环节，丰富公司产品体系，进一步提升公司核心竞争力；</w:t>
      </w:r>
    </w:p>
    <w:p>
      <w:pPr>
        <w:pStyle w:val="Heading2"/>
        <w:spacing w:line="368" w:lineRule="exact"/>
        <w:ind w:left="619" w:right="229"/>
        <w:jc w:val="left"/>
        <w:rPr>
          <w:b w:val="0"/>
          <w:bCs w:val="0"/>
        </w:rPr>
      </w:pPr>
      <w:r>
        <w:rPr/>
        <w:t>（</w:t>
      </w:r>
      <w:r>
        <w:rPr>
          <w:rFonts w:ascii="Times New Roman" w:hAnsi="Times New Roman" w:cs="Times New Roman" w:eastAsia="Times New Roman" w:hint="default"/>
        </w:rPr>
        <w:t>2</w:t>
      </w:r>
      <w:r>
        <w:rPr/>
        <w:t>）在市场开拓方面</w:t>
      </w:r>
      <w:r>
        <w:rPr>
          <w:b w:val="0"/>
          <w:bCs w:val="0"/>
        </w:rPr>
      </w:r>
    </w:p>
    <w:p>
      <w:pPr>
        <w:pStyle w:val="BodyText"/>
        <w:spacing w:line="338" w:lineRule="auto" w:before="126"/>
        <w:ind w:left="1337" w:right="259" w:hanging="360"/>
        <w:jc w:val="both"/>
      </w:pPr>
      <w:r>
        <w:rPr>
          <w:rFonts w:ascii="Times New Roman" w:hAnsi="Times New Roman" w:cs="Times New Roman" w:eastAsia="Times New Roman" w:hint="default"/>
        </w:rPr>
        <w:t>1</w:t>
      </w:r>
      <w:r>
        <w:rPr/>
        <w:t>）将进一步夯实</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平台领先地位：进一步优化销售队伍，同时加强与合作伙伴 的合作与支持，建立统一战线；</w:t>
      </w:r>
    </w:p>
    <w:p>
      <w:pPr>
        <w:pStyle w:val="BodyText"/>
        <w:spacing w:line="338" w:lineRule="auto" w:before="55"/>
        <w:ind w:left="1337" w:right="285" w:hanging="360"/>
        <w:jc w:val="both"/>
      </w:pPr>
      <w:r>
        <w:rPr>
          <w:rFonts w:ascii="Times New Roman" w:hAnsi="Times New Roman" w:cs="Times New Roman" w:eastAsia="Times New Roman" w:hint="default"/>
        </w:rPr>
        <w:t>2</w:t>
      </w:r>
      <w:r>
        <w:rPr/>
        <w:t>）进一步加强传统行业中测绘、规划、国土等战略行业的市场开拓；进一步加强 未覆盖区域市场的开拓力度；</w:t>
      </w:r>
    </w:p>
    <w:p>
      <w:pPr>
        <w:pStyle w:val="BodyText"/>
        <w:spacing w:line="338" w:lineRule="auto" w:before="56"/>
        <w:ind w:left="1337" w:right="261" w:hanging="360"/>
        <w:jc w:val="both"/>
      </w:pPr>
      <w:r>
        <w:rPr>
          <w:rFonts w:ascii="Times New Roman" w:hAnsi="Times New Roman" w:cs="Times New Roman" w:eastAsia="Times New Roman" w:hint="default"/>
        </w:rPr>
        <w:t>3</w:t>
      </w:r>
      <w:r>
        <w:rPr/>
        <w:t>）将继续与倾斜摄影测量联盟合作，继续推进百城巡展，促进公司三维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及相 关行业解决方案的推广。</w:t>
      </w:r>
    </w:p>
    <w:p>
      <w:pPr>
        <w:pStyle w:val="Heading2"/>
        <w:spacing w:line="397" w:lineRule="exact"/>
        <w:ind w:left="619" w:right="229"/>
        <w:jc w:val="left"/>
        <w:rPr>
          <w:b w:val="0"/>
          <w:bCs w:val="0"/>
        </w:rPr>
      </w:pPr>
      <w:r>
        <w:rPr/>
        <w:t>（</w:t>
      </w:r>
      <w:r>
        <w:rPr>
          <w:rFonts w:ascii="Times New Roman" w:hAnsi="Times New Roman" w:cs="Times New Roman" w:eastAsia="Times New Roman" w:hint="default"/>
        </w:rPr>
        <w:t>3</w:t>
      </w:r>
      <w:r>
        <w:rPr/>
        <w:t>）不动产市场开拓方面</w:t>
      </w:r>
      <w:r>
        <w:rPr>
          <w:b w:val="0"/>
          <w:bCs w:val="0"/>
        </w:rPr>
      </w:r>
    </w:p>
    <w:p>
      <w:pPr>
        <w:pStyle w:val="BodyText"/>
        <w:spacing w:line="338" w:lineRule="auto" w:before="126"/>
        <w:ind w:left="1337" w:right="285" w:hanging="360"/>
        <w:jc w:val="both"/>
      </w:pPr>
      <w:r>
        <w:rPr>
          <w:rFonts w:ascii="Times New Roman" w:hAnsi="Times New Roman" w:cs="Times New Roman" w:eastAsia="Times New Roman" w:hint="default"/>
        </w:rPr>
        <w:t>1</w:t>
      </w:r>
      <w:r>
        <w:rPr/>
        <w:t>）与南康科技、南京国图、世纪安图的强强联合，相互加强技术与销售的融合， 强化各自优势，发挥协同效应，抢占不动产登记业务领域的领先份额；</w:t>
      </w:r>
    </w:p>
    <w:p>
      <w:pPr>
        <w:pStyle w:val="BodyText"/>
        <w:spacing w:line="338" w:lineRule="auto" w:before="55"/>
        <w:ind w:left="1337" w:right="321" w:hanging="360"/>
        <w:jc w:val="both"/>
      </w:pPr>
      <w:r>
        <w:rPr>
          <w:rFonts w:ascii="Times New Roman" w:hAnsi="Times New Roman" w:cs="Times New Roman" w:eastAsia="Times New Roman" w:hint="default"/>
        </w:rPr>
        <w:t>2</w:t>
      </w:r>
      <w:r>
        <w:rPr/>
        <w:t>）加大与该领域战略合作伙伴的深度合作，促进在不动产登记应用产品、</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平 台和数据业务上的合作；</w:t>
      </w:r>
    </w:p>
    <w:p>
      <w:pPr>
        <w:spacing w:after="0" w:line="338" w:lineRule="auto"/>
        <w:jc w:val="both"/>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38" w:lineRule="auto" w:before="26"/>
        <w:ind w:left="1337" w:right="269" w:hanging="360"/>
        <w:jc w:val="left"/>
      </w:pPr>
      <w:r>
        <w:rPr>
          <w:rFonts w:ascii="Times New Roman" w:hAnsi="Times New Roman" w:cs="Times New Roman" w:eastAsia="Times New Roman" w:hint="default"/>
        </w:rPr>
        <w:t>3</w:t>
      </w:r>
      <w:r>
        <w:rPr/>
        <w:t>）提高产品标准化、服务标准化，加强现场实施团队建设、实施能力培养，提高 项目实施水平和效率；</w:t>
      </w:r>
    </w:p>
    <w:p>
      <w:pPr>
        <w:pStyle w:val="Heading2"/>
        <w:spacing w:line="397" w:lineRule="exact"/>
        <w:ind w:left="619" w:right="229"/>
        <w:jc w:val="left"/>
        <w:rPr>
          <w:b w:val="0"/>
          <w:bCs w:val="0"/>
        </w:rPr>
      </w:pPr>
      <w:r>
        <w:rPr/>
        <w:t>（</w:t>
      </w:r>
      <w:r>
        <w:rPr>
          <w:rFonts w:ascii="Times New Roman" w:hAnsi="Times New Roman" w:cs="Times New Roman" w:eastAsia="Times New Roman" w:hint="default"/>
        </w:rPr>
        <w:t>4</w:t>
      </w:r>
      <w:r>
        <w:rPr/>
        <w:t>）內部控制方面</w:t>
      </w:r>
      <w:r>
        <w:rPr>
          <w:b w:val="0"/>
          <w:bCs w:val="0"/>
        </w:rPr>
      </w:r>
    </w:p>
    <w:p>
      <w:pPr>
        <w:pStyle w:val="BodyText"/>
        <w:spacing w:line="240" w:lineRule="auto" w:before="126"/>
        <w:ind w:left="977" w:right="229"/>
        <w:jc w:val="left"/>
      </w:pPr>
      <w:r>
        <w:rPr>
          <w:rFonts w:ascii="Times New Roman" w:hAnsi="Times New Roman" w:cs="Times New Roman" w:eastAsia="Times New Roman" w:hint="default"/>
        </w:rPr>
        <w:t>1</w:t>
      </w:r>
      <w:r>
        <w:rPr/>
        <w:t>）进一步加强与并购企业的整合，强化内部控制，挖掘协同效应；</w:t>
      </w:r>
    </w:p>
    <w:p>
      <w:pPr>
        <w:pStyle w:val="BodyText"/>
        <w:spacing w:line="338" w:lineRule="auto" w:before="135"/>
        <w:ind w:left="1337" w:right="269" w:hanging="360"/>
        <w:jc w:val="left"/>
      </w:pPr>
      <w:r>
        <w:rPr>
          <w:rFonts w:ascii="Times New Roman" w:hAnsi="Times New Roman" w:cs="Times New Roman" w:eastAsia="Times New Roman" w:hint="default"/>
        </w:rPr>
        <w:t>2</w:t>
      </w:r>
      <w:r>
        <w:rPr/>
        <w:t>）加强分子公司、控股公司管理体系建设，并编制完备的分子公司管理手册和流 程说明书，提升分子公司的管理；</w:t>
      </w:r>
    </w:p>
    <w:p>
      <w:pPr>
        <w:pStyle w:val="BodyText"/>
        <w:spacing w:line="240" w:lineRule="auto" w:before="55"/>
        <w:ind w:left="977" w:right="229"/>
        <w:jc w:val="left"/>
      </w:pPr>
      <w:r>
        <w:rPr>
          <w:rFonts w:ascii="Times New Roman" w:hAnsi="Times New Roman" w:cs="Times New Roman" w:eastAsia="Times New Roman" w:hint="default"/>
        </w:rPr>
        <w:t>3</w:t>
      </w:r>
      <w:r>
        <w:rPr/>
        <w:t>）进一步加强全面预算管理和项目管理，促进公司管理精细化，提高效率。</w:t>
      </w:r>
    </w:p>
    <w:p>
      <w:pPr>
        <w:pStyle w:val="Heading2"/>
        <w:spacing w:line="240" w:lineRule="auto" w:before="59"/>
        <w:ind w:left="619" w:right="229"/>
        <w:jc w:val="left"/>
        <w:rPr>
          <w:b w:val="0"/>
          <w:bCs w:val="0"/>
        </w:rPr>
      </w:pPr>
      <w:r>
        <w:rPr/>
        <w:t>（</w:t>
      </w:r>
      <w:r>
        <w:rPr>
          <w:rFonts w:ascii="Times New Roman" w:hAnsi="Times New Roman" w:cs="Times New Roman" w:eastAsia="Times New Roman" w:hint="default"/>
        </w:rPr>
        <w:t>5</w:t>
      </w:r>
      <w:r>
        <w:rPr/>
        <w:t>）组织架构方面</w:t>
      </w:r>
      <w:r>
        <w:rPr>
          <w:b w:val="0"/>
          <w:bCs w:val="0"/>
        </w:rPr>
      </w:r>
    </w:p>
    <w:p>
      <w:pPr>
        <w:pStyle w:val="BodyText"/>
        <w:spacing w:line="338" w:lineRule="auto" w:before="127"/>
        <w:ind w:left="977" w:right="329" w:firstLine="480"/>
        <w:jc w:val="left"/>
      </w:pPr>
      <w:r>
        <w:rPr/>
        <w:t>为了适应超图</w:t>
      </w:r>
      <w:r>
        <w:rPr>
          <w:spacing w:val="-60"/>
        </w:rPr>
        <w:t> </w:t>
      </w:r>
      <w:r>
        <w:rPr>
          <w:rFonts w:ascii="Times New Roman" w:hAnsi="Times New Roman" w:cs="Times New Roman" w:eastAsia="Times New Roman" w:hint="default"/>
        </w:rPr>
        <w:t>2.0 </w:t>
      </w:r>
      <w:r>
        <w:rPr/>
        <w:t>的打造，公司拟在</w:t>
      </w:r>
      <w:r>
        <w:rPr>
          <w:spacing w:val="-60"/>
        </w:rPr>
        <w:t> </w:t>
      </w:r>
      <w:r>
        <w:rPr>
          <w:rFonts w:ascii="Times New Roman" w:hAnsi="Times New Roman" w:cs="Times New Roman" w:eastAsia="Times New Roman" w:hint="default"/>
        </w:rPr>
        <w:t>2016 </w:t>
      </w:r>
      <w:r>
        <w:rPr/>
        <w:t>年完成四个业务板块的打造和相关 的业务剥离，具体如下：</w:t>
      </w:r>
    </w:p>
    <w:p>
      <w:pPr>
        <w:pStyle w:val="BodyText"/>
        <w:spacing w:line="338" w:lineRule="auto" w:before="55"/>
        <w:ind w:left="1337" w:right="244" w:hanging="360"/>
        <w:jc w:val="left"/>
      </w:pPr>
      <w:r>
        <w:rPr>
          <w:rFonts w:ascii="Times New Roman" w:hAnsi="Times New Roman" w:cs="Times New Roman" w:eastAsia="Times New Roman" w:hint="default"/>
        </w:rPr>
        <w:t>1</w:t>
      </w:r>
      <w:r>
        <w:rPr/>
        <w:t>）平台软件板块：将以超图软件母公司为平台，未来与</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平台相关的业务及投 资，全部放在该业务板块；</w:t>
      </w:r>
    </w:p>
    <w:p>
      <w:pPr>
        <w:pStyle w:val="BodyText"/>
        <w:spacing w:line="348" w:lineRule="auto" w:before="55"/>
        <w:ind w:left="1337" w:right="260" w:hanging="360"/>
        <w:jc w:val="both"/>
      </w:pPr>
      <w:r>
        <w:rPr>
          <w:rFonts w:ascii="Times New Roman" w:hAnsi="Times New Roman" w:cs="Times New Roman" w:eastAsia="Times New Roman" w:hint="default"/>
        </w:rPr>
        <w:t>2</w:t>
      </w:r>
      <w:r>
        <w:rPr/>
        <w:t>）应用业务板块：将以超图信息为平台，未来与</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应用工程服务相关业务及投 资，包括智慧城市、国土（不动产）、军工、水利、统计等应用业务，将全部 放在该业务板块；</w:t>
      </w:r>
    </w:p>
    <w:p>
      <w:pPr>
        <w:pStyle w:val="BodyText"/>
        <w:spacing w:line="338" w:lineRule="auto" w:before="46"/>
        <w:ind w:left="1337" w:right="269" w:hanging="360"/>
        <w:jc w:val="left"/>
      </w:pPr>
      <w:r>
        <w:rPr>
          <w:rFonts w:ascii="Times New Roman" w:hAnsi="Times New Roman" w:cs="Times New Roman" w:eastAsia="Times New Roman" w:hint="default"/>
        </w:rPr>
        <w:t>3</w:t>
      </w:r>
      <w:r>
        <w:rPr/>
        <w:t>）大数据业务板块：将以超图数据为平台，未来与地理信息大数据应用及各类创 新业务及投资，包括地图慧等将全部放在该业务板块；</w:t>
      </w:r>
    </w:p>
    <w:p>
      <w:pPr>
        <w:pStyle w:val="BodyText"/>
        <w:spacing w:line="345" w:lineRule="auto" w:before="55"/>
        <w:ind w:left="1337" w:right="269" w:hanging="360"/>
        <w:jc w:val="left"/>
      </w:pPr>
      <w:r>
        <w:rPr>
          <w:rFonts w:ascii="Times New Roman" w:hAnsi="Times New Roman" w:cs="Times New Roman" w:eastAsia="Times New Roman" w:hint="default"/>
        </w:rPr>
        <w:t>4</w:t>
      </w:r>
      <w:r>
        <w:rPr/>
        <w:t>）国际业务板块：将以超图国际（香港）为平台，未来与国际市场拓展及境外投 资等相关业务，包括日本超图等，将全部放在该业务板块。 与此同步，公司将全面打造超图体系的</w:t>
      </w:r>
      <w:r>
        <w:rPr>
          <w:spacing w:val="-59"/>
        </w:rPr>
        <w:t> </w:t>
      </w:r>
      <w:r>
        <w:rPr>
          <w:rFonts w:ascii="Times New Roman" w:hAnsi="Times New Roman" w:cs="Times New Roman" w:eastAsia="Times New Roman" w:hint="default"/>
        </w:rPr>
        <w:t>4 </w:t>
      </w:r>
      <w:r>
        <w:rPr/>
        <w:t>大业务品牌——超图软件、超图信 息、超图国际和超图数据。</w:t>
      </w:r>
    </w:p>
    <w:p>
      <w:pPr>
        <w:pStyle w:val="Heading2"/>
        <w:spacing w:line="390" w:lineRule="exact"/>
        <w:ind w:left="619" w:right="229"/>
        <w:jc w:val="left"/>
        <w:rPr>
          <w:b w:val="0"/>
          <w:bCs w:val="0"/>
        </w:rPr>
      </w:pPr>
      <w:r>
        <w:rPr/>
        <w:t>（</w:t>
      </w:r>
      <w:r>
        <w:rPr>
          <w:rFonts w:ascii="Times New Roman" w:hAnsi="Times New Roman" w:cs="Times New Roman" w:eastAsia="Times New Roman" w:hint="default"/>
        </w:rPr>
        <w:t>6</w:t>
      </w:r>
      <w:r>
        <w:rPr/>
        <w:t>）对外投资方面</w:t>
      </w:r>
      <w:r>
        <w:rPr>
          <w:b w:val="0"/>
          <w:bCs w:val="0"/>
        </w:rPr>
      </w:r>
    </w:p>
    <w:p>
      <w:pPr>
        <w:pStyle w:val="BodyText"/>
        <w:spacing w:line="240" w:lineRule="auto" w:before="127"/>
        <w:ind w:left="977" w:right="229"/>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年，公司将推进资产重组及配套募集资金项目的发行工作顺利开展；</w:t>
      </w:r>
    </w:p>
    <w:p>
      <w:pPr>
        <w:pStyle w:val="BodyText"/>
        <w:spacing w:line="240" w:lineRule="auto" w:before="135"/>
        <w:ind w:left="977" w:right="229"/>
        <w:jc w:val="left"/>
      </w:pPr>
      <w:r>
        <w:rPr>
          <w:rFonts w:ascii="Times New Roman" w:hAnsi="Times New Roman" w:cs="Times New Roman" w:eastAsia="Times New Roman" w:hint="default"/>
        </w:rPr>
        <w:t>2</w:t>
      </w:r>
      <w:r>
        <w:rPr/>
        <w:t>）公司将依托</w:t>
      </w:r>
      <w:r>
        <w:rPr>
          <w:spacing w:val="-60"/>
        </w:rPr>
        <w:t> </w:t>
      </w:r>
      <w:r>
        <w:rPr>
          <w:rFonts w:ascii="Times New Roman" w:hAnsi="Times New Roman" w:cs="Times New Roman" w:eastAsia="Times New Roman" w:hint="default"/>
        </w:rPr>
        <w:t>2 </w:t>
      </w:r>
      <w:r>
        <w:rPr/>
        <w:t>个产业并购基金，加大投资，为公司培育优质的并购标的资产；</w:t>
      </w:r>
    </w:p>
    <w:p>
      <w:pPr>
        <w:pStyle w:val="BodyText"/>
        <w:spacing w:line="338" w:lineRule="auto" w:before="135"/>
        <w:ind w:left="977" w:right="269"/>
        <w:jc w:val="left"/>
      </w:pPr>
      <w:r>
        <w:rPr>
          <w:rFonts w:ascii="Times New Roman" w:hAnsi="Times New Roman" w:cs="Times New Roman" w:eastAsia="Times New Roman" w:hint="default"/>
        </w:rPr>
        <w:t>3</w:t>
      </w:r>
      <w:r>
        <w:rPr/>
        <w:t>）公司将继续加强外延扩张工作，积极通过投资、并购、参股等方式推进公司的 战略部署，延伸业务领域。</w:t>
      </w:r>
    </w:p>
    <w:p>
      <w:pPr>
        <w:spacing w:line="240" w:lineRule="auto" w:before="4"/>
        <w:rPr>
          <w:rFonts w:ascii="宋体" w:hAnsi="宋体" w:cs="宋体" w:eastAsia="宋体" w:hint="default"/>
          <w:sz w:val="21"/>
          <w:szCs w:val="21"/>
        </w:rPr>
      </w:pPr>
    </w:p>
    <w:p>
      <w:pPr>
        <w:pStyle w:val="Heading2"/>
        <w:spacing w:line="240" w:lineRule="auto"/>
        <w:ind w:left="137" w:right="229"/>
        <w:jc w:val="left"/>
        <w:rPr>
          <w:b w:val="0"/>
          <w:bCs w:val="0"/>
        </w:rPr>
      </w:pPr>
      <w:r>
        <w:rPr>
          <w:rFonts w:ascii="Times New Roman" w:hAnsi="Times New Roman" w:cs="Times New Roman" w:eastAsia="Times New Roman" w:hint="default"/>
          <w:spacing w:val="4"/>
        </w:rPr>
        <w:t>5</w:t>
      </w:r>
      <w:r>
        <w:rPr>
          <w:spacing w:val="4"/>
        </w:rPr>
        <w:t>、对公司未来发展战略和经营目标的实现产生不利影响的风险因素分析</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before="0"/>
        <w:ind w:left="137" w:right="22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）上下半年业绩不均衡风险</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877" w:footer="1085" w:top="1220" w:bottom="1280" w:left="1140" w:right="980"/>
        </w:sectPr>
      </w:pPr>
    </w:p>
    <w:p>
      <w:pPr>
        <w:spacing w:line="240" w:lineRule="auto" w:before="8"/>
        <w:rPr>
          <w:rFonts w:ascii="Microsoft JhengHei" w:hAnsi="Microsoft JhengHei" w:cs="Microsoft JhengHei" w:eastAsia="Microsoft JhengHei" w:hint="default"/>
          <w:b/>
          <w:bCs/>
          <w:sz w:val="12"/>
          <w:szCs w:val="12"/>
        </w:rPr>
      </w:pPr>
    </w:p>
    <w:p>
      <w:pPr>
        <w:pStyle w:val="BodyText"/>
        <w:spacing w:line="357" w:lineRule="auto" w:before="26"/>
        <w:ind w:right="287" w:firstLine="480"/>
        <w:jc w:val="both"/>
      </w:pPr>
      <w:r>
        <w:rPr/>
        <w:t>公司利润的实现具有明显的上下半年不均衡特点，下半年实现的收入占全年收入的比 例很高。</w:t>
      </w:r>
    </w:p>
    <w:p>
      <w:pPr>
        <w:pStyle w:val="BodyText"/>
        <w:spacing w:line="357" w:lineRule="auto"/>
        <w:ind w:right="286" w:firstLine="480"/>
        <w:jc w:val="both"/>
      </w:pPr>
      <w:r>
        <w:rPr/>
        <w:t>目前公司产品和服务的主要用户仍然是政府部门或其事业单位，用户采购公司软件产 品或技术开发服务需纳入政府采购范围。根据政府采购特点，用户通常在上半年制订采购 预算，下半年才开始招标、签订合同等。受此影响，公司业务合同的签订集中于下半年。 因此，公司能否有效地维护和拓展客户资源，确保下半年合同签订额保持增长，并保证合 同的实施进度，将决定全年收入和利润能否保持良好增长。如果客户对公司软件产品和技 术开发服务的需求下降、政府采购预算对地理信息系统软件和服务的采购额不能持续增长 以及政府采购的招投标进度延缓，都将可能影响公司全年的经营目标实现。</w:t>
      </w:r>
    </w:p>
    <w:p>
      <w:pPr>
        <w:pStyle w:val="BodyText"/>
        <w:spacing w:line="357" w:lineRule="auto"/>
        <w:ind w:right="287" w:firstLine="480"/>
        <w:jc w:val="both"/>
      </w:pPr>
      <w:r>
        <w:rPr/>
        <w:t>公司下半年业务收入的实现受多种因素影响，存在不能完全保证同比增长的可能性， 并导致全年业绩的增长存在不确定性。</w:t>
      </w:r>
    </w:p>
    <w:p>
      <w:pPr>
        <w:pStyle w:val="BodyText"/>
        <w:spacing w:line="240" w:lineRule="auto"/>
        <w:ind w:left="617" w:right="229"/>
        <w:jc w:val="left"/>
      </w:pPr>
      <w:r>
        <w:rPr/>
        <w:t>对此，公司将进一步加强企业市场和国际市场的开拓，提升相关收入占比。</w:t>
      </w:r>
    </w:p>
    <w:p>
      <w:pPr>
        <w:pStyle w:val="Heading2"/>
        <w:spacing w:line="240" w:lineRule="auto" w:before="77"/>
        <w:ind w:left="137" w:right="229"/>
        <w:jc w:val="left"/>
        <w:rPr>
          <w:b w:val="0"/>
          <w:bCs w:val="0"/>
        </w:rPr>
      </w:pPr>
      <w:r>
        <w:rPr/>
        <w:t>（</w:t>
      </w:r>
      <w:r>
        <w:rPr>
          <w:rFonts w:ascii="Times New Roman" w:hAnsi="Times New Roman" w:cs="Times New Roman" w:eastAsia="Times New Roman" w:hint="default"/>
        </w:rPr>
        <w:t>2</w:t>
      </w:r>
      <w:r>
        <w:rPr/>
        <w:t>）项目管理的风险</w:t>
      </w:r>
      <w:r>
        <w:rPr>
          <w:b w:val="0"/>
          <w:bCs w:val="0"/>
        </w:rPr>
      </w:r>
    </w:p>
    <w:p>
      <w:pPr>
        <w:pStyle w:val="BodyText"/>
        <w:spacing w:line="355" w:lineRule="auto" w:before="126"/>
        <w:ind w:right="266" w:firstLine="480"/>
        <w:jc w:val="both"/>
      </w:pPr>
      <w:r>
        <w:rPr/>
        <w:t>目前地理信息应用工程业务仍为公司的主要收入来源，占总收入</w:t>
      </w:r>
      <w:r>
        <w:rPr>
          <w:spacing w:val="-62"/>
        </w:rPr>
        <w:t> </w:t>
      </w:r>
      <w:r>
        <w:rPr>
          <w:rFonts w:ascii="Times New Roman" w:hAnsi="Times New Roman" w:cs="Times New Roman" w:eastAsia="Times New Roman" w:hint="default"/>
        </w:rPr>
        <w:t>60%</w:t>
      </w:r>
      <w:r>
        <w:rPr/>
        <w:t>以上。随着不动 产登记以及智慧城市等专项信息化项目的开展，这类业务的比重将进一步上升。地理信息 工程业务的项目管理是一项复杂的管理工作，包括项目范围管理、项目财务管理、项目进 度管理、人力资源管理、沟通管理、质量管理、项目风险管理、变更管理等多项内容，这 些管理内容紧密关联，复杂而专业。如果本公司不能有效实施项目管理，不能切实做到专 业团队专业运作，将可能导致项目实施严重延误、客户满意度严重下降，甚至触发法律风 险。</w:t>
      </w:r>
    </w:p>
    <w:p>
      <w:pPr>
        <w:pStyle w:val="BodyText"/>
        <w:spacing w:line="357" w:lineRule="auto" w:before="38"/>
        <w:ind w:right="285" w:firstLine="480"/>
        <w:jc w:val="both"/>
      </w:pPr>
      <w:r>
        <w:rPr/>
        <w:t>对此，公司将进一步加强项目经理培训，提升项目经理管理水平；进一步加强公司里 程碑监控，采取敏捷开发模式，以确保项目进度以及提升客户满意度。</w:t>
      </w:r>
    </w:p>
    <w:p>
      <w:pPr>
        <w:pStyle w:val="Heading2"/>
        <w:spacing w:line="378" w:lineRule="exact"/>
        <w:ind w:left="137" w:right="229"/>
        <w:jc w:val="left"/>
        <w:rPr>
          <w:b w:val="0"/>
          <w:bCs w:val="0"/>
        </w:rPr>
      </w:pPr>
      <w:r>
        <w:rPr/>
        <w:t>（</w:t>
      </w:r>
      <w:r>
        <w:rPr>
          <w:rFonts w:ascii="Times New Roman" w:hAnsi="Times New Roman" w:cs="Times New Roman" w:eastAsia="Times New Roman" w:hint="default"/>
        </w:rPr>
        <w:t>3</w:t>
      </w:r>
      <w:r>
        <w:rPr/>
        <w:t>）应收账款坏帐风险</w:t>
      </w:r>
      <w:r>
        <w:rPr>
          <w:b w:val="0"/>
          <w:bCs w:val="0"/>
        </w:rPr>
      </w:r>
    </w:p>
    <w:p>
      <w:pPr>
        <w:pStyle w:val="BodyText"/>
        <w:spacing w:line="348" w:lineRule="auto" w:before="126"/>
        <w:ind w:right="209" w:firstLine="480"/>
        <w:jc w:val="left"/>
      </w:pPr>
      <w:r>
        <w:rPr/>
        <w:t>截止报告期末，公司应收账款净额为</w:t>
      </w:r>
      <w:r>
        <w:rPr>
          <w:rFonts w:ascii="Times New Roman" w:hAnsi="Times New Roman" w:cs="Times New Roman" w:eastAsia="Times New Roman" w:hint="default"/>
        </w:rPr>
        <w:t>1.65</w:t>
      </w:r>
      <w:r>
        <w:rPr/>
        <w:t>亿元，与去年同期基本持平，其中</w:t>
      </w:r>
      <w:r>
        <w:rPr>
          <w:rFonts w:ascii="Times New Roman" w:hAnsi="Times New Roman" w:cs="Times New Roman" w:eastAsia="Times New Roman" w:hint="default"/>
        </w:rPr>
        <w:t>1</w:t>
      </w:r>
      <w:r>
        <w:rPr/>
        <w:t>年期以内 的应收账款净额约为</w:t>
      </w:r>
      <w:r>
        <w:rPr>
          <w:rFonts w:ascii="Times New Roman" w:hAnsi="Times New Roman" w:cs="Times New Roman" w:eastAsia="Times New Roman" w:hint="default"/>
        </w:rPr>
        <w:t>1.34</w:t>
      </w:r>
      <w:r>
        <w:rPr/>
        <w:t>亿元，</w:t>
      </w:r>
      <w:r>
        <w:rPr>
          <w:rFonts w:ascii="Times New Roman" w:hAnsi="Times New Roman" w:cs="Times New Roman" w:eastAsia="Times New Roman" w:hint="default"/>
        </w:rPr>
        <w:t>1</w:t>
      </w:r>
      <w:r>
        <w:rPr/>
        <w:t>年期以上的应收帐款净额累计有</w:t>
      </w:r>
      <w:r>
        <w:rPr>
          <w:rFonts w:ascii="Times New Roman" w:hAnsi="Times New Roman" w:cs="Times New Roman" w:eastAsia="Times New Roman" w:hint="default"/>
        </w:rPr>
        <w:t>3,086.51</w:t>
      </w:r>
      <w:r>
        <w:rPr/>
        <w:t>万元。公司的直 接用户或最终用户多是各级政府或其事业单位，虽然用户与公司有着长期良好的合作关 系，资信状况良好，还款能力强，但公司仍存在应收账款不能按期回收或无法回收产生坏 账的风险，可能对公司业绩和经营产生不利影响。</w:t>
      </w:r>
    </w:p>
    <w:p>
      <w:pPr>
        <w:pStyle w:val="BodyText"/>
        <w:spacing w:line="240" w:lineRule="auto" w:before="46"/>
        <w:ind w:left="617" w:right="229"/>
        <w:jc w:val="left"/>
      </w:pPr>
      <w:r>
        <w:rPr/>
        <w:t>对此，公司将持续不断的进行应收帐款管理，提高资金运转效率，进一步控制风险。</w:t>
      </w:r>
    </w:p>
    <w:p>
      <w:pPr>
        <w:spacing w:after="0" w:line="240" w:lineRule="auto"/>
        <w:jc w:val="left"/>
        <w:sectPr>
          <w:footerReference w:type="default" r:id="rId22"/>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t>（</w:t>
      </w:r>
      <w:r>
        <w:rPr>
          <w:rFonts w:ascii="Times New Roman" w:hAnsi="Times New Roman" w:cs="Times New Roman" w:eastAsia="Times New Roman" w:hint="default"/>
        </w:rPr>
        <w:t>4</w:t>
      </w:r>
      <w:r>
        <w:rPr/>
        <w:t>）投资并购风险</w:t>
      </w:r>
      <w:r>
        <w:rPr>
          <w:b w:val="0"/>
          <w:bCs w:val="0"/>
        </w:rPr>
      </w:r>
    </w:p>
    <w:p>
      <w:pPr>
        <w:pStyle w:val="BodyText"/>
        <w:spacing w:line="350" w:lineRule="auto" w:before="126"/>
        <w:ind w:right="149" w:firstLine="480"/>
        <w:jc w:val="left"/>
      </w:pPr>
      <w:r>
        <w:rPr>
          <w:rFonts w:ascii="Times New Roman" w:hAnsi="Times New Roman" w:cs="Times New Roman" w:eastAsia="Times New Roman" w:hint="default"/>
        </w:rPr>
        <w:t>1</w:t>
      </w:r>
      <w:r>
        <w:rPr/>
        <w:t>）公司将进一步加强外延扩张工作，积极通过投资、并购、参股等方式推进公司的战 略部署，延伸业务领域。在投资并购的过程中可能会出现决策失误风险、管理风险等。公 司在并购目标选择和团队融合这块积累了一定的经验，将进一步提升经营管理水平，持续 改进或优化运营机制，尽力降低投资并购风险。</w:t>
      </w:r>
    </w:p>
    <w:p>
      <w:pPr>
        <w:pStyle w:val="BodyText"/>
        <w:spacing w:line="348" w:lineRule="auto" w:before="43"/>
        <w:ind w:right="189"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日，公司以现金支付方式收购了上海南康科技有限公司</w:t>
      </w:r>
      <w:r>
        <w:rPr>
          <w:rFonts w:ascii="Times New Roman" w:hAnsi="Times New Roman" w:cs="Times New Roman" w:eastAsia="Times New Roman" w:hint="default"/>
        </w:rPr>
        <w:t>100%</w:t>
      </w:r>
      <w:r>
        <w:rPr/>
        <w:t>股权。截 至目前双方在技术研发、客户资源等方面进行了一定的有效融合，双方也就企业文化、管 理团队等进行积极整合，但仍存在风险，如果整合不成功，将影响南康科技竞争力的保 持，影响协同效应、放大效应的发挥；此外，南康科技</w:t>
      </w:r>
      <w:r>
        <w:rPr>
          <w:rFonts w:ascii="Times New Roman" w:hAnsi="Times New Roman" w:cs="Times New Roman" w:eastAsia="Times New Roman" w:hint="default"/>
        </w:rPr>
        <w:t>2015</w:t>
      </w:r>
      <w:r>
        <w:rPr/>
        <w:t>年的业绩承诺虽然得到了实 现，但未来仍存在盈利预测风险、业绩承诺无法实现的风险及商誉减值风险。</w:t>
      </w:r>
    </w:p>
    <w:p>
      <w:pPr>
        <w:pStyle w:val="BodyText"/>
        <w:spacing w:line="357" w:lineRule="auto" w:before="46"/>
        <w:ind w:right="287" w:firstLine="480"/>
        <w:jc w:val="both"/>
      </w:pPr>
      <w:r>
        <w:rPr/>
        <w:t>对此，公司将本着合作共赢的观念，充分尊重两家公司文化差异，加强沟通，在保持 南康科技技术研发、工程实施和管理团队稳定的基础上，将超图软件规范、高效的管理模 式及运营机制逐步引入南康科技，统一财务管理体系，加强内控制度建设，建设企业文化 等措施，较快、平稳的实现双方的整合。</w:t>
      </w:r>
    </w:p>
    <w:p>
      <w:pPr>
        <w:pStyle w:val="Heading2"/>
        <w:spacing w:line="240" w:lineRule="auto" w:before="183"/>
        <w:ind w:left="137" w:right="229"/>
        <w:jc w:val="left"/>
        <w:rPr>
          <w:b w:val="0"/>
          <w:bCs w:val="0"/>
        </w:rPr>
      </w:pPr>
      <w:bookmarkStart w:name="_bookmark24" w:id="25"/>
      <w:bookmarkEnd w:id="25"/>
      <w:r>
        <w:rPr>
          <w:b w:val="0"/>
          <w:bCs w:val="0"/>
        </w:rPr>
      </w:r>
      <w:r>
        <w:rPr/>
        <w:t>十、接待调研、沟通、采访等活动情况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2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、报告期内接待调研、沟通、采访等活动登记表</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tbl>
      <w:tblPr>
        <w:tblW w:w="0" w:type="auto"/>
        <w:jc w:val="left"/>
        <w:tblInd w:w="137" w:type="dxa"/>
        <w:tblLayout w:type="fixed"/>
        <w:tblCellMar>
          <w:top w:w="0" w:type="dxa"/>
          <w:left w:w="0" w:type="dxa"/>
          <w:bottom w:w="0" w:type="dxa"/>
          <w:right w:w="0" w:type="dxa"/>
        </w:tblCellMar>
        <w:tblLook w:val="01E0"/>
      </w:tblPr>
      <w:tblGrid>
        <w:gridCol w:w="1694"/>
        <w:gridCol w:w="1664"/>
        <w:gridCol w:w="694"/>
        <w:gridCol w:w="972"/>
        <w:gridCol w:w="4465"/>
      </w:tblGrid>
      <w:tr>
        <w:trPr>
          <w:trHeight w:val="635"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式</w:t>
            </w:r>
            <w:r>
              <w:rPr>
                <w:rFonts w:ascii="Microsoft JhengHei" w:hAnsi="Microsoft JhengHei" w:cs="Microsoft JhengHei" w:eastAsia="Microsoft JhengHei" w:hint="default"/>
                <w:w w:val="100"/>
                <w:sz w:val="21"/>
                <w:szCs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调研基本情况索引</w:t>
            </w:r>
            <w:r>
              <w:rPr>
                <w:rFonts w:ascii="Microsoft JhengHei" w:hAnsi="Microsoft JhengHei" w:cs="Microsoft JhengHei" w:eastAsia="Microsoft JhengHei" w:hint="default"/>
                <w:sz w:val="21"/>
                <w:szCs w:val="21"/>
              </w:rPr>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会议室</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01"/>
              <w:jc w:val="left"/>
              <w:rPr>
                <w:rFonts w:ascii="宋体" w:hAnsi="宋体" w:cs="宋体" w:eastAsia="宋体" w:hint="default"/>
                <w:sz w:val="21"/>
                <w:szCs w:val="21"/>
              </w:rPr>
            </w:pPr>
            <w:r>
              <w:rPr>
                <w:rFonts w:ascii="宋体" w:hAnsi="宋体" w:cs="宋体" w:eastAsia="宋体" w:hint="default"/>
                <w:sz w:val="21"/>
                <w:szCs w:val="21"/>
              </w:rPr>
              <w:t>机构及个</w:t>
            </w:r>
            <w:r>
              <w:rPr>
                <w:rFonts w:ascii="宋体" w:hAnsi="宋体" w:cs="宋体" w:eastAsia="宋体" w:hint="default"/>
                <w:spacing w:val="-3"/>
                <w:w w:val="100"/>
                <w:sz w:val="21"/>
                <w:szCs w:val="21"/>
              </w:rPr>
              <w:t> </w:t>
            </w:r>
            <w:r>
              <w:rPr>
                <w:rFonts w:ascii="宋体" w:hAnsi="宋体" w:cs="宋体" w:eastAsia="宋体" w:hint="default"/>
                <w:sz w:val="21"/>
                <w:szCs w:val="21"/>
              </w:rPr>
              <w:t>人</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9" w:right="22"/>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2015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4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0"/>
                <w:w w:val="100"/>
                <w:sz w:val="21"/>
                <w:szCs w:val="21"/>
              </w:rPr>
              <w:t>日投资者关系活动记录表》，</w:t>
            </w:r>
            <w:r>
              <w:rPr>
                <w:rFonts w:ascii="宋体" w:hAnsi="宋体" w:cs="宋体" w:eastAsia="宋体" w:hint="default"/>
                <w:w w:val="100"/>
                <w:sz w:val="21"/>
                <w:szCs w:val="21"/>
              </w:rPr>
              <w:t> </w:t>
            </w:r>
            <w:r>
              <w:rPr>
                <w:rFonts w:ascii="宋体" w:hAnsi="宋体" w:cs="宋体" w:eastAsia="宋体" w:hint="default"/>
                <w:sz w:val="21"/>
                <w:szCs w:val="21"/>
              </w:rPr>
              <w:t>披露网站：巨潮资讯网</w:t>
            </w:r>
            <w:r>
              <w:rPr>
                <w:rFonts w:ascii="Times New Roman" w:hAnsi="Times New Roman" w:cs="Times New Roman" w:eastAsia="Times New Roman" w:hint="default"/>
                <w:sz w:val="21"/>
                <w:szCs w:val="21"/>
              </w:rPr>
              <w:t>(www.cninfo.com.cn)</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6"/>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会议室</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9" w:right="74"/>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0"/>
                <w:w w:val="100"/>
                <w:sz w:val="21"/>
                <w:szCs w:val="21"/>
              </w:rPr>
              <w:t>日投资者关系活动记录表》，</w:t>
            </w:r>
            <w:r>
              <w:rPr>
                <w:rFonts w:ascii="宋体" w:hAnsi="宋体" w:cs="宋体" w:eastAsia="宋体" w:hint="default"/>
                <w:w w:val="100"/>
                <w:sz w:val="21"/>
                <w:szCs w:val="21"/>
              </w:rPr>
              <w:t> </w:t>
            </w:r>
            <w:r>
              <w:rPr>
                <w:rFonts w:ascii="宋体" w:hAnsi="宋体" w:cs="宋体" w:eastAsia="宋体" w:hint="default"/>
                <w:sz w:val="21"/>
                <w:szCs w:val="21"/>
              </w:rPr>
              <w:t>披露网站：巨潮资讯网</w:t>
            </w:r>
            <w:r>
              <w:rPr>
                <w:rFonts w:ascii="Times New Roman" w:hAnsi="Times New Roman" w:cs="Times New Roman" w:eastAsia="Times New Roman" w:hint="default"/>
                <w:sz w:val="21"/>
                <w:szCs w:val="21"/>
              </w:rPr>
              <w:t>(www.cninfo.com.cn)</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会议室</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9" w:right="22"/>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2015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8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26</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10"/>
                <w:w w:val="100"/>
                <w:sz w:val="21"/>
                <w:szCs w:val="21"/>
              </w:rPr>
              <w:t>日投资者关系活动记录表》，</w:t>
            </w:r>
            <w:r>
              <w:rPr>
                <w:rFonts w:ascii="宋体" w:hAnsi="宋体" w:cs="宋体" w:eastAsia="宋体" w:hint="default"/>
                <w:w w:val="100"/>
                <w:sz w:val="21"/>
                <w:szCs w:val="21"/>
              </w:rPr>
              <w:t> </w:t>
            </w:r>
            <w:r>
              <w:rPr>
                <w:rFonts w:ascii="宋体" w:hAnsi="宋体" w:cs="宋体" w:eastAsia="宋体" w:hint="default"/>
                <w:sz w:val="21"/>
                <w:szCs w:val="21"/>
              </w:rPr>
              <w:t>披露网站：巨潮资讯网</w:t>
            </w:r>
            <w:r>
              <w:rPr>
                <w:rFonts w:ascii="Times New Roman" w:hAnsi="Times New Roman" w:cs="Times New Roman" w:eastAsia="Times New Roman" w:hint="default"/>
                <w:sz w:val="21"/>
                <w:szCs w:val="21"/>
              </w:rPr>
              <w:t>(www.cninfo.com.cn)</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6"/>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会议室</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9" w:right="74"/>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2015</w:t>
            </w:r>
            <w:r>
              <w:rPr>
                <w:rFonts w:ascii="Times New Roman" w:hAnsi="Times New Roman" w:cs="Times New Roman" w:eastAsia="Times New Roman"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0"/>
                <w:w w:val="100"/>
                <w:sz w:val="21"/>
                <w:szCs w:val="21"/>
              </w:rPr>
              <w:t>日投资者关系活动记录表》，</w:t>
            </w:r>
            <w:r>
              <w:rPr>
                <w:rFonts w:ascii="宋体" w:hAnsi="宋体" w:cs="宋体" w:eastAsia="宋体" w:hint="default"/>
                <w:w w:val="100"/>
                <w:sz w:val="21"/>
                <w:szCs w:val="21"/>
              </w:rPr>
              <w:t> </w:t>
            </w:r>
            <w:r>
              <w:rPr>
                <w:rFonts w:ascii="宋体" w:hAnsi="宋体" w:cs="宋体" w:eastAsia="宋体" w:hint="default"/>
                <w:sz w:val="21"/>
                <w:szCs w:val="21"/>
              </w:rPr>
              <w:t>披露网站：巨潮资讯网</w:t>
            </w:r>
            <w:r>
              <w:rPr>
                <w:rFonts w:ascii="Times New Roman" w:hAnsi="Times New Roman" w:cs="Times New Roman" w:eastAsia="Times New Roman" w:hint="default"/>
                <w:sz w:val="21"/>
                <w:szCs w:val="21"/>
              </w:rPr>
              <w:t>(www.cninfo.com.cn)</w:t>
            </w:r>
          </w:p>
        </w:tc>
      </w:tr>
      <w:tr>
        <w:trPr>
          <w:trHeight w:val="948"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会议室</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9" w:right="49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日投资者关系活动记录</w:t>
            </w:r>
            <w:r>
              <w:rPr>
                <w:rFonts w:ascii="宋体" w:hAnsi="宋体" w:cs="宋体" w:eastAsia="宋体" w:hint="default"/>
                <w:w w:val="100"/>
                <w:sz w:val="21"/>
                <w:szCs w:val="21"/>
              </w:rPr>
              <w:t> </w:t>
            </w:r>
            <w:r>
              <w:rPr>
                <w:rFonts w:ascii="宋体" w:hAnsi="宋体" w:cs="宋体" w:eastAsia="宋体" w:hint="default"/>
                <w:spacing w:val="-10"/>
                <w:w w:val="100"/>
                <w:sz w:val="21"/>
                <w:szCs w:val="21"/>
              </w:rPr>
              <w:t>表》，披露网站：巨潮资讯网</w:t>
            </w:r>
          </w:p>
          <w:p>
            <w:pPr>
              <w:pStyle w:val="TableParagraph"/>
              <w:spacing w:line="240" w:lineRule="auto" w:before="69"/>
              <w:ind w:left="19" w:right="0"/>
              <w:jc w:val="left"/>
              <w:rPr>
                <w:rFonts w:ascii="Times New Roman" w:hAnsi="Times New Roman" w:cs="Times New Roman" w:eastAsia="Times New Roman" w:hint="default"/>
                <w:sz w:val="21"/>
                <w:szCs w:val="21"/>
              </w:rPr>
            </w:pPr>
            <w:r>
              <w:rPr>
                <w:rFonts w:ascii="Times New Roman"/>
                <w:sz w:val="21"/>
              </w:rPr>
              <w:t>(www.cninfo.com.cn)</w:t>
            </w:r>
          </w:p>
        </w:tc>
      </w:tr>
    </w:tbl>
    <w:p>
      <w:pPr>
        <w:spacing w:before="64"/>
        <w:ind w:left="557" w:right="0" w:firstLine="0"/>
        <w:jc w:val="left"/>
        <w:rPr>
          <w:rFonts w:ascii="宋体" w:hAnsi="宋体" w:cs="宋体" w:eastAsia="宋体" w:hint="default"/>
          <w:sz w:val="21"/>
          <w:szCs w:val="21"/>
        </w:rPr>
      </w:pPr>
      <w:r>
        <w:rPr>
          <w:rFonts w:ascii="宋体" w:hAnsi="宋体" w:cs="宋体" w:eastAsia="宋体" w:hint="default"/>
          <w:sz w:val="21"/>
          <w:szCs w:val="21"/>
        </w:rPr>
        <w:t>除接待投资者实地调研，还通过深交所投资者互动平台和投资者热线与投资者进行互动，在此不一</w:t>
      </w:r>
    </w:p>
    <w:p>
      <w:pPr>
        <w:spacing w:after="0"/>
        <w:jc w:val="left"/>
        <w:rPr>
          <w:rFonts w:ascii="宋体" w:hAnsi="宋体" w:cs="宋体" w:eastAsia="宋体" w:hint="default"/>
          <w:sz w:val="21"/>
          <w:szCs w:val="21"/>
        </w:rPr>
        <w:sectPr>
          <w:footerReference w:type="default" r:id="rId23"/>
          <w:pgSz w:w="11910" w:h="16840"/>
          <w:pgMar w:footer="1085" w:header="877" w:top="1220" w:bottom="1280" w:left="1140" w:right="980"/>
          <w:pgNumType w:start="51"/>
        </w:sectPr>
      </w:pPr>
    </w:p>
    <w:p>
      <w:pPr>
        <w:spacing w:line="240" w:lineRule="auto" w:before="10"/>
        <w:rPr>
          <w:rFonts w:ascii="宋体" w:hAnsi="宋体" w:cs="宋体" w:eastAsia="宋体" w:hint="default"/>
          <w:sz w:val="17"/>
          <w:szCs w:val="17"/>
        </w:rPr>
      </w:pPr>
    </w:p>
    <w:p>
      <w:pPr>
        <w:spacing w:before="36"/>
        <w:ind w:left="137" w:right="229" w:firstLine="0"/>
        <w:jc w:val="left"/>
        <w:rPr>
          <w:rFonts w:ascii="宋体" w:hAnsi="宋体" w:cs="宋体" w:eastAsia="宋体" w:hint="default"/>
          <w:sz w:val="21"/>
          <w:szCs w:val="21"/>
        </w:rPr>
      </w:pPr>
      <w:r>
        <w:rPr>
          <w:rFonts w:ascii="宋体" w:hAnsi="宋体" w:cs="宋体" w:eastAsia="宋体" w:hint="default"/>
          <w:sz w:val="21"/>
          <w:szCs w:val="21"/>
        </w:rPr>
        <w:t>一列举所接待的个人投资者的电话来访。</w:t>
      </w:r>
    </w:p>
    <w:p>
      <w:pPr>
        <w:spacing w:line="240" w:lineRule="auto" w:before="12"/>
        <w:rPr>
          <w:rFonts w:ascii="宋体" w:hAnsi="宋体" w:cs="宋体" w:eastAsia="宋体" w:hint="default"/>
          <w:sz w:val="29"/>
          <w:szCs w:val="29"/>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19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公司报告期期末至披露日期间未发生接待调研、沟通、采访等活动。</w:t>
      </w:r>
    </w:p>
    <w:p>
      <w:pPr>
        <w:spacing w:after="0" w:line="326" w:lineRule="auto"/>
        <w:jc w:val="left"/>
        <w:sectPr>
          <w:pgSz w:w="11910" w:h="16840"/>
          <w:pgMar w:header="877" w:footer="1085" w:top="1220" w:bottom="1280" w:left="1140" w:right="980"/>
        </w:sectPr>
      </w:pPr>
    </w:p>
    <w:p>
      <w:pPr>
        <w:spacing w:line="240" w:lineRule="auto" w:before="6"/>
        <w:rPr>
          <w:rFonts w:ascii="宋体" w:hAnsi="宋体" w:cs="宋体" w:eastAsia="宋体" w:hint="default"/>
          <w:sz w:val="19"/>
          <w:szCs w:val="19"/>
        </w:rPr>
      </w:pPr>
    </w:p>
    <w:p>
      <w:pPr>
        <w:pStyle w:val="Heading1"/>
        <w:tabs>
          <w:tab w:pos="1260" w:val="left" w:leader="none"/>
        </w:tabs>
        <w:spacing w:line="456" w:lineRule="exact"/>
        <w:ind w:right="17"/>
        <w:jc w:val="center"/>
        <w:rPr>
          <w:b w:val="0"/>
          <w:bCs w:val="0"/>
        </w:rPr>
      </w:pPr>
      <w:bookmarkStart w:name="_bookmark25" w:id="26"/>
      <w:bookmarkEnd w:id="26"/>
      <w:r>
        <w:rPr>
          <w:b w:val="0"/>
          <w:bCs w:val="0"/>
        </w:rPr>
      </w:r>
      <w:r>
        <w:rPr>
          <w:spacing w:val="4"/>
          <w:w w:val="95"/>
        </w:rPr>
        <w:t>第五节</w:t>
        <w:tab/>
      </w:r>
      <w:r>
        <w:rPr>
          <w:spacing w:val="4"/>
        </w:rPr>
        <w:t>重要事项</w:t>
      </w:r>
      <w:r>
        <w:rPr>
          <w:b w:val="0"/>
          <w:bCs w:val="0"/>
          <w:spacing w:val="4"/>
        </w:rPr>
      </w:r>
    </w:p>
    <w:p>
      <w:pPr>
        <w:spacing w:line="240" w:lineRule="auto" w:before="2"/>
        <w:rPr>
          <w:rFonts w:ascii="Microsoft JhengHei" w:hAnsi="Microsoft JhengHei" w:cs="Microsoft JhengHei" w:eastAsia="Microsoft JhengHei" w:hint="default"/>
          <w:b/>
          <w:bCs/>
          <w:sz w:val="19"/>
          <w:szCs w:val="19"/>
        </w:rPr>
      </w:pPr>
    </w:p>
    <w:p>
      <w:pPr>
        <w:spacing w:line="441" w:lineRule="auto" w:before="0"/>
        <w:ind w:left="617" w:right="989" w:hanging="480"/>
        <w:jc w:val="left"/>
        <w:rPr>
          <w:rFonts w:ascii="宋体" w:hAnsi="宋体" w:cs="宋体" w:eastAsia="宋体" w:hint="default"/>
          <w:sz w:val="24"/>
          <w:szCs w:val="24"/>
        </w:rPr>
      </w:pPr>
      <w:bookmarkStart w:name="_bookmark26" w:id="27"/>
      <w:bookmarkEnd w:id="27"/>
      <w:r>
        <w:rPr/>
      </w: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pStyle w:val="BodyText"/>
        <w:spacing w:line="297" w:lineRule="exact" w:before="0"/>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pStyle w:val="BodyText"/>
        <w:spacing w:line="240" w:lineRule="auto" w:before="123"/>
        <w:ind w:left="169" w:right="20"/>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日，公司第三届董事会第五次会议审议通过了</w:t>
      </w:r>
      <w:r>
        <w:rPr>
          <w:spacing w:val="-59"/>
        </w:rPr>
        <w:t> </w:t>
      </w:r>
      <w:r>
        <w:rPr>
          <w:rFonts w:ascii="Times New Roman" w:hAnsi="Times New Roman" w:cs="Times New Roman" w:eastAsia="Times New Roman" w:hint="default"/>
        </w:rPr>
        <w:t>2014 </w:t>
      </w:r>
      <w:r>
        <w:rPr/>
        <w:t>年度利润分配方</w:t>
      </w:r>
    </w:p>
    <w:p>
      <w:pPr>
        <w:pStyle w:val="BodyText"/>
        <w:spacing w:line="240" w:lineRule="auto" w:before="135"/>
        <w:ind w:right="0"/>
        <w:jc w:val="left"/>
      </w:pPr>
      <w:r>
        <w:rPr/>
        <w:t>案，以截止</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122,434,680 </w:t>
      </w:r>
      <w:r>
        <w:rPr/>
        <w:t>股为基数，向全体股东以每</w:t>
      </w:r>
      <w:r>
        <w:rPr>
          <w:spacing w:val="-60"/>
        </w:rPr>
        <w:t> </w:t>
      </w:r>
      <w:r>
        <w:rPr>
          <w:rFonts w:ascii="Times New Roman" w:hAnsi="Times New Roman" w:cs="Times New Roman" w:eastAsia="Times New Roman" w:hint="default"/>
        </w:rPr>
        <w:t>10 </w:t>
      </w:r>
      <w:r>
        <w:rPr/>
        <w:t>股派</w:t>
      </w:r>
    </w:p>
    <w:p>
      <w:pPr>
        <w:pStyle w:val="BodyText"/>
        <w:spacing w:line="240" w:lineRule="auto" w:before="136"/>
        <w:ind w:right="229"/>
        <w:jc w:val="left"/>
      </w:pPr>
      <w:r>
        <w:rPr/>
        <w:t>人民币现金</w:t>
      </w:r>
      <w:r>
        <w:rPr>
          <w:spacing w:val="-61"/>
        </w:rPr>
        <w:t> </w:t>
      </w:r>
      <w:r>
        <w:rPr>
          <w:rFonts w:ascii="Times New Roman" w:hAnsi="Times New Roman" w:cs="Times New Roman" w:eastAsia="Times New Roman" w:hint="default"/>
        </w:rPr>
        <w:t>1 </w:t>
      </w:r>
      <w:r>
        <w:rPr/>
        <w:t>元（含税</w:t>
      </w:r>
      <w:r>
        <w:rPr>
          <w:spacing w:val="-120"/>
        </w:rPr>
        <w:t>）</w:t>
      </w:r>
      <w:r>
        <w:rPr/>
        <w:t>，共计派发现金</w:t>
      </w:r>
      <w:r>
        <w:rPr>
          <w:spacing w:val="-60"/>
        </w:rPr>
        <w:t> </w:t>
      </w:r>
      <w:r>
        <w:rPr>
          <w:rFonts w:ascii="Times New Roman" w:hAnsi="Times New Roman" w:cs="Times New Roman" w:eastAsia="Times New Roman" w:hint="default"/>
        </w:rPr>
        <w:t>12,243,468.00 </w:t>
      </w:r>
      <w:r>
        <w:rPr/>
        <w:t>元，同时，以资本公积金向全体股</w:t>
      </w:r>
    </w:p>
    <w:p>
      <w:pPr>
        <w:pStyle w:val="BodyText"/>
        <w:spacing w:line="240" w:lineRule="auto" w:before="135"/>
        <w:ind w:right="229"/>
        <w:jc w:val="left"/>
      </w:pPr>
      <w:r>
        <w:rPr/>
        <w:t>东每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60"/>
        </w:rPr>
        <w:t> </w:t>
      </w:r>
      <w:r>
        <w:rPr>
          <w:rFonts w:ascii="Times New Roman" w:hAnsi="Times New Roman" w:cs="Times New Roman" w:eastAsia="Times New Roman" w:hint="default"/>
        </w:rPr>
        <w:t>6 </w:t>
      </w:r>
      <w:r>
        <w:rPr/>
        <w:t>股。</w:t>
      </w:r>
    </w:p>
    <w:p>
      <w:pPr>
        <w:pStyle w:val="BodyText"/>
        <w:spacing w:line="240" w:lineRule="auto" w:before="135"/>
        <w:ind w:left="617" w:right="0"/>
        <w:jc w:val="left"/>
      </w:pPr>
      <w:r>
        <w:rPr/>
        <w:t>根据</w:t>
      </w:r>
      <w:r>
        <w:rPr>
          <w:spacing w:val="-61"/>
        </w:rPr>
        <w:t> </w:t>
      </w:r>
      <w:r>
        <w:rPr>
          <w:rFonts w:ascii="Times New Roman" w:hAnsi="Times New Roman" w:cs="Times New Roman" w:eastAsia="Times New Roman" w:hint="default"/>
        </w:rPr>
        <w:t>2014 </w:t>
      </w:r>
      <w:r>
        <w:rPr/>
        <w:t>年度股东大会决议，公司于</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6 </w:t>
      </w:r>
      <w:r>
        <w:rPr/>
        <w:t>日在巨潮资讯网刊登了《</w:t>
      </w:r>
      <w:r>
        <w:rPr>
          <w:rFonts w:ascii="Times New Roman" w:hAnsi="Times New Roman" w:cs="Times New Roman" w:eastAsia="Times New Roman" w:hint="default"/>
        </w:rPr>
        <w:t>2014 </w:t>
      </w:r>
      <w:r>
        <w:rPr/>
        <w:t>年</w:t>
      </w:r>
    </w:p>
    <w:p>
      <w:pPr>
        <w:pStyle w:val="BodyText"/>
        <w:spacing w:line="240" w:lineRule="auto" w:before="135"/>
        <w:ind w:right="229"/>
        <w:jc w:val="left"/>
      </w:pPr>
      <w:r>
        <w:rPr/>
        <w:t>度权益分配实施的公告</w:t>
      </w:r>
      <w:r>
        <w:rPr>
          <w:spacing w:val="-120"/>
        </w:rPr>
        <w:t>》</w:t>
      </w:r>
      <w:r>
        <w:rPr/>
        <w:t>，本次权益分配股权登记日为：</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日，除权除息日</w:t>
      </w:r>
    </w:p>
    <w:p>
      <w:pPr>
        <w:pStyle w:val="BodyText"/>
        <w:spacing w:line="240" w:lineRule="auto" w:before="135"/>
        <w:ind w:right="229"/>
        <w:jc w:val="left"/>
      </w:pPr>
      <w:r>
        <w:rPr/>
        <w:t>为：</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12 </w:t>
      </w:r>
      <w:r>
        <w:rPr/>
        <w:t>日。截止本报告期末，该利润分配方案已实施完毕。</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7725"/>
        <w:gridCol w:w="1764"/>
      </w:tblGrid>
      <w:tr>
        <w:trPr>
          <w:trHeight w:val="324" w:hRule="exact"/>
        </w:trPr>
        <w:tc>
          <w:tcPr>
            <w:tcW w:w="9489" w:type="dxa"/>
            <w:gridSpan w:val="2"/>
            <w:tcBorders>
              <w:top w:val="single" w:sz="4" w:space="0" w:color="000000"/>
              <w:left w:val="single" w:sz="4" w:space="0" w:color="000000"/>
              <w:bottom w:val="single" w:sz="6" w:space="0" w:color="000000"/>
              <w:right w:val="single" w:sz="4" w:space="0" w:color="000000"/>
            </w:tcBorders>
            <w:shd w:val="clear" w:color="auto" w:fill="BEBEBE"/>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现金分红政策的专项说明</w:t>
            </w:r>
            <w:r>
              <w:rPr>
                <w:rFonts w:ascii="Microsoft JhengHei" w:hAnsi="Microsoft JhengHei" w:cs="Microsoft JhengHei" w:eastAsia="Microsoft JhengHei" w:hint="default"/>
                <w:sz w:val="21"/>
                <w:szCs w:val="21"/>
              </w:rPr>
            </w:r>
          </w:p>
        </w:tc>
      </w:tr>
      <w:tr>
        <w:trPr>
          <w:trHeight w:val="328" w:hRule="exact"/>
        </w:trPr>
        <w:tc>
          <w:tcPr>
            <w:tcW w:w="772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772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64"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7" w:hRule="exact"/>
        </w:trPr>
        <w:tc>
          <w:tcPr>
            <w:tcW w:w="772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7" w:hRule="exact"/>
        </w:trPr>
        <w:tc>
          <w:tcPr>
            <w:tcW w:w="772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8" w:hRule="exact"/>
        </w:trPr>
        <w:tc>
          <w:tcPr>
            <w:tcW w:w="7725" w:type="dxa"/>
            <w:tcBorders>
              <w:top w:val="single" w:sz="6" w:space="0" w:color="000000"/>
              <w:left w:val="single" w:sz="4" w:space="0" w:color="000000"/>
              <w:bottom w:val="single" w:sz="6" w:space="0" w:color="000000"/>
              <w:right w:val="single" w:sz="6" w:space="0" w:color="000000"/>
            </w:tcBorders>
            <w:shd w:val="clear" w:color="auto" w:fill="BEBEBE"/>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5" w:hRule="exact"/>
        </w:trPr>
        <w:tc>
          <w:tcPr>
            <w:tcW w:w="7725" w:type="dxa"/>
            <w:tcBorders>
              <w:top w:val="single" w:sz="6" w:space="0" w:color="000000"/>
              <w:left w:val="single" w:sz="4" w:space="0" w:color="000000"/>
              <w:bottom w:val="single" w:sz="4" w:space="0" w:color="000000"/>
              <w:right w:val="single" w:sz="6" w:space="0" w:color="000000"/>
            </w:tcBorders>
            <w:shd w:val="clear" w:color="auto" w:fill="BEBEBE"/>
          </w:tcPr>
          <w:p>
            <w:pPr>
              <w:pStyle w:val="TableParagraph"/>
              <w:spacing w:line="26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64" w:lineRule="exact"/>
              <w:ind w:left="76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357" w:lineRule="auto" w:before="39"/>
        <w:ind w:right="269" w:firstLine="480"/>
        <w:jc w:val="left"/>
      </w:pPr>
      <w:r>
        <w:rPr/>
        <w:t>公司报告期利润分配预案及资本公积金转增股本预案与公司章程和分红管理办法等的 相关规定一致</w:t>
      </w:r>
    </w:p>
    <w:p>
      <w:pPr>
        <w:pStyle w:val="BodyText"/>
        <w:spacing w:line="340" w:lineRule="auto"/>
        <w:ind w:left="617" w:right="509"/>
        <w:jc w:val="left"/>
      </w:pPr>
      <w:r>
        <w:rPr>
          <w:rFonts w:ascii="Calibri" w:hAnsi="Calibri" w:cs="Calibri" w:eastAsia="Calibri" w:hint="default"/>
        </w:rPr>
        <w:t>√ </w:t>
      </w:r>
      <w:r>
        <w:rPr/>
        <w:t>是 </w:t>
      </w:r>
      <w:r>
        <w:rPr>
          <w:rFonts w:ascii="Calibri" w:hAnsi="Calibri" w:cs="Calibri" w:eastAsia="Calibri" w:hint="default"/>
        </w:rPr>
        <w:t>□ </w:t>
      </w:r>
      <w:r>
        <w:rPr/>
        <w:t>否 </w:t>
      </w:r>
      <w:r>
        <w:rPr>
          <w:rFonts w:ascii="Calibri" w:hAnsi="Calibri" w:cs="Calibri" w:eastAsia="Calibri" w:hint="default"/>
        </w:rPr>
        <w:t>□</w:t>
      </w:r>
      <w:r>
        <w:rPr>
          <w:rFonts w:ascii="Calibri" w:hAnsi="Calibri" w:cs="Calibri" w:eastAsia="Calibri" w:hint="default"/>
          <w:spacing w:val="29"/>
        </w:rPr>
        <w:t> </w:t>
      </w:r>
      <w:r>
        <w:rPr/>
        <w:t>不适用</w:t>
      </w:r>
      <w:r>
        <w:rPr>
          <w:w w:val="99"/>
        </w:rPr>
        <w:t> </w:t>
      </w:r>
      <w:r>
        <w:rPr/>
        <w:t>公司报告期利润分配预案及资本公积金转增股本预案符合公司章程等的相关规定。</w:t>
      </w:r>
      <w:r>
        <w:rPr>
          <w:w w:val="99"/>
        </w:rPr>
        <w:t> </w:t>
      </w:r>
      <w:r>
        <w:rPr/>
        <w:t>本年度利润分配及资本公积金转增股本预案</w:t>
      </w:r>
    </w:p>
    <w:tbl>
      <w:tblPr>
        <w:tblW w:w="0" w:type="auto"/>
        <w:jc w:val="left"/>
        <w:tblInd w:w="137" w:type="dxa"/>
        <w:tblLayout w:type="fixed"/>
        <w:tblCellMar>
          <w:top w:w="0" w:type="dxa"/>
          <w:left w:w="0" w:type="dxa"/>
          <w:bottom w:w="0" w:type="dxa"/>
          <w:right w:w="0" w:type="dxa"/>
        </w:tblCellMar>
        <w:tblLook w:val="01E0"/>
      </w:tblPr>
      <w:tblGrid>
        <w:gridCol w:w="3685"/>
        <w:gridCol w:w="5804"/>
      </w:tblGrid>
      <w:tr>
        <w:trPr>
          <w:trHeight w:val="322"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1</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10</w:t>
            </w:r>
          </w:p>
        </w:tc>
      </w:tr>
      <w:tr>
        <w:trPr>
          <w:trHeight w:val="323"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195,821,670</w:t>
            </w:r>
          </w:p>
        </w:tc>
      </w:tr>
      <w:tr>
        <w:trPr>
          <w:trHeight w:val="323"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现金分红总额（元）</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19,582,167</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可分配利润（元）</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200,359,194.60</w:t>
            </w:r>
          </w:p>
        </w:tc>
      </w:tr>
      <w:tr>
        <w:trPr>
          <w:trHeight w:val="322" w:hRule="exact"/>
        </w:trPr>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现金分红占利润分配总额的比例（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100%</w:t>
            </w:r>
          </w:p>
        </w:tc>
      </w:tr>
      <w:tr>
        <w:trPr>
          <w:trHeight w:val="322" w:hRule="exact"/>
        </w:trPr>
        <w:tc>
          <w:tcPr>
            <w:tcW w:w="9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本次现金分红情况：</w:t>
            </w:r>
            <w:r>
              <w:rPr>
                <w:rFonts w:ascii="Microsoft JhengHei" w:hAnsi="Microsoft JhengHei" w:cs="Microsoft JhengHei" w:eastAsia="Microsoft JhengHei" w:hint="default"/>
                <w:sz w:val="21"/>
                <w:szCs w:val="21"/>
              </w:rPr>
            </w:r>
          </w:p>
        </w:tc>
      </w:tr>
      <w:tr>
        <w:trPr>
          <w:trHeight w:val="634" w:hRule="exact"/>
        </w:trPr>
        <w:tc>
          <w:tcPr>
            <w:tcW w:w="9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209"/>
              <w:jc w:val="left"/>
              <w:rPr>
                <w:rFonts w:ascii="宋体" w:hAnsi="宋体" w:cs="宋体" w:eastAsia="宋体" w:hint="default"/>
                <w:sz w:val="21"/>
                <w:szCs w:val="21"/>
              </w:rPr>
            </w:pPr>
            <w:r>
              <w:rPr>
                <w:rFonts w:ascii="宋体" w:hAnsi="宋体" w:cs="宋体" w:eastAsia="宋体" w:hint="default"/>
                <w:spacing w:val="-2"/>
                <w:sz w:val="21"/>
                <w:szCs w:val="21"/>
              </w:rPr>
              <w:t>公司发展阶段属成长期且有重大资金支出安排的，进行利润分配时，现金分红在本次利润分配中所占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比例最低应达到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w:t>
            </w:r>
          </w:p>
        </w:tc>
      </w:tr>
      <w:tr>
        <w:trPr>
          <w:trHeight w:val="323" w:hRule="exact"/>
        </w:trPr>
        <w:tc>
          <w:tcPr>
            <w:tcW w:w="9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5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利润分配或资本公积金转增预案的详细情况说明</w:t>
            </w:r>
            <w:r>
              <w:rPr>
                <w:rFonts w:ascii="Microsoft JhengHei" w:hAnsi="Microsoft JhengHei" w:cs="Microsoft JhengHei" w:eastAsia="Microsoft JhengHei" w:hint="default"/>
                <w:sz w:val="21"/>
                <w:szCs w:val="21"/>
              </w:rPr>
            </w:r>
          </w:p>
        </w:tc>
      </w:tr>
    </w:tbl>
    <w:p>
      <w:pPr>
        <w:spacing w:after="0" w:line="286" w:lineRule="exact"/>
        <w:jc w:val="left"/>
        <w:rPr>
          <w:rFonts w:ascii="Microsoft JhengHei" w:hAnsi="Microsoft JhengHei" w:cs="Microsoft JhengHei" w:eastAsia="Microsoft JhengHei" w:hint="default"/>
          <w:sz w:val="21"/>
          <w:szCs w:val="21"/>
        </w:rPr>
        <w:sectPr>
          <w:pgSz w:w="11910" w:h="16840"/>
          <w:pgMar w:header="877" w:footer="1085" w:top="1220" w:bottom="1280" w:left="1140" w:right="980"/>
        </w:sectPr>
      </w:pPr>
    </w:p>
    <w:p>
      <w:pPr>
        <w:spacing w:line="240" w:lineRule="auto" w:before="13"/>
        <w:rPr>
          <w:rFonts w:ascii="宋体" w:hAnsi="宋体" w:cs="宋体" w:eastAsia="宋体" w:hint="default"/>
          <w:sz w:val="15"/>
          <w:szCs w:val="15"/>
        </w:rPr>
      </w:pPr>
    </w:p>
    <w:p>
      <w:pPr>
        <w:spacing w:line="634" w:lineRule="exact"/>
        <w:ind w:left="14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4.45pt;height:31.7pt;mso-position-horizontal-relative:char;mso-position-vertical-relative:line" type="#_x0000_t202" filled="false" stroked="true" strokeweight=".47998pt" strokecolor="#000000">
            <w10:anchorlock/>
            <v:textbox inset="0,0,0,0">
              <w:txbxContent>
                <w:p>
                  <w:pPr>
                    <w:spacing w:line="279" w:lineRule="exact" w:before="0"/>
                    <w:ind w:left="439" w:right="0" w:firstLine="0"/>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195,821,670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股派发人民币现金</w:t>
                  </w:r>
                </w:p>
                <w:p>
                  <w:pPr>
                    <w:spacing w:before="21"/>
                    <w:ind w:left="19" w:right="0" w:firstLine="0"/>
                    <w:jc w:val="left"/>
                    <w:rPr>
                      <w:rFonts w:ascii="宋体" w:hAnsi="宋体" w:cs="宋体" w:eastAsia="宋体" w:hint="default"/>
                      <w:sz w:val="21"/>
                      <w:szCs w:val="21"/>
                    </w:rPr>
                  </w:pPr>
                  <w:r>
                    <w:rPr>
                      <w:rFonts w:ascii="宋体" w:hAnsi="宋体" w:cs="宋体" w:eastAsia="宋体" w:hint="default"/>
                      <w:w w:val="100"/>
                      <w:sz w:val="21"/>
                      <w:szCs w:val="21"/>
                    </w:rPr>
                    <w:t>红利</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计派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82,</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67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以</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326" w:lineRule="auto" w:before="26"/>
        <w:ind w:right="230" w:firstLine="480"/>
        <w:jc w:val="left"/>
      </w:pPr>
      <w:r>
        <w:rPr/>
        <w:t>公司近</w:t>
      </w:r>
      <w:r>
        <w:rPr>
          <w:spacing w:val="-54"/>
        </w:rPr>
        <w:t> </w:t>
      </w:r>
      <w:r>
        <w:rPr>
          <w:rFonts w:ascii="Calibri" w:hAnsi="Calibri" w:cs="Calibri" w:eastAsia="Calibri" w:hint="default"/>
        </w:rPr>
        <w:t>3</w:t>
      </w:r>
      <w:r>
        <w:rPr>
          <w:rFonts w:ascii="Calibri" w:hAnsi="Calibri" w:cs="Calibri" w:eastAsia="Calibri" w:hint="default"/>
          <w:spacing w:val="13"/>
        </w:rPr>
        <w:t> </w:t>
      </w:r>
      <w:r>
        <w:rPr>
          <w:spacing w:val="-4"/>
        </w:rPr>
        <w:t>年（包括本报告期）的普通股股利分配方案（预案）、资本公积金转增股本方</w:t>
      </w:r>
      <w:r>
        <w:rPr/>
        <w:t> 案（预案）情况：</w:t>
      </w:r>
    </w:p>
    <w:p>
      <w:pPr>
        <w:pStyle w:val="BodyText"/>
        <w:spacing w:line="338" w:lineRule="auto" w:before="67"/>
        <w:ind w:right="245"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年利润分配预案：以截止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195,821,670</w:t>
      </w:r>
      <w:r>
        <w:rPr/>
        <w:t>股为基数，向 </w:t>
      </w:r>
      <w:r>
        <w:rPr>
          <w:spacing w:val="-3"/>
        </w:rPr>
        <w:t>全体股东每</w:t>
      </w:r>
      <w:r>
        <w:rPr>
          <w:rFonts w:ascii="Times New Roman" w:hAnsi="Times New Roman" w:cs="Times New Roman" w:eastAsia="Times New Roman" w:hint="default"/>
          <w:spacing w:val="-3"/>
        </w:rPr>
        <w:t>10</w:t>
      </w:r>
      <w:r>
        <w:rPr>
          <w:spacing w:val="-3"/>
        </w:rPr>
        <w:t>股派发人民币现金红利</w:t>
      </w:r>
      <w:r>
        <w:rPr>
          <w:rFonts w:ascii="Times New Roman" w:hAnsi="Times New Roman" w:cs="Times New Roman" w:eastAsia="Times New Roman" w:hint="default"/>
          <w:spacing w:val="-3"/>
        </w:rPr>
        <w:t>1</w:t>
      </w:r>
      <w:r>
        <w:rPr>
          <w:spacing w:val="-3"/>
        </w:rPr>
        <w:t>元（含税），共计派发现金</w:t>
      </w:r>
      <w:r>
        <w:rPr>
          <w:rFonts w:ascii="Times New Roman" w:hAnsi="Times New Roman" w:cs="Times New Roman" w:eastAsia="Times New Roman" w:hint="default"/>
          <w:spacing w:val="-3"/>
        </w:rPr>
        <w:t>19,582,167</w:t>
      </w:r>
      <w:r>
        <w:rPr>
          <w:spacing w:val="-3"/>
        </w:rPr>
        <w:t>元，同时，以资</w:t>
      </w:r>
      <w:r>
        <w:rPr>
          <w:spacing w:val="-100"/>
        </w:rPr>
        <w:t> </w:t>
      </w:r>
      <w:r>
        <w:rPr/>
        <w:t>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38" w:lineRule="auto" w:before="27"/>
        <w:ind w:right="229"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年利润分配方案：以截止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122,434,680</w:t>
      </w:r>
      <w:r>
        <w:rPr/>
        <w:t>股为基数，向 </w:t>
      </w:r>
      <w:r>
        <w:rPr>
          <w:spacing w:val="-3"/>
        </w:rPr>
        <w:t>全体股东以每</w:t>
      </w:r>
      <w:r>
        <w:rPr>
          <w:rFonts w:ascii="Times New Roman" w:hAnsi="Times New Roman" w:cs="Times New Roman" w:eastAsia="Times New Roman" w:hint="default"/>
          <w:spacing w:val="-3"/>
        </w:rPr>
        <w:t>10</w:t>
      </w:r>
      <w:r>
        <w:rPr>
          <w:spacing w:val="-3"/>
        </w:rPr>
        <w:t>股派人民币现金</w:t>
      </w:r>
      <w:r>
        <w:rPr>
          <w:rFonts w:ascii="Times New Roman" w:hAnsi="Times New Roman" w:cs="Times New Roman" w:eastAsia="Times New Roman" w:hint="default"/>
          <w:spacing w:val="-3"/>
        </w:rPr>
        <w:t>1</w:t>
      </w:r>
      <w:r>
        <w:rPr>
          <w:spacing w:val="-3"/>
        </w:rPr>
        <w:t>元（含税），共计派发现金</w:t>
      </w:r>
      <w:r>
        <w:rPr>
          <w:rFonts w:ascii="Times New Roman" w:hAnsi="Times New Roman" w:cs="Times New Roman" w:eastAsia="Times New Roman" w:hint="default"/>
          <w:spacing w:val="-3"/>
        </w:rPr>
        <w:t>12,243,468.00</w:t>
      </w:r>
      <w:r>
        <w:rPr>
          <w:spacing w:val="-3"/>
        </w:rPr>
        <w:t>元，同时，以资</w:t>
      </w:r>
      <w:r>
        <w:rPr>
          <w:spacing w:val="-97"/>
        </w:rPr>
        <w:t> </w:t>
      </w:r>
      <w:r>
        <w:rPr/>
        <w:t>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338" w:lineRule="auto" w:before="27"/>
        <w:ind w:right="229"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年利润分配方案：以截止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122,309,680</w:t>
      </w:r>
      <w:r>
        <w:rPr/>
        <w:t>股为基数，向 </w:t>
      </w:r>
      <w:r>
        <w:rPr>
          <w:spacing w:val="-3"/>
        </w:rPr>
        <w:t>全体股东以每</w:t>
      </w:r>
      <w:r>
        <w:rPr>
          <w:rFonts w:ascii="Times New Roman" w:hAnsi="Times New Roman" w:cs="Times New Roman" w:eastAsia="Times New Roman" w:hint="default"/>
          <w:spacing w:val="-3"/>
        </w:rPr>
        <w:t>10</w:t>
      </w:r>
      <w:r>
        <w:rPr>
          <w:spacing w:val="-3"/>
        </w:rPr>
        <w:t>股派人民币现金</w:t>
      </w:r>
      <w:r>
        <w:rPr>
          <w:rFonts w:ascii="Times New Roman" w:hAnsi="Times New Roman" w:cs="Times New Roman" w:eastAsia="Times New Roman" w:hint="default"/>
          <w:spacing w:val="-3"/>
        </w:rPr>
        <w:t>1</w:t>
      </w:r>
      <w:r>
        <w:rPr>
          <w:spacing w:val="-3"/>
        </w:rPr>
        <w:t>元（含税），共计派发现金</w:t>
      </w:r>
      <w:r>
        <w:rPr>
          <w:rFonts w:ascii="Times New Roman" w:hAnsi="Times New Roman" w:cs="Times New Roman" w:eastAsia="Times New Roman" w:hint="default"/>
          <w:spacing w:val="-3"/>
        </w:rPr>
        <w:t>12,230,968.00</w:t>
      </w:r>
      <w:r>
        <w:rPr>
          <w:spacing w:val="-3"/>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617" w:right="346"/>
        <w:jc w:val="left"/>
      </w:pPr>
      <w:r>
        <w:rPr/>
        <w:t>公司近三年（包括本报告期）普通股现金分红情况表</w:t>
      </w:r>
    </w:p>
    <w:p>
      <w:pPr>
        <w:pStyle w:val="BodyText"/>
        <w:spacing w:line="240" w:lineRule="auto" w:before="154"/>
        <w:ind w:left="0" w:right="228"/>
        <w:jc w:val="right"/>
      </w:pPr>
      <w:r>
        <w:rPr/>
        <w:t>单位：元</w:t>
      </w:r>
    </w:p>
    <w:p>
      <w:pPr>
        <w:spacing w:line="240" w:lineRule="auto" w:before="11"/>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2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 w:right="55"/>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 w:right="55"/>
              <w:jc w:val="center"/>
              <w:rPr>
                <w:rFonts w:ascii="宋体" w:hAnsi="宋体" w:cs="宋体" w:eastAsia="宋体" w:hint="default"/>
                <w:sz w:val="21"/>
                <w:szCs w:val="21"/>
              </w:rPr>
            </w:pPr>
            <w:r>
              <w:rPr>
                <w:rFonts w:ascii="宋体" w:hAnsi="宋体" w:cs="宋体" w:eastAsia="宋体" w:hint="default"/>
                <w:spacing w:val="-1"/>
                <w:sz w:val="21"/>
                <w:szCs w:val="21"/>
              </w:rPr>
              <w:t>占合并报表中归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6" w:right="53" w:hanging="212"/>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66" w:right="55" w:hanging="212"/>
              <w:jc w:val="left"/>
              <w:rPr>
                <w:rFonts w:ascii="宋体" w:hAnsi="宋体" w:cs="宋体" w:eastAsia="宋体" w:hint="default"/>
                <w:sz w:val="21"/>
                <w:szCs w:val="21"/>
              </w:rPr>
            </w:pPr>
            <w:r>
              <w:rPr>
                <w:rFonts w:ascii="宋体" w:hAnsi="宋体" w:cs="宋体" w:eastAsia="宋体" w:hint="default"/>
                <w:sz w:val="21"/>
                <w:szCs w:val="21"/>
              </w:rPr>
              <w:t>以其他方式现金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分红的比例</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19,582,167.00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58,778,892.50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33.31%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12,243,468.00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45,894,440.61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12,230,968.00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54,765,607.83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357" w:lineRule="auto" w:before="39"/>
        <w:ind w:right="349" w:firstLine="480"/>
        <w:jc w:val="left"/>
      </w:pPr>
      <w:r>
        <w:rPr/>
        <w:t>公司报告期内盈利且母公司可供普通股股东分配利润为正但未提出普通股现金红利分 配预案</w:t>
      </w:r>
    </w:p>
    <w:p>
      <w:pPr>
        <w:tabs>
          <w:tab w:pos="1337" w:val="left" w:leader="none"/>
        </w:tabs>
        <w:spacing w:line="427" w:lineRule="auto" w:before="37"/>
        <w:ind w:left="137" w:right="7318"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适用</w:t>
        <w:tab/>
      </w:r>
      <w:r>
        <w:rPr>
          <w:rFonts w:ascii="Calibri" w:hAnsi="Calibri" w:cs="Calibri" w:eastAsia="Calibri" w:hint="default"/>
          <w:sz w:val="24"/>
          <w:szCs w:val="24"/>
        </w:rPr>
        <w:t>√</w:t>
      </w:r>
      <w:r>
        <w:rPr>
          <w:rFonts w:ascii="宋体" w:hAnsi="宋体" w:cs="宋体" w:eastAsia="宋体" w:hint="default"/>
          <w:sz w:val="24"/>
          <w:szCs w:val="24"/>
        </w:rPr>
        <w:t>不适用 </w:t>
      </w:r>
      <w:bookmarkStart w:name="_bookmark27" w:id="28"/>
      <w:bookmarkEnd w:id="28"/>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二、承诺事项履行情况</w:t>
      </w:r>
      <w:r>
        <w:rPr>
          <w:rFonts w:ascii="Microsoft JhengHei" w:hAnsi="Microsoft JhengHei" w:cs="Microsoft JhengHei" w:eastAsia="Microsoft JhengHei" w:hint="default"/>
          <w:sz w:val="24"/>
          <w:szCs w:val="24"/>
        </w:rPr>
      </w:r>
    </w:p>
    <w:p>
      <w:pPr>
        <w:pStyle w:val="Heading2"/>
        <w:spacing w:line="268" w:lineRule="auto" w:before="24"/>
        <w:ind w:left="137" w:right="229"/>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w:t>
      </w:r>
      <w:r>
        <w:rPr>
          <w:spacing w:val="-46"/>
        </w:rPr>
        <w:t> </w:t>
      </w:r>
      <w:r>
        <w:rPr>
          <w:spacing w:val="-46"/>
        </w:rPr>
      </w:r>
      <w:r>
        <w:rPr/>
        <w:t>内履行完毕及截至报告期末尚未履行完毕的承诺事项</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1951"/>
        <w:gridCol w:w="701"/>
        <w:gridCol w:w="610"/>
        <w:gridCol w:w="3600"/>
        <w:gridCol w:w="881"/>
        <w:gridCol w:w="878"/>
        <w:gridCol w:w="865"/>
      </w:tblGrid>
      <w:tr>
        <w:trPr>
          <w:trHeight w:val="32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承诺方</w:t>
            </w:r>
            <w:r>
              <w:rPr>
                <w:rFonts w:ascii="Microsoft JhengHei" w:hAnsi="Microsoft JhengHei" w:cs="Microsoft JhengHei" w:eastAsia="Microsoft JhengHei" w:hint="default"/>
                <w:sz w:val="21"/>
                <w:szCs w:val="21"/>
              </w:rPr>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w:t>
            </w:r>
            <w:r>
              <w:rPr>
                <w:rFonts w:ascii="Microsoft JhengHei" w:hAnsi="Microsoft JhengHei" w:cs="Microsoft JhengHei" w:eastAsia="Microsoft JhengHei" w:hint="default"/>
                <w:sz w:val="21"/>
                <w:szCs w:val="21"/>
              </w:rPr>
            </w:r>
          </w:p>
        </w:tc>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承诺内容</w:t>
            </w:r>
            <w:r>
              <w:rPr>
                <w:rFonts w:ascii="Microsoft JhengHei" w:hAnsi="Microsoft JhengHei" w:cs="Microsoft JhengHei" w:eastAsia="Microsoft JhengHei" w:hint="default"/>
                <w:sz w:val="21"/>
                <w:szCs w:val="21"/>
              </w:rPr>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承诺时</w:t>
            </w:r>
            <w:r>
              <w:rPr>
                <w:rFonts w:ascii="Microsoft JhengHei" w:hAnsi="Microsoft JhengHei" w:cs="Microsoft JhengHei" w:eastAsia="Microsoft JhengHei" w:hint="default"/>
                <w:sz w:val="21"/>
                <w:szCs w:val="21"/>
              </w:rPr>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承诺期</w:t>
            </w:r>
            <w:r>
              <w:rPr>
                <w:rFonts w:ascii="Microsoft JhengHei" w:hAnsi="Microsoft JhengHei" w:cs="Microsoft JhengHei" w:eastAsia="Microsoft JhengHei" w:hint="default"/>
                <w:sz w:val="21"/>
                <w:szCs w:val="21"/>
              </w:rPr>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w:t>
            </w:r>
            <w:r>
              <w:rPr>
                <w:rFonts w:ascii="Microsoft JhengHei" w:hAnsi="Microsoft JhengHei" w:cs="Microsoft JhengHei" w:eastAsia="Microsoft JhengHei" w:hint="default"/>
                <w:sz w:val="21"/>
                <w:szCs w:val="21"/>
              </w:rPr>
            </w:r>
          </w:p>
        </w:tc>
      </w:tr>
    </w:tbl>
    <w:p>
      <w:pPr>
        <w:spacing w:after="0" w:line="286" w:lineRule="exact"/>
        <w:jc w:val="left"/>
        <w:rPr>
          <w:rFonts w:ascii="Microsoft JhengHei" w:hAnsi="Microsoft JhengHei" w:cs="Microsoft JhengHei" w:eastAsia="Microsoft JhengHei" w:hint="default"/>
          <w:sz w:val="21"/>
          <w:szCs w:val="21"/>
        </w:rPr>
        <w:sectPr>
          <w:pgSz w:w="11910" w:h="16840"/>
          <w:pgMar w:header="877" w:footer="1085" w:top="1220" w:bottom="1280" w:left="1140" w:right="900"/>
        </w:sectPr>
      </w:pPr>
    </w:p>
    <w:p>
      <w:pPr>
        <w:spacing w:line="240" w:lineRule="auto" w:before="9"/>
        <w:rPr>
          <w:rFonts w:ascii="Times New Roman" w:hAnsi="Times New Roman" w:cs="Times New Roman" w:eastAsia="Times New Roman"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1951"/>
        <w:gridCol w:w="701"/>
        <w:gridCol w:w="610"/>
        <w:gridCol w:w="3600"/>
        <w:gridCol w:w="881"/>
        <w:gridCol w:w="878"/>
        <w:gridCol w:w="866"/>
      </w:tblGrid>
      <w:tr>
        <w:trPr>
          <w:trHeight w:val="32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间</w:t>
            </w:r>
            <w:r>
              <w:rPr>
                <w:rFonts w:ascii="Microsoft JhengHei" w:hAnsi="Microsoft JhengHei" w:cs="Microsoft JhengHei" w:eastAsia="Microsoft JhengHei" w:hint="default"/>
                <w:w w:val="100"/>
                <w:sz w:val="21"/>
                <w:szCs w:val="21"/>
              </w:rPr>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限</w:t>
            </w:r>
            <w:r>
              <w:rPr>
                <w:rFonts w:ascii="Microsoft JhengHei" w:hAnsi="Microsoft JhengHei" w:cs="Microsoft JhengHei" w:eastAsia="Microsoft JhengHei" w:hint="default"/>
                <w:w w:val="100"/>
                <w:sz w:val="21"/>
                <w:szCs w:val="21"/>
              </w:rPr>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况</w:t>
            </w:r>
            <w:r>
              <w:rPr>
                <w:rFonts w:ascii="Microsoft JhengHei" w:hAnsi="Microsoft JhengHei" w:cs="Microsoft JhengHei" w:eastAsia="Microsoft JhengHei" w:hint="default"/>
                <w:w w:val="100"/>
                <w:sz w:val="21"/>
                <w:szCs w:val="21"/>
              </w:rPr>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9" w:right="26"/>
              <w:jc w:val="left"/>
              <w:rPr>
                <w:rFonts w:ascii="宋体" w:hAnsi="宋体" w:cs="宋体" w:eastAsia="宋体" w:hint="default"/>
                <w:sz w:val="21"/>
                <w:szCs w:val="21"/>
              </w:rPr>
            </w:pPr>
            <w:r>
              <w:rPr>
                <w:rFonts w:ascii="宋体" w:hAnsi="宋体" w:cs="宋体" w:eastAsia="宋体" w:hint="default"/>
                <w:sz w:val="21"/>
                <w:szCs w:val="21"/>
              </w:rPr>
              <w:t>收购报告书或权益变</w:t>
            </w:r>
            <w:r>
              <w:rPr>
                <w:rFonts w:ascii="宋体" w:hAnsi="宋体" w:cs="宋体" w:eastAsia="宋体" w:hint="default"/>
                <w:w w:val="100"/>
                <w:sz w:val="21"/>
                <w:szCs w:val="21"/>
              </w:rPr>
              <w:t> </w:t>
            </w:r>
            <w:r>
              <w:rPr>
                <w:rFonts w:ascii="宋体" w:hAnsi="宋体" w:cs="宋体" w:eastAsia="宋体" w:hint="default"/>
                <w:sz w:val="21"/>
                <w:szCs w:val="21"/>
              </w:rPr>
              <w:t>动报告书中所作承诺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757" w:hRule="exact"/>
        </w:trPr>
        <w:tc>
          <w:tcPr>
            <w:tcW w:w="195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3" w:lineRule="auto"/>
              <w:ind w:left="19" w:right="26"/>
              <w:jc w:val="left"/>
              <w:rPr>
                <w:rFonts w:ascii="宋体" w:hAnsi="宋体" w:cs="宋体" w:eastAsia="宋体" w:hint="default"/>
                <w:sz w:val="21"/>
                <w:szCs w:val="21"/>
              </w:rPr>
            </w:pPr>
            <w:r>
              <w:rPr>
                <w:rFonts w:ascii="宋体" w:hAnsi="宋体" w:cs="宋体" w:eastAsia="宋体" w:hint="default"/>
                <w:sz w:val="21"/>
                <w:szCs w:val="21"/>
              </w:rPr>
              <w:t>首次公开发行或再融</w:t>
            </w:r>
            <w:r>
              <w:rPr>
                <w:rFonts w:ascii="宋体" w:hAnsi="宋体" w:cs="宋体" w:eastAsia="宋体" w:hint="default"/>
                <w:w w:val="100"/>
                <w:sz w:val="21"/>
                <w:szCs w:val="21"/>
              </w:rPr>
              <w:t> </w:t>
            </w:r>
            <w:r>
              <w:rPr>
                <w:rFonts w:ascii="宋体" w:hAnsi="宋体" w:cs="宋体" w:eastAsia="宋体" w:hint="default"/>
                <w:sz w:val="21"/>
                <w:szCs w:val="21"/>
              </w:rPr>
              <w:t>资时所作承诺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0"/>
              <w:ind w:left="19" w:right="156"/>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1" w:right="110"/>
              <w:jc w:val="left"/>
              <w:rPr>
                <w:rFonts w:ascii="宋体" w:hAnsi="宋体" w:cs="宋体" w:eastAsia="宋体" w:hint="default"/>
                <w:sz w:val="21"/>
                <w:szCs w:val="21"/>
              </w:rPr>
            </w:pPr>
            <w:r>
              <w:rPr>
                <w:rFonts w:ascii="宋体" w:hAnsi="宋体" w:cs="宋体" w:eastAsia="宋体" w:hint="default"/>
                <w:sz w:val="21"/>
                <w:szCs w:val="21"/>
              </w:rPr>
              <w:t>控股股东钟耳顺的避免同业竞争承诺</w:t>
            </w:r>
            <w:r>
              <w:rPr>
                <w:rFonts w:ascii="宋体" w:hAnsi="宋体" w:cs="宋体" w:eastAsia="宋体" w:hint="default"/>
                <w:w w:val="100"/>
                <w:sz w:val="21"/>
                <w:szCs w:val="21"/>
              </w:rPr>
              <w:t> </w:t>
            </w:r>
            <w:r>
              <w:rPr>
                <w:rFonts w:ascii="宋体" w:hAnsi="宋体" w:cs="宋体" w:eastAsia="宋体" w:hint="default"/>
                <w:spacing w:val="-2"/>
                <w:sz w:val="21"/>
                <w:szCs w:val="21"/>
              </w:rPr>
              <w:t>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将来不以任何方式从事，包括与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他人合作直接或间接从事与超图股份</w:t>
            </w:r>
            <w:r>
              <w:rPr>
                <w:rFonts w:ascii="宋体" w:hAnsi="宋体" w:cs="宋体" w:eastAsia="宋体" w:hint="default"/>
                <w:w w:val="100"/>
                <w:sz w:val="21"/>
                <w:szCs w:val="21"/>
              </w:rPr>
              <w:t> </w:t>
            </w:r>
            <w:r>
              <w:rPr>
                <w:rFonts w:ascii="宋体" w:hAnsi="宋体" w:cs="宋体" w:eastAsia="宋体" w:hint="default"/>
                <w:sz w:val="21"/>
                <w:szCs w:val="21"/>
              </w:rPr>
              <w:t>相同、相似或在任何方面构成竞争的</w:t>
            </w:r>
            <w:r>
              <w:rPr>
                <w:rFonts w:ascii="宋体" w:hAnsi="宋体" w:cs="宋体" w:eastAsia="宋体" w:hint="default"/>
                <w:w w:val="100"/>
                <w:sz w:val="21"/>
                <w:szCs w:val="21"/>
              </w:rPr>
              <w:t> </w:t>
            </w:r>
            <w:r>
              <w:rPr>
                <w:rFonts w:ascii="宋体" w:hAnsi="宋体" w:cs="宋体" w:eastAsia="宋体" w:hint="default"/>
                <w:sz w:val="21"/>
                <w:szCs w:val="21"/>
              </w:rPr>
              <w:t>业务；不投资控股于业务与超图股份</w:t>
            </w:r>
            <w:r>
              <w:rPr>
                <w:rFonts w:ascii="宋体" w:hAnsi="宋体" w:cs="宋体" w:eastAsia="宋体" w:hint="default"/>
                <w:w w:val="100"/>
                <w:sz w:val="21"/>
                <w:szCs w:val="21"/>
              </w:rPr>
              <w:t> </w:t>
            </w:r>
            <w:r>
              <w:rPr>
                <w:rFonts w:ascii="宋体" w:hAnsi="宋体" w:cs="宋体" w:eastAsia="宋体" w:hint="default"/>
                <w:sz w:val="21"/>
                <w:szCs w:val="21"/>
              </w:rPr>
              <w:t>相同、类似或在任何方面构成竞争的</w:t>
            </w:r>
            <w:r>
              <w:rPr>
                <w:rFonts w:ascii="宋体" w:hAnsi="宋体" w:cs="宋体" w:eastAsia="宋体" w:hint="default"/>
                <w:w w:val="100"/>
                <w:sz w:val="21"/>
                <w:szCs w:val="21"/>
              </w:rPr>
              <w:t> </w:t>
            </w:r>
            <w:r>
              <w:rPr>
                <w:rFonts w:ascii="宋体" w:hAnsi="宋体" w:cs="宋体" w:eastAsia="宋体" w:hint="default"/>
                <w:sz w:val="21"/>
                <w:szCs w:val="21"/>
              </w:rPr>
              <w:t>公司、企业或其他机构、组织；不向</w:t>
            </w:r>
            <w:r>
              <w:rPr>
                <w:rFonts w:ascii="宋体" w:hAnsi="宋体" w:cs="宋体" w:eastAsia="宋体" w:hint="default"/>
                <w:w w:val="100"/>
                <w:sz w:val="21"/>
                <w:szCs w:val="21"/>
              </w:rPr>
              <w:t> </w:t>
            </w:r>
            <w:r>
              <w:rPr>
                <w:rFonts w:ascii="宋体" w:hAnsi="宋体" w:cs="宋体" w:eastAsia="宋体" w:hint="default"/>
                <w:sz w:val="21"/>
                <w:szCs w:val="21"/>
              </w:rPr>
              <w:t>其他业务与超图股份相同、类似或在</w:t>
            </w:r>
            <w:r>
              <w:rPr>
                <w:rFonts w:ascii="宋体" w:hAnsi="宋体" w:cs="宋体" w:eastAsia="宋体" w:hint="default"/>
                <w:w w:val="100"/>
                <w:sz w:val="21"/>
                <w:szCs w:val="21"/>
              </w:rPr>
              <w:t> </w:t>
            </w:r>
            <w:r>
              <w:rPr>
                <w:rFonts w:ascii="宋体" w:hAnsi="宋体" w:cs="宋体" w:eastAsia="宋体" w:hint="default"/>
                <w:sz w:val="21"/>
                <w:szCs w:val="21"/>
              </w:rPr>
              <w:t>任何方面构成竞争的公司、企业或其</w:t>
            </w:r>
            <w:r>
              <w:rPr>
                <w:rFonts w:ascii="宋体" w:hAnsi="宋体" w:cs="宋体" w:eastAsia="宋体" w:hint="default"/>
                <w:w w:val="100"/>
                <w:sz w:val="21"/>
                <w:szCs w:val="21"/>
              </w:rPr>
              <w:t> </w:t>
            </w:r>
            <w:r>
              <w:rPr>
                <w:rFonts w:ascii="宋体" w:hAnsi="宋体" w:cs="宋体" w:eastAsia="宋体" w:hint="default"/>
                <w:sz w:val="21"/>
                <w:szCs w:val="21"/>
              </w:rPr>
              <w:t>他机构、组织或个人提供专有技术或</w:t>
            </w:r>
            <w:r>
              <w:rPr>
                <w:rFonts w:ascii="宋体" w:hAnsi="宋体" w:cs="宋体" w:eastAsia="宋体" w:hint="default"/>
                <w:w w:val="100"/>
                <w:sz w:val="21"/>
                <w:szCs w:val="21"/>
              </w:rPr>
              <w:t> </w:t>
            </w:r>
            <w:r>
              <w:rPr>
                <w:rFonts w:ascii="宋体" w:hAnsi="宋体" w:cs="宋体" w:eastAsia="宋体" w:hint="default"/>
                <w:sz w:val="21"/>
                <w:szCs w:val="21"/>
              </w:rPr>
              <w:t>提供销售渠道、客户信息等商业秘</w:t>
            </w:r>
            <w:r>
              <w:rPr>
                <w:rFonts w:ascii="宋体" w:hAnsi="宋体" w:cs="宋体" w:eastAsia="宋体" w:hint="default"/>
                <w:w w:val="100"/>
                <w:sz w:val="21"/>
                <w:szCs w:val="21"/>
              </w:rPr>
              <w:t> </w:t>
            </w:r>
            <w:r>
              <w:rPr>
                <w:rFonts w:ascii="宋体" w:hAnsi="宋体" w:cs="宋体" w:eastAsia="宋体" w:hint="default"/>
                <w:sz w:val="21"/>
                <w:szCs w:val="21"/>
              </w:rPr>
              <w:t>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215"/>
              <w:jc w:val="both"/>
              <w:rPr>
                <w:rFonts w:ascii="宋体" w:hAnsi="宋体" w:cs="宋体" w:eastAsia="宋体" w:hint="default"/>
                <w:sz w:val="21"/>
                <w:szCs w:val="21"/>
              </w:rPr>
            </w:pP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东的避</w:t>
            </w:r>
            <w:r>
              <w:rPr>
                <w:rFonts w:ascii="宋体" w:hAnsi="宋体" w:cs="宋体" w:eastAsia="宋体" w:hint="default"/>
                <w:spacing w:val="-102"/>
                <w:sz w:val="21"/>
                <w:szCs w:val="21"/>
              </w:rPr>
              <w:t> </w:t>
            </w:r>
            <w:r>
              <w:rPr>
                <w:rFonts w:ascii="宋体" w:hAnsi="宋体" w:cs="宋体" w:eastAsia="宋体" w:hint="default"/>
                <w:sz w:val="21"/>
                <w:szCs w:val="21"/>
              </w:rPr>
              <w:t>免同业</w:t>
            </w:r>
            <w:r>
              <w:rPr>
                <w:rFonts w:ascii="宋体" w:hAnsi="宋体" w:cs="宋体" w:eastAsia="宋体" w:hint="default"/>
                <w:spacing w:val="-102"/>
                <w:sz w:val="21"/>
                <w:szCs w:val="21"/>
              </w:rPr>
              <w:t> </w:t>
            </w:r>
            <w:r>
              <w:rPr>
                <w:rFonts w:ascii="宋体" w:hAnsi="宋体" w:cs="宋体" w:eastAsia="宋体" w:hint="default"/>
                <w:sz w:val="21"/>
                <w:szCs w:val="21"/>
              </w:rPr>
              <w:t>竞争的</w:t>
            </w:r>
            <w:r>
              <w:rPr>
                <w:rFonts w:ascii="宋体" w:hAnsi="宋体" w:cs="宋体" w:eastAsia="宋体" w:hint="default"/>
                <w:spacing w:val="-102"/>
                <w:sz w:val="21"/>
                <w:szCs w:val="21"/>
              </w:rPr>
              <w:t> </w:t>
            </w:r>
            <w:r>
              <w:rPr>
                <w:rFonts w:ascii="宋体" w:hAnsi="宋体" w:cs="宋体" w:eastAsia="宋体" w:hint="default"/>
                <w:sz w:val="21"/>
                <w:szCs w:val="21"/>
              </w:rPr>
              <w:t>承诺期</w:t>
            </w:r>
            <w:r>
              <w:rPr>
                <w:rFonts w:ascii="宋体" w:hAnsi="宋体" w:cs="宋体" w:eastAsia="宋体" w:hint="default"/>
                <w:spacing w:val="-102"/>
                <w:sz w:val="21"/>
                <w:szCs w:val="21"/>
              </w:rPr>
              <w:t> </w:t>
            </w:r>
            <w:r>
              <w:rPr>
                <w:rFonts w:ascii="宋体" w:hAnsi="宋体" w:cs="宋体" w:eastAsia="宋体" w:hint="default"/>
                <w:sz w:val="21"/>
                <w:szCs w:val="21"/>
              </w:rPr>
              <w:t>限为：</w:t>
            </w:r>
            <w:r>
              <w:rPr>
                <w:rFonts w:ascii="宋体" w:hAnsi="宋体" w:cs="宋体" w:eastAsia="宋体" w:hint="default"/>
                <w:spacing w:val="-102"/>
                <w:sz w:val="21"/>
                <w:szCs w:val="21"/>
              </w:rPr>
              <w:t> </w:t>
            </w:r>
            <w:r>
              <w:rPr>
                <w:rFonts w:ascii="宋体" w:hAnsi="宋体" w:cs="宋体" w:eastAsia="宋体" w:hint="default"/>
                <w:sz w:val="21"/>
                <w:szCs w:val="21"/>
              </w:rPr>
              <w:t>作为超</w:t>
            </w:r>
            <w:r>
              <w:rPr>
                <w:rFonts w:ascii="宋体" w:hAnsi="宋体" w:cs="宋体" w:eastAsia="宋体" w:hint="default"/>
                <w:spacing w:val="-102"/>
                <w:sz w:val="21"/>
                <w:szCs w:val="21"/>
              </w:rPr>
              <w:t> </w:t>
            </w:r>
            <w:r>
              <w:rPr>
                <w:rFonts w:ascii="宋体" w:hAnsi="宋体" w:cs="宋体" w:eastAsia="宋体" w:hint="default"/>
                <w:sz w:val="21"/>
                <w:szCs w:val="21"/>
              </w:rPr>
              <w:t>图股份</w:t>
            </w:r>
            <w:r>
              <w:rPr>
                <w:rFonts w:ascii="宋体" w:hAnsi="宋体" w:cs="宋体" w:eastAsia="宋体" w:hint="default"/>
                <w:spacing w:val="-102"/>
                <w:sz w:val="21"/>
                <w:szCs w:val="21"/>
              </w:rPr>
              <w:t> </w:t>
            </w:r>
            <w:r>
              <w:rPr>
                <w:rFonts w:ascii="宋体" w:hAnsi="宋体" w:cs="宋体" w:eastAsia="宋体" w:hint="default"/>
                <w:sz w:val="21"/>
                <w:szCs w:val="21"/>
              </w:rPr>
              <w:t>股东或</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的整个</w:t>
            </w:r>
            <w:r>
              <w:rPr>
                <w:rFonts w:ascii="宋体" w:hAnsi="宋体" w:cs="宋体" w:eastAsia="宋体" w:hint="default"/>
                <w:spacing w:val="-102"/>
                <w:sz w:val="21"/>
                <w:szCs w:val="21"/>
              </w:rPr>
              <w:t> </w:t>
            </w:r>
            <w:r>
              <w:rPr>
                <w:rFonts w:ascii="宋体" w:hAnsi="宋体" w:cs="宋体" w:eastAsia="宋体" w:hint="default"/>
                <w:sz w:val="21"/>
                <w:szCs w:val="21"/>
              </w:rPr>
              <w:t>期间。</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9"/>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4690" w:hRule="exact"/>
        </w:trPr>
        <w:tc>
          <w:tcPr>
            <w:tcW w:w="1951" w:type="dxa"/>
            <w:vMerge/>
            <w:tcBorders>
              <w:left w:val="single" w:sz="4" w:space="0" w:color="000000"/>
              <w:bottom w:val="single" w:sz="4" w:space="0" w:color="000000"/>
              <w:right w:val="single" w:sz="4" w:space="0" w:color="000000"/>
            </w:tcBorders>
            <w:shd w:val="clear" w:color="auto" w:fill="D9D9D9"/>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9" w:right="38"/>
              <w:jc w:val="left"/>
              <w:rPr>
                <w:rFonts w:ascii="宋体" w:hAnsi="宋体" w:cs="宋体" w:eastAsia="宋体" w:hint="default"/>
                <w:sz w:val="21"/>
                <w:szCs w:val="21"/>
              </w:rPr>
            </w:pPr>
            <w:r>
              <w:rPr>
                <w:rFonts w:ascii="宋体" w:hAnsi="宋体" w:cs="宋体" w:eastAsia="宋体" w:hint="default"/>
                <w:sz w:val="21"/>
                <w:szCs w:val="21"/>
              </w:rPr>
              <w:t>钟耳</w:t>
            </w:r>
            <w:r>
              <w:rPr>
                <w:rFonts w:ascii="宋体" w:hAnsi="宋体" w:cs="宋体" w:eastAsia="宋体" w:hint="default"/>
                <w:spacing w:val="-103"/>
                <w:sz w:val="21"/>
                <w:szCs w:val="21"/>
              </w:rPr>
              <w:t> </w:t>
            </w:r>
            <w:r>
              <w:rPr>
                <w:rFonts w:ascii="宋体" w:hAnsi="宋体" w:cs="宋体" w:eastAsia="宋体" w:hint="default"/>
                <w:sz w:val="21"/>
                <w:szCs w:val="21"/>
              </w:rPr>
              <w:t>顺、宋</w:t>
            </w:r>
            <w:r>
              <w:rPr>
                <w:rFonts w:ascii="宋体" w:hAnsi="宋体" w:cs="宋体" w:eastAsia="宋体" w:hint="default"/>
                <w:spacing w:val="-102"/>
                <w:sz w:val="21"/>
                <w:szCs w:val="21"/>
              </w:rPr>
              <w:t> </w:t>
            </w:r>
            <w:r>
              <w:rPr>
                <w:rFonts w:ascii="宋体" w:hAnsi="宋体" w:cs="宋体" w:eastAsia="宋体" w:hint="default"/>
                <w:sz w:val="21"/>
                <w:szCs w:val="21"/>
              </w:rPr>
              <w:t>关福</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9" w:right="156"/>
              <w:jc w:val="both"/>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01"/>
              <w:jc w:val="both"/>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让或者委托他人管理其持有的发行人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股份，也不由发行人回购其持有的股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份。在担任公司董事或高级管理人员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期间，每年转让的股份不超过本人所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持发行人股份总数的百分之二十五，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离职后半年内，不转让所持有的发行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人股份，如在公司首次公开发行股票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上市之日起六个月内申报离职的，自</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申报离职之日起十八个月内不得转让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其直接持有的本公司股份，在首次公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开发行股票上市之日起第七个月至第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十二个月之内申报离职的，自申报离</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职之日起十二个月内不得转让其直接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持有的本公司股份。</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9" w:right="215"/>
              <w:jc w:val="left"/>
              <w:rPr>
                <w:rFonts w:ascii="宋体" w:hAnsi="宋体" w:cs="宋体" w:eastAsia="宋体" w:hint="default"/>
                <w:sz w:val="21"/>
                <w:szCs w:val="21"/>
              </w:rPr>
            </w:pPr>
            <w:r>
              <w:rPr>
                <w:rFonts w:ascii="宋体" w:hAnsi="宋体" w:cs="宋体" w:eastAsia="宋体" w:hint="default"/>
                <w:sz w:val="21"/>
                <w:szCs w:val="21"/>
              </w:rPr>
              <w:t>股票上</w:t>
            </w:r>
            <w:r>
              <w:rPr>
                <w:rFonts w:ascii="宋体" w:hAnsi="宋体" w:cs="宋体" w:eastAsia="宋体" w:hint="default"/>
                <w:spacing w:val="-102"/>
                <w:sz w:val="21"/>
                <w:szCs w:val="21"/>
              </w:rPr>
              <w:t> </w:t>
            </w:r>
            <w:r>
              <w:rPr>
                <w:rFonts w:ascii="宋体" w:hAnsi="宋体" w:cs="宋体" w:eastAsia="宋体" w:hint="default"/>
                <w:sz w:val="21"/>
                <w:szCs w:val="21"/>
              </w:rPr>
              <w:t>市之日</w:t>
            </w:r>
            <w:r>
              <w:rPr>
                <w:rFonts w:ascii="宋体" w:hAnsi="宋体" w:cs="宋体" w:eastAsia="宋体" w:hint="default"/>
                <w:spacing w:val="-102"/>
                <w:sz w:val="21"/>
                <w:szCs w:val="21"/>
              </w:rPr>
              <w:t> </w:t>
            </w:r>
            <w:r>
              <w:rPr>
                <w:rFonts w:ascii="宋体" w:hAnsi="宋体" w:cs="宋体" w:eastAsia="宋体" w:hint="default"/>
                <w:sz w:val="21"/>
                <w:szCs w:val="21"/>
              </w:rPr>
              <w:t>起三十</w:t>
            </w:r>
            <w:r>
              <w:rPr>
                <w:rFonts w:ascii="宋体" w:hAnsi="宋体" w:cs="宋体" w:eastAsia="宋体" w:hint="default"/>
                <w:spacing w:val="-102"/>
                <w:sz w:val="21"/>
                <w:szCs w:val="21"/>
              </w:rPr>
              <w:t> </w:t>
            </w:r>
            <w:r>
              <w:rPr>
                <w:rFonts w:ascii="宋体" w:hAnsi="宋体" w:cs="宋体" w:eastAsia="宋体" w:hint="default"/>
                <w:sz w:val="21"/>
                <w:szCs w:val="21"/>
              </w:rPr>
              <w:t>六个月</w:t>
            </w:r>
            <w:r>
              <w:rPr>
                <w:rFonts w:ascii="宋体" w:hAnsi="宋体" w:cs="宋体" w:eastAsia="宋体" w:hint="default"/>
                <w:spacing w:val="-102"/>
                <w:sz w:val="21"/>
                <w:szCs w:val="21"/>
              </w:rPr>
              <w:t> </w:t>
            </w:r>
            <w:r>
              <w:rPr>
                <w:rFonts w:ascii="宋体" w:hAnsi="宋体" w:cs="宋体" w:eastAsia="宋体" w:hint="default"/>
                <w:sz w:val="21"/>
                <w:szCs w:val="21"/>
              </w:rPr>
              <w:t>内以及</w:t>
            </w:r>
            <w:r>
              <w:rPr>
                <w:rFonts w:ascii="宋体" w:hAnsi="宋体" w:cs="宋体" w:eastAsia="宋体" w:hint="default"/>
                <w:spacing w:val="-102"/>
                <w:sz w:val="21"/>
                <w:szCs w:val="21"/>
              </w:rPr>
              <w:t> </w:t>
            </w:r>
            <w:r>
              <w:rPr>
                <w:rFonts w:ascii="宋体" w:hAnsi="宋体" w:cs="宋体" w:eastAsia="宋体" w:hint="default"/>
                <w:sz w:val="21"/>
                <w:szCs w:val="21"/>
              </w:rPr>
              <w:t>担任公</w:t>
            </w:r>
            <w:r>
              <w:rPr>
                <w:rFonts w:ascii="宋体" w:hAnsi="宋体" w:cs="宋体" w:eastAsia="宋体" w:hint="default"/>
                <w:spacing w:val="-102"/>
                <w:sz w:val="21"/>
                <w:szCs w:val="21"/>
              </w:rPr>
              <w:t> </w:t>
            </w:r>
            <w:r>
              <w:rPr>
                <w:rFonts w:ascii="宋体" w:hAnsi="宋体" w:cs="宋体" w:eastAsia="宋体" w:hint="default"/>
                <w:sz w:val="21"/>
                <w:szCs w:val="21"/>
              </w:rPr>
              <w:t>司董</w:t>
            </w:r>
            <w:r>
              <w:rPr>
                <w:rFonts w:ascii="宋体" w:hAnsi="宋体" w:cs="宋体" w:eastAsia="宋体" w:hint="default"/>
                <w:spacing w:val="-103"/>
                <w:sz w:val="21"/>
                <w:szCs w:val="21"/>
              </w:rPr>
              <w:t> </w:t>
            </w:r>
            <w:r>
              <w:rPr>
                <w:rFonts w:ascii="宋体" w:hAnsi="宋体" w:cs="宋体" w:eastAsia="宋体" w:hint="default"/>
                <w:sz w:val="21"/>
                <w:szCs w:val="21"/>
              </w:rPr>
              <w:t>事、高</w:t>
            </w:r>
            <w:r>
              <w:rPr>
                <w:rFonts w:ascii="宋体" w:hAnsi="宋体" w:cs="宋体" w:eastAsia="宋体" w:hint="default"/>
                <w:spacing w:val="-102"/>
                <w:sz w:val="21"/>
                <w:szCs w:val="21"/>
              </w:rPr>
              <w:t> </w:t>
            </w:r>
            <w:r>
              <w:rPr>
                <w:rFonts w:ascii="宋体" w:hAnsi="宋体" w:cs="宋体" w:eastAsia="宋体" w:hint="default"/>
                <w:sz w:val="21"/>
                <w:szCs w:val="21"/>
              </w:rPr>
              <w:t>管人员</w:t>
            </w:r>
            <w:r>
              <w:rPr>
                <w:rFonts w:ascii="宋体" w:hAnsi="宋体" w:cs="宋体" w:eastAsia="宋体" w:hint="default"/>
                <w:spacing w:val="-102"/>
                <w:sz w:val="21"/>
                <w:szCs w:val="21"/>
              </w:rPr>
              <w:t> </w:t>
            </w:r>
            <w:r>
              <w:rPr>
                <w:rFonts w:ascii="宋体" w:hAnsi="宋体" w:cs="宋体" w:eastAsia="宋体" w:hint="default"/>
                <w:sz w:val="21"/>
                <w:szCs w:val="21"/>
              </w:rPr>
              <w:t>期间</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21" w:right="199"/>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2194"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9" w:right="156"/>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1" w:right="132"/>
              <w:jc w:val="left"/>
              <w:rPr>
                <w:rFonts w:ascii="宋体" w:hAnsi="宋体" w:cs="宋体" w:eastAsia="宋体" w:hint="default"/>
                <w:sz w:val="21"/>
                <w:szCs w:val="21"/>
              </w:rPr>
            </w:pPr>
            <w:r>
              <w:rPr>
                <w:rFonts w:ascii="宋体" w:hAnsi="宋体" w:cs="宋体" w:eastAsia="宋体" w:hint="default"/>
                <w:spacing w:val="-2"/>
                <w:sz w:val="21"/>
                <w:szCs w:val="21"/>
              </w:rPr>
              <w:t>持股</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以上的主要股东或实际控制人</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及其配偶、直系近亲属未参与本激励</w:t>
            </w:r>
            <w:r>
              <w:rPr>
                <w:rFonts w:ascii="宋体" w:hAnsi="宋体" w:cs="宋体" w:eastAsia="宋体" w:hint="default"/>
                <w:w w:val="100"/>
                <w:sz w:val="21"/>
                <w:szCs w:val="21"/>
              </w:rPr>
              <w:t> </w:t>
            </w:r>
            <w:r>
              <w:rPr>
                <w:rFonts w:ascii="宋体" w:hAnsi="宋体" w:cs="宋体" w:eastAsia="宋体" w:hint="default"/>
                <w:sz w:val="21"/>
                <w:szCs w:val="21"/>
              </w:rPr>
              <w:t>计划。</w:t>
            </w:r>
            <w:r>
              <w:rPr>
                <w:rFonts w:ascii="宋体" w:hAnsi="宋体" w:cs="宋体" w:eastAsia="宋体" w:hint="default"/>
                <w:spacing w:val="-102"/>
                <w:sz w:val="21"/>
                <w:szCs w:val="21"/>
              </w:rPr>
              <w:t> </w:t>
            </w:r>
            <w:r>
              <w:rPr>
                <w:rFonts w:ascii="宋体" w:hAnsi="宋体" w:cs="宋体" w:eastAsia="宋体" w:hint="default"/>
                <w:sz w:val="21"/>
                <w:szCs w:val="21"/>
              </w:rPr>
              <w:t>不为激励对象依限制性股票激励计划</w:t>
            </w:r>
            <w:r>
              <w:rPr>
                <w:rFonts w:ascii="宋体" w:hAnsi="宋体" w:cs="宋体" w:eastAsia="宋体" w:hint="default"/>
                <w:w w:val="100"/>
                <w:sz w:val="21"/>
                <w:szCs w:val="21"/>
              </w:rPr>
              <w:t> </w:t>
            </w:r>
            <w:r>
              <w:rPr>
                <w:rFonts w:ascii="宋体" w:hAnsi="宋体" w:cs="宋体" w:eastAsia="宋体" w:hint="default"/>
                <w:sz w:val="21"/>
                <w:szCs w:val="21"/>
              </w:rPr>
              <w:t>获取有关权益提供贷款以及其他任何</w:t>
            </w:r>
            <w:r>
              <w:rPr>
                <w:rFonts w:ascii="宋体" w:hAnsi="宋体" w:cs="宋体" w:eastAsia="宋体" w:hint="default"/>
                <w:w w:val="100"/>
                <w:sz w:val="21"/>
                <w:szCs w:val="21"/>
              </w:rPr>
              <w:t> </w:t>
            </w:r>
            <w:r>
              <w:rPr>
                <w:rFonts w:ascii="宋体" w:hAnsi="宋体" w:cs="宋体" w:eastAsia="宋体" w:hint="default"/>
                <w:sz w:val="21"/>
                <w:szCs w:val="21"/>
              </w:rPr>
              <w:t>形式的财务资助，包括为其贷款提供</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40" w:lineRule="auto" w:before="21"/>
              <w:ind w:left="1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z w:val="21"/>
                <w:szCs w:val="21"/>
              </w:rPr>
            </w:r>
          </w:p>
          <w:p>
            <w:pPr>
              <w:pStyle w:val="TableParagraph"/>
              <w:spacing w:line="240" w:lineRule="auto" w:before="21"/>
              <w:ind w:left="19"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9" w:right="215"/>
              <w:jc w:val="both"/>
              <w:rPr>
                <w:rFonts w:ascii="宋体" w:hAnsi="宋体" w:cs="宋体" w:eastAsia="宋体" w:hint="default"/>
                <w:sz w:val="21"/>
                <w:szCs w:val="21"/>
              </w:rPr>
            </w:pPr>
            <w:r>
              <w:rPr>
                <w:rFonts w:ascii="宋体" w:hAnsi="宋体" w:cs="宋体" w:eastAsia="宋体" w:hint="default"/>
                <w:sz w:val="21"/>
                <w:szCs w:val="21"/>
              </w:rPr>
              <w:t>至本次</w:t>
            </w:r>
            <w:r>
              <w:rPr>
                <w:rFonts w:ascii="宋体" w:hAnsi="宋体" w:cs="宋体" w:eastAsia="宋体" w:hint="default"/>
                <w:spacing w:val="-102"/>
                <w:sz w:val="21"/>
                <w:szCs w:val="21"/>
              </w:rPr>
              <w:t> </w:t>
            </w:r>
            <w:r>
              <w:rPr>
                <w:rFonts w:ascii="宋体" w:hAnsi="宋体" w:cs="宋体" w:eastAsia="宋体" w:hint="default"/>
                <w:sz w:val="21"/>
                <w:szCs w:val="21"/>
              </w:rPr>
              <w:t>股权激</w:t>
            </w:r>
            <w:r>
              <w:rPr>
                <w:rFonts w:ascii="宋体" w:hAnsi="宋体" w:cs="宋体" w:eastAsia="宋体" w:hint="default"/>
                <w:spacing w:val="-102"/>
                <w:sz w:val="21"/>
                <w:szCs w:val="21"/>
              </w:rPr>
              <w:t> </w:t>
            </w:r>
            <w:r>
              <w:rPr>
                <w:rFonts w:ascii="宋体" w:hAnsi="宋体" w:cs="宋体" w:eastAsia="宋体" w:hint="default"/>
                <w:sz w:val="21"/>
                <w:szCs w:val="21"/>
              </w:rPr>
              <w:t>励计划</w:t>
            </w:r>
            <w:r>
              <w:rPr>
                <w:rFonts w:ascii="宋体" w:hAnsi="宋体" w:cs="宋体" w:eastAsia="宋体" w:hint="default"/>
                <w:spacing w:val="-102"/>
                <w:sz w:val="21"/>
                <w:szCs w:val="21"/>
              </w:rPr>
              <w:t> </w:t>
            </w:r>
            <w:r>
              <w:rPr>
                <w:rFonts w:ascii="宋体" w:hAnsi="宋体" w:cs="宋体" w:eastAsia="宋体" w:hint="default"/>
                <w:sz w:val="21"/>
                <w:szCs w:val="21"/>
              </w:rPr>
              <w:t>终止或</w:t>
            </w:r>
            <w:r>
              <w:rPr>
                <w:rFonts w:ascii="宋体" w:hAnsi="宋体" w:cs="宋体" w:eastAsia="宋体" w:hint="default"/>
                <w:spacing w:val="-102"/>
                <w:sz w:val="21"/>
                <w:szCs w:val="21"/>
              </w:rPr>
              <w:t> </w:t>
            </w:r>
            <w:r>
              <w:rPr>
                <w:rFonts w:ascii="宋体" w:hAnsi="宋体" w:cs="宋体" w:eastAsia="宋体" w:hint="default"/>
                <w:sz w:val="21"/>
                <w:szCs w:val="21"/>
              </w:rPr>
              <w:t>有效期</w:t>
            </w:r>
            <w:r>
              <w:rPr>
                <w:rFonts w:ascii="宋体" w:hAnsi="宋体" w:cs="宋体" w:eastAsia="宋体" w:hint="default"/>
                <w:spacing w:val="-102"/>
                <w:sz w:val="21"/>
                <w:szCs w:val="21"/>
              </w:rPr>
              <w:t> </w:t>
            </w:r>
            <w:r>
              <w:rPr>
                <w:rFonts w:ascii="宋体" w:hAnsi="宋体" w:cs="宋体" w:eastAsia="宋体" w:hint="default"/>
                <w:sz w:val="21"/>
                <w:szCs w:val="21"/>
              </w:rPr>
              <w:t>结束。</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21" w:right="199"/>
              <w:jc w:val="both"/>
              <w:rPr>
                <w:rFonts w:ascii="宋体" w:hAnsi="宋体" w:cs="宋体" w:eastAsia="宋体" w:hint="default"/>
                <w:sz w:val="21"/>
                <w:szCs w:val="21"/>
              </w:rPr>
            </w:pPr>
            <w:r>
              <w:rPr>
                <w:rFonts w:ascii="宋体" w:hAnsi="宋体" w:cs="宋体" w:eastAsia="宋体" w:hint="default"/>
                <w:sz w:val="21"/>
                <w:szCs w:val="21"/>
              </w:rPr>
              <w:t>严格遵</w:t>
            </w:r>
            <w:r>
              <w:rPr>
                <w:rFonts w:ascii="宋体" w:hAnsi="宋体" w:cs="宋体" w:eastAsia="宋体" w:hint="default"/>
                <w:spacing w:val="-102"/>
                <w:sz w:val="21"/>
                <w:szCs w:val="21"/>
              </w:rPr>
              <w:t> </w:t>
            </w:r>
            <w:r>
              <w:rPr>
                <w:rFonts w:ascii="宋体" w:hAnsi="宋体" w:cs="宋体" w:eastAsia="宋体" w:hint="default"/>
                <w:sz w:val="21"/>
                <w:szCs w:val="21"/>
              </w:rPr>
              <w:t>守了承</w:t>
            </w:r>
            <w:r>
              <w:rPr>
                <w:rFonts w:ascii="宋体" w:hAnsi="宋体" w:cs="宋体" w:eastAsia="宋体" w:hint="default"/>
                <w:spacing w:val="-102"/>
                <w:sz w:val="21"/>
                <w:szCs w:val="21"/>
              </w:rPr>
              <w:t> </w:t>
            </w:r>
            <w:r>
              <w:rPr>
                <w:rFonts w:ascii="宋体" w:hAnsi="宋体" w:cs="宋体" w:eastAsia="宋体" w:hint="default"/>
                <w:sz w:val="21"/>
                <w:szCs w:val="21"/>
              </w:rPr>
              <w:t>诺。</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9" w:right="26"/>
              <w:jc w:val="left"/>
              <w:rPr>
                <w:rFonts w:ascii="宋体" w:hAnsi="宋体" w:cs="宋体" w:eastAsia="宋体" w:hint="default"/>
                <w:sz w:val="21"/>
                <w:szCs w:val="21"/>
              </w:rPr>
            </w:pPr>
            <w:r>
              <w:rPr>
                <w:rFonts w:ascii="宋体" w:hAnsi="宋体" w:cs="宋体" w:eastAsia="宋体" w:hint="default"/>
                <w:sz w:val="21"/>
                <w:szCs w:val="21"/>
              </w:rPr>
              <w:t>其他对公司中小股东</w:t>
            </w:r>
            <w:r>
              <w:rPr>
                <w:rFonts w:ascii="宋体" w:hAnsi="宋体" w:cs="宋体" w:eastAsia="宋体" w:hint="default"/>
                <w:w w:val="100"/>
                <w:sz w:val="21"/>
                <w:szCs w:val="21"/>
              </w:rPr>
              <w:t> </w:t>
            </w:r>
            <w:r>
              <w:rPr>
                <w:rFonts w:ascii="宋体" w:hAnsi="宋体" w:cs="宋体" w:eastAsia="宋体" w:hint="default"/>
                <w:sz w:val="21"/>
                <w:szCs w:val="21"/>
              </w:rPr>
              <w:t>所作承诺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5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9" w:right="26"/>
              <w:jc w:val="left"/>
              <w:rPr>
                <w:rFonts w:ascii="宋体" w:hAnsi="宋体" w:cs="宋体" w:eastAsia="宋体" w:hint="default"/>
                <w:sz w:val="21"/>
                <w:szCs w:val="21"/>
              </w:rPr>
            </w:pPr>
            <w:r>
              <w:rPr>
                <w:rFonts w:ascii="宋体" w:hAnsi="宋体" w:cs="宋体" w:eastAsia="宋体" w:hint="default"/>
                <w:sz w:val="21"/>
                <w:szCs w:val="21"/>
              </w:rPr>
              <w:t>如超期未履行完毕</w:t>
            </w:r>
            <w:r>
              <w:rPr>
                <w:rFonts w:ascii="宋体" w:hAnsi="宋体" w:cs="宋体" w:eastAsia="宋体" w:hint="default"/>
                <w:w w:val="100"/>
                <w:sz w:val="21"/>
                <w:szCs w:val="21"/>
              </w:rPr>
              <w:t> </w:t>
            </w:r>
            <w:r>
              <w:rPr>
                <w:rFonts w:ascii="宋体" w:hAnsi="宋体" w:cs="宋体" w:eastAsia="宋体" w:hint="default"/>
                <w:sz w:val="21"/>
                <w:szCs w:val="21"/>
              </w:rPr>
              <w:t>的，应详细说明未完</w:t>
            </w:r>
            <w:r>
              <w:rPr>
                <w:rFonts w:ascii="宋体" w:hAnsi="宋体" w:cs="宋体" w:eastAsia="宋体" w:hint="default"/>
                <w:w w:val="100"/>
                <w:sz w:val="21"/>
                <w:szCs w:val="21"/>
              </w:rPr>
              <w:t> </w:t>
            </w:r>
            <w:r>
              <w:rPr>
                <w:rFonts w:ascii="宋体" w:hAnsi="宋体" w:cs="宋体" w:eastAsia="宋体" w:hint="default"/>
                <w:sz w:val="21"/>
                <w:szCs w:val="21"/>
              </w:rPr>
              <w:t>成履行的具体原因及</w:t>
            </w:r>
          </w:p>
        </w:tc>
        <w:tc>
          <w:tcPr>
            <w:tcW w:w="75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sz w:val="21"/>
                <w:szCs w:val="21"/>
              </w:rPr>
              <w:t>无此情况</w:t>
            </w:r>
          </w:p>
        </w:tc>
      </w:tr>
    </w:tbl>
    <w:p>
      <w:pPr>
        <w:spacing w:after="0" w:line="262" w:lineRule="exact"/>
        <w:jc w:val="center"/>
        <w:rPr>
          <w:rFonts w:ascii="宋体" w:hAnsi="宋体" w:cs="宋体" w:eastAsia="宋体" w:hint="default"/>
          <w:sz w:val="21"/>
          <w:szCs w:val="21"/>
        </w:rPr>
        <w:sectPr>
          <w:pgSz w:w="11910" w:h="16840"/>
          <w:pgMar w:header="877" w:footer="1085" w:top="1220" w:bottom="1280" w:left="1140" w:right="980"/>
        </w:sectPr>
      </w:pPr>
    </w:p>
    <w:p>
      <w:pPr>
        <w:spacing w:line="240" w:lineRule="auto" w:before="4"/>
        <w:rPr>
          <w:rFonts w:ascii="Times New Roman" w:hAnsi="Times New Roman" w:cs="Times New Roman" w:eastAsia="Times New Roman" w:hint="default"/>
          <w:sz w:val="17"/>
          <w:szCs w:val="17"/>
        </w:rPr>
      </w:pPr>
    </w:p>
    <w:p>
      <w:pPr>
        <w:spacing w:line="341" w:lineRule="exact"/>
        <w:ind w:left="1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74.95pt;height:17.1pt;mso-position-horizontal-relative:char;mso-position-vertical-relative:line" coordorigin="0,0" coordsize="9499,342">
            <v:group style="position:absolute;left:1927;top:14;width:24;height:313" coordorigin="1927,14" coordsize="24,313">
              <v:shape style="position:absolute;left:1927;top:14;width:24;height:313" coordorigin="1927,14" coordsize="24,313" path="m1927,327l1951,327,1951,14,1927,14,1927,327xe" filled="true" fillcolor="#d9d9d9" stroked="false">
                <v:path arrowok="t"/>
                <v:fill type="solid"/>
              </v:shape>
            </v:group>
            <v:group style="position:absolute;left:10;top:14;width:22;height:313" coordorigin="10,14" coordsize="22,313">
              <v:shape style="position:absolute;left:10;top:14;width:22;height:313" coordorigin="10,14" coordsize="22,313" path="m10,327l31,327,31,14,10,14,10,327xe" filled="true" fillcolor="#d9d9d9" stroked="false">
                <v:path arrowok="t"/>
                <v:fill type="solid"/>
              </v:shape>
            </v:group>
            <v:group style="position:absolute;left:31;top:14;width:1896;height:313" coordorigin="31,14" coordsize="1896,313">
              <v:shape style="position:absolute;left:31;top:14;width:1896;height:313" coordorigin="31,14" coordsize="1896,313" path="m31,327l1927,327,1927,14,31,14,31,327xe" filled="true" fillcolor="#d9d9d9" stroked="false">
                <v:path arrowok="t"/>
                <v:fill type="solid"/>
              </v:shape>
            </v:group>
            <v:group style="position:absolute;left:10;top:10;width:1942;height:2" coordorigin="10,10" coordsize="1942,2">
              <v:shape style="position:absolute;left:10;top:10;width:1942;height:2" coordorigin="10,10" coordsize="1942,0" path="m10,10l1951,10e" filled="false" stroked="true" strokeweight=".48pt" strokecolor="#000000">
                <v:path arrowok="t"/>
              </v:shape>
            </v:group>
            <v:group style="position:absolute;left:1961;top:10;width:7528;height:2" coordorigin="1961,10" coordsize="7528,2">
              <v:shape style="position:absolute;left:1961;top:10;width:7528;height:2" coordorigin="1961,10" coordsize="7528,0" path="m1961,10l9489,10e" filled="false" stroked="true" strokeweight=".48pt" strokecolor="#000000">
                <v:path arrowok="t"/>
              </v:shape>
            </v:group>
            <v:group style="position:absolute;left:5;top:5;width:2;height:332" coordorigin="5,5" coordsize="2,332">
              <v:shape style="position:absolute;left:5;top:5;width:2;height:332" coordorigin="5,5" coordsize="0,332" path="m5,5l5,336e" filled="false" stroked="true" strokeweight=".48pt" strokecolor="#000000">
                <v:path arrowok="t"/>
              </v:shape>
            </v:group>
            <v:group style="position:absolute;left:10;top:332;width:1942;height:2" coordorigin="10,332" coordsize="1942,2">
              <v:shape style="position:absolute;left:10;top:332;width:1942;height:2" coordorigin="10,332" coordsize="1942,0" path="m10,332l1951,332e" filled="false" stroked="true" strokeweight=".48pt" strokecolor="#000000">
                <v:path arrowok="t"/>
              </v:shape>
            </v:group>
            <v:group style="position:absolute;left:1956;top:5;width:2;height:332" coordorigin="1956,5" coordsize="2,332">
              <v:shape style="position:absolute;left:1956;top:5;width:2;height:332" coordorigin="1956,5" coordsize="0,332" path="m1956,5l1956,336e" filled="false" stroked="true" strokeweight=".48001pt" strokecolor="#000000">
                <v:path arrowok="t"/>
              </v:shape>
            </v:group>
            <v:group style="position:absolute;left:1961;top:332;width:7528;height:2" coordorigin="1961,332" coordsize="7528,2">
              <v:shape style="position:absolute;left:1961;top:332;width:7528;height:2" coordorigin="1961,332" coordsize="7528,0" path="m1961,332l9489,332e" filled="false" stroked="true" strokeweight=".48pt" strokecolor="#000000">
                <v:path arrowok="t"/>
              </v:shape>
            </v:group>
            <v:group style="position:absolute;left:9494;top:5;width:2;height:332" coordorigin="9494,5" coordsize="2,332">
              <v:shape style="position:absolute;left:9494;top:5;width:2;height:332" coordorigin="9494,5" coordsize="0,332" path="m9494,5l9494,336e" filled="false" stroked="true" strokeweight=".47998pt" strokecolor="#000000">
                <v:path arrowok="t"/>
              </v:shape>
              <v:shape style="position:absolute;left:5;top:10;width:1952;height:322" type="#_x0000_t202" filled="false" stroked="false">
                <v:textbox inset="0,0,0,0">
                  <w:txbxContent>
                    <w:p>
                      <w:pPr>
                        <w:spacing w:line="268" w:lineRule="exact" w:before="0"/>
                        <w:ind w:left="24" w:right="0" w:firstLine="0"/>
                        <w:jc w:val="left"/>
                        <w:rPr>
                          <w:rFonts w:ascii="宋体" w:hAnsi="宋体" w:cs="宋体" w:eastAsia="宋体" w:hint="default"/>
                          <w:sz w:val="21"/>
                          <w:szCs w:val="21"/>
                        </w:rPr>
                      </w:pPr>
                      <w:r>
                        <w:rPr>
                          <w:rFonts w:ascii="宋体" w:hAnsi="宋体" w:cs="宋体" w:eastAsia="宋体" w:hint="default"/>
                          <w:sz w:val="21"/>
                          <w:szCs w:val="21"/>
                        </w:rPr>
                        <w:t>下一步计划（如有）</w:t>
                      </w:r>
                    </w:p>
                  </w:txbxContent>
                </v:textbox>
                <w10:wrap type="none"/>
              </v:shape>
            </v:group>
          </v:group>
        </w:pict>
      </w:r>
      <w:r>
        <w:rPr>
          <w:rFonts w:ascii="Times New Roman" w:hAnsi="Times New Roman" w:cs="Times New Roman" w:eastAsia="Times New Roman" w:hint="default"/>
          <w:position w:val="-6"/>
          <w:sz w:val="20"/>
          <w:szCs w:val="20"/>
        </w:rPr>
      </w:r>
    </w:p>
    <w:p>
      <w:pPr>
        <w:spacing w:line="240" w:lineRule="auto" w:before="9"/>
        <w:rPr>
          <w:rFonts w:ascii="Times New Roman" w:hAnsi="Times New Roman" w:cs="Times New Roman" w:eastAsia="Times New Roman" w:hint="default"/>
          <w:sz w:val="26"/>
          <w:szCs w:val="26"/>
        </w:rPr>
      </w:pPr>
    </w:p>
    <w:p>
      <w:pPr>
        <w:pStyle w:val="Heading2"/>
        <w:spacing w:line="367" w:lineRule="exact"/>
        <w:ind w:left="137"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w:t>
      </w:r>
      <w:r>
        <w:rPr>
          <w:b w:val="0"/>
          <w:bCs w:val="0"/>
        </w:rPr>
      </w:r>
    </w:p>
    <w:p>
      <w:pPr>
        <w:spacing w:before="50"/>
        <w:ind w:left="137" w:right="34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原盈利预测及其原因做出说明</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66" w:type="dxa"/>
        <w:tblLayout w:type="fixed"/>
        <w:tblCellMar>
          <w:top w:w="0" w:type="dxa"/>
          <w:left w:w="0" w:type="dxa"/>
          <w:bottom w:w="0" w:type="dxa"/>
          <w:right w:w="0" w:type="dxa"/>
        </w:tblCellMar>
        <w:tblLook w:val="01E0"/>
      </w:tblPr>
      <w:tblGrid>
        <w:gridCol w:w="1306"/>
        <w:gridCol w:w="1179"/>
        <w:gridCol w:w="1181"/>
        <w:gridCol w:w="1181"/>
        <w:gridCol w:w="1178"/>
        <w:gridCol w:w="1181"/>
        <w:gridCol w:w="1181"/>
        <w:gridCol w:w="1179"/>
      </w:tblGrid>
      <w:tr>
        <w:trPr>
          <w:trHeight w:val="94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7" w:right="122"/>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100"/>
                <w:sz w:val="21"/>
                <w:szCs w:val="21"/>
              </w:rPr>
              <w:t> </w:t>
            </w:r>
            <w:r>
              <w:rPr>
                <w:rFonts w:ascii="宋体" w:hAnsi="宋体" w:cs="宋体" w:eastAsia="宋体" w:hint="default"/>
                <w:sz w:val="21"/>
                <w:szCs w:val="21"/>
              </w:rPr>
              <w:t>产或项目名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5" w:right="58" w:hanging="420"/>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77" w:right="57" w:hanging="420"/>
              <w:jc w:val="left"/>
              <w:rPr>
                <w:rFonts w:ascii="宋体" w:hAnsi="宋体" w:cs="宋体" w:eastAsia="宋体" w:hint="default"/>
                <w:sz w:val="21"/>
                <w:szCs w:val="21"/>
              </w:rPr>
            </w:pPr>
            <w:r>
              <w:rPr>
                <w:rFonts w:ascii="宋体" w:hAnsi="宋体" w:cs="宋体" w:eastAsia="宋体" w:hint="default"/>
                <w:sz w:val="21"/>
                <w:szCs w:val="21"/>
              </w:rPr>
              <w:t>预测终止时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5" w:right="60"/>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55" w:right="57"/>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绩（万元）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 w:right="60"/>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100"/>
                <w:sz w:val="21"/>
                <w:szCs w:val="21"/>
              </w:rPr>
              <w:t> </w:t>
            </w:r>
            <w:r>
              <w:rPr>
                <w:rFonts w:ascii="宋体" w:hAnsi="宋体" w:cs="宋体" w:eastAsia="宋体" w:hint="default"/>
                <w:sz w:val="21"/>
                <w:szCs w:val="21"/>
              </w:rPr>
              <w:t>原因（如适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1" w:right="57"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日期</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374" w:right="55" w:hanging="317"/>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索引</w:t>
            </w:r>
          </w:p>
        </w:tc>
      </w:tr>
      <w:tr>
        <w:trPr>
          <w:trHeight w:val="94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57" w:right="60" w:firstLine="60"/>
              <w:jc w:val="left"/>
              <w:rPr>
                <w:rFonts w:ascii="宋体" w:hAnsi="宋体" w:cs="宋体" w:eastAsia="宋体" w:hint="default"/>
                <w:sz w:val="21"/>
                <w:szCs w:val="21"/>
              </w:rPr>
            </w:pPr>
            <w:r>
              <w:rPr>
                <w:rFonts w:ascii="宋体" w:hAnsi="宋体" w:cs="宋体" w:eastAsia="宋体" w:hint="default"/>
                <w:sz w:val="21"/>
                <w:szCs w:val="21"/>
              </w:rPr>
              <w:t>收购南康科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92" w:right="0"/>
              <w:jc w:val="left"/>
              <w:rPr>
                <w:rFonts w:ascii="Times New Roman" w:hAnsi="Times New Roman" w:cs="Times New Roman" w:eastAsia="Times New Roman" w:hint="default"/>
                <w:sz w:val="21"/>
                <w:szCs w:val="21"/>
              </w:rPr>
            </w:pPr>
            <w:r>
              <w:rPr>
                <w:rFonts w:ascii="Times New Roman"/>
                <w:sz w:val="21"/>
              </w:rPr>
              <w:t>871.47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6"/>
              <w:ind w:left="28" w:right="29" w:hanging="3"/>
              <w:jc w:val="center"/>
              <w:rPr>
                <w:rFonts w:ascii="Times New Roman" w:hAnsi="Times New Roman" w:cs="Times New Roman" w:eastAsia="Times New Roman" w:hint="default"/>
                <w:sz w:val="21"/>
                <w:szCs w:val="21"/>
              </w:rPr>
            </w:pPr>
            <w:r>
              <w:rPr>
                <w:rFonts w:ascii="Times New Roman"/>
                <w:spacing w:val="-3"/>
                <w:sz w:val="21"/>
              </w:rPr>
              <w:t>http://www.c</w:t>
            </w:r>
            <w:r>
              <w:rPr>
                <w:rFonts w:ascii="Times New Roman"/>
                <w:w w:val="100"/>
                <w:sz w:val="21"/>
              </w:rPr>
              <w:t> </w:t>
            </w:r>
            <w:r>
              <w:rPr>
                <w:rFonts w:ascii="Times New Roman"/>
                <w:spacing w:val="-1"/>
                <w:sz w:val="21"/>
              </w:rPr>
              <w:t>ninfo.com.cn</w:t>
            </w:r>
          </w:p>
          <w:p>
            <w:pPr>
              <w:pStyle w:val="TableParagraph"/>
              <w:spacing w:line="240" w:lineRule="auto" w:before="3"/>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before="87"/>
        <w:ind w:left="497" w:right="346" w:firstLine="0"/>
        <w:jc w:val="left"/>
        <w:rPr>
          <w:rFonts w:ascii="宋体" w:hAnsi="宋体" w:cs="宋体" w:eastAsia="宋体" w:hint="default"/>
          <w:sz w:val="18"/>
          <w:szCs w:val="18"/>
        </w:rPr>
      </w:pPr>
      <w:r>
        <w:rPr>
          <w:rFonts w:ascii="宋体" w:hAnsi="宋体" w:cs="宋体" w:eastAsia="宋体" w:hint="default"/>
          <w:sz w:val="18"/>
          <w:szCs w:val="18"/>
        </w:rPr>
        <w:t>注：当期预测业绩以及当期实际业绩为扣除非经常性损益和研发资本化费用的税后净利润。</w:t>
      </w:r>
    </w:p>
    <w:p>
      <w:pPr>
        <w:spacing w:line="240" w:lineRule="auto" w:before="1"/>
        <w:rPr>
          <w:rFonts w:ascii="宋体" w:hAnsi="宋体" w:cs="宋体" w:eastAsia="宋体" w:hint="default"/>
          <w:sz w:val="14"/>
          <w:szCs w:val="14"/>
        </w:rPr>
      </w:pPr>
    </w:p>
    <w:p>
      <w:pPr>
        <w:pStyle w:val="BodyText"/>
        <w:spacing w:line="240" w:lineRule="auto" w:before="0"/>
        <w:ind w:left="617" w:right="346"/>
        <w:jc w:val="left"/>
      </w:pPr>
      <w:r>
        <w:rPr/>
        <w:t>公司股东、交易对手方对公司或相关资产年度经营业绩作出的承诺情况</w:t>
      </w:r>
    </w:p>
    <w:p>
      <w:pPr>
        <w:pStyle w:val="BodyText"/>
        <w:spacing w:line="240" w:lineRule="auto" w:before="154"/>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pStyle w:val="BodyText"/>
        <w:spacing w:line="240" w:lineRule="auto" w:before="123"/>
        <w:ind w:left="617" w:right="346"/>
        <w:jc w:val="left"/>
      </w:pPr>
      <w:r>
        <w:rPr/>
        <w:t>根据公司与南康科技曹彤宇等</w:t>
      </w:r>
      <w:r>
        <w:rPr>
          <w:spacing w:val="-61"/>
        </w:rPr>
        <w:t> </w:t>
      </w:r>
      <w:r>
        <w:rPr>
          <w:rFonts w:ascii="Calibri" w:hAnsi="Calibri" w:cs="Calibri" w:eastAsia="Calibri" w:hint="default"/>
        </w:rPr>
        <w:t>21</w:t>
      </w:r>
      <w:r>
        <w:rPr>
          <w:rFonts w:ascii="Calibri" w:hAnsi="Calibri" w:cs="Calibri" w:eastAsia="Calibri" w:hint="default"/>
          <w:spacing w:val="5"/>
        </w:rPr>
        <w:t> </w:t>
      </w:r>
      <w:r>
        <w:rPr/>
        <w:t>名股东</w:t>
      </w:r>
      <w:r>
        <w:rPr>
          <w:spacing w:val="-61"/>
        </w:rPr>
        <w:t> </w:t>
      </w:r>
      <w:r>
        <w:rPr>
          <w:rFonts w:ascii="Calibri" w:hAnsi="Calibri" w:cs="Calibri" w:eastAsia="Calibri" w:hint="default"/>
        </w:rPr>
        <w:t>2016</w:t>
      </w:r>
      <w:r>
        <w:rPr>
          <w:rFonts w:ascii="Calibri" w:hAnsi="Calibri" w:cs="Calibri" w:eastAsia="Calibri" w:hint="default"/>
          <w:spacing w:val="3"/>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10</w:t>
      </w:r>
      <w:r>
        <w:rPr>
          <w:rFonts w:ascii="Calibri" w:hAnsi="Calibri" w:cs="Calibri" w:eastAsia="Calibri" w:hint="default"/>
          <w:spacing w:val="5"/>
        </w:rPr>
        <w:t> </w:t>
      </w:r>
      <w:r>
        <w:rPr/>
        <w:t>日签署的《股权转让协</w:t>
      </w:r>
    </w:p>
    <w:p>
      <w:pPr>
        <w:pStyle w:val="BodyText"/>
        <w:spacing w:line="240" w:lineRule="auto" w:before="123"/>
        <w:ind w:right="0"/>
        <w:jc w:val="left"/>
      </w:pPr>
      <w:r>
        <w:rPr/>
        <w:t>议》</w:t>
      </w:r>
      <w:r>
        <w:rPr>
          <w:spacing w:val="-2"/>
        </w:rPr>
        <w:t> </w:t>
      </w:r>
      <w:r>
        <w:rPr/>
        <w:t>，南康科技</w:t>
      </w:r>
      <w:r>
        <w:rPr>
          <w:spacing w:val="-61"/>
        </w:rPr>
        <w:t> </w:t>
      </w:r>
      <w:r>
        <w:rPr>
          <w:rFonts w:ascii="Calibri" w:hAnsi="Calibri" w:cs="Calibri" w:eastAsia="Calibri" w:hint="default"/>
        </w:rPr>
        <w:t>21</w:t>
      </w:r>
      <w:r>
        <w:rPr>
          <w:rFonts w:ascii="Calibri" w:hAnsi="Calibri" w:cs="Calibri" w:eastAsia="Calibri" w:hint="default"/>
          <w:spacing w:val="5"/>
        </w:rPr>
        <w:t> </w:t>
      </w:r>
      <w:r>
        <w:rPr/>
        <w:t>名股东承诺，南康科技</w:t>
      </w:r>
      <w:r>
        <w:rPr>
          <w:spacing w:val="-61"/>
        </w:rPr>
        <w:t> </w:t>
      </w:r>
      <w:r>
        <w:rPr>
          <w:rFonts w:ascii="Calibri" w:hAnsi="Calibri" w:cs="Calibri" w:eastAsia="Calibri" w:hint="default"/>
        </w:rPr>
        <w:t>2015</w:t>
      </w:r>
      <w:r>
        <w:rPr>
          <w:rFonts w:ascii="Calibri" w:hAnsi="Calibri" w:cs="Calibri" w:eastAsia="Calibri" w:hint="default"/>
          <w:spacing w:val="5"/>
        </w:rPr>
        <w:t> </w:t>
      </w:r>
      <w:r>
        <w:rPr/>
        <w:t>年实现的扣除非经常性损益和研发资本化</w:t>
      </w:r>
    </w:p>
    <w:p>
      <w:pPr>
        <w:pStyle w:val="BodyText"/>
        <w:spacing w:line="240" w:lineRule="auto" w:before="123"/>
        <w:ind w:right="346"/>
        <w:jc w:val="left"/>
      </w:pPr>
      <w:r>
        <w:rPr/>
        <w:t>费用的税后净利润将不少于</w:t>
      </w:r>
      <w:r>
        <w:rPr>
          <w:spacing w:val="-61"/>
        </w:rPr>
        <w:t> </w:t>
      </w:r>
      <w:r>
        <w:rPr>
          <w:rFonts w:ascii="Calibri" w:hAnsi="Calibri" w:cs="Calibri" w:eastAsia="Calibri" w:hint="default"/>
        </w:rPr>
        <w:t>800</w:t>
      </w:r>
      <w:r>
        <w:rPr>
          <w:rFonts w:ascii="Calibri" w:hAnsi="Calibri" w:cs="Calibri" w:eastAsia="Calibri" w:hint="default"/>
          <w:spacing w:val="5"/>
        </w:rPr>
        <w:t> </w:t>
      </w:r>
      <w:r>
        <w:rPr/>
        <w:t>万元。</w:t>
      </w:r>
    </w:p>
    <w:p>
      <w:pPr>
        <w:pStyle w:val="BodyText"/>
        <w:spacing w:line="340" w:lineRule="auto" w:before="123"/>
        <w:ind w:right="224" w:firstLine="480"/>
        <w:jc w:val="left"/>
      </w:pPr>
      <w:r>
        <w:rPr/>
        <w:t>根据致同出具的《北京超图软件股份有限公司关于对上海南康科技有限公司</w:t>
      </w:r>
      <w:r>
        <w:rPr>
          <w:spacing w:val="-61"/>
        </w:rPr>
        <w:t> </w:t>
      </w:r>
      <w:r>
        <w:rPr>
          <w:rFonts w:ascii="Calibri" w:hAnsi="Calibri" w:cs="Calibri" w:eastAsia="Calibri" w:hint="default"/>
        </w:rPr>
        <w:t>2015</w:t>
      </w:r>
      <w:r>
        <w:rPr>
          <w:rFonts w:ascii="Calibri" w:hAnsi="Calibri" w:cs="Calibri" w:eastAsia="Calibri" w:hint="default"/>
          <w:spacing w:val="5"/>
        </w:rPr>
        <w:t> </w:t>
      </w:r>
      <w:r>
        <w:rPr/>
        <w:t>年度 业绩承诺实现情况的说明审核报告》，南康科技扣除非经常性损益和研发资本化费用的税 后净利润为</w:t>
      </w:r>
      <w:r>
        <w:rPr>
          <w:spacing w:val="-62"/>
        </w:rPr>
        <w:t> </w:t>
      </w:r>
      <w:r>
        <w:rPr>
          <w:rFonts w:ascii="Calibri" w:hAnsi="Calibri" w:cs="Calibri" w:eastAsia="Calibri" w:hint="default"/>
        </w:rPr>
        <w:t>871.47</w:t>
      </w:r>
      <w:r>
        <w:rPr>
          <w:rFonts w:ascii="Calibri" w:hAnsi="Calibri" w:cs="Calibri" w:eastAsia="Calibri" w:hint="default"/>
          <w:spacing w:val="5"/>
        </w:rPr>
        <w:t> </w:t>
      </w:r>
      <w:r>
        <w:rPr/>
        <w:t>万元，完成了本年度承诺。</w:t>
      </w:r>
    </w:p>
    <w:p>
      <w:pPr>
        <w:pStyle w:val="Heading2"/>
        <w:spacing w:line="240" w:lineRule="auto" w:before="147"/>
        <w:ind w:left="137" w:right="346"/>
        <w:jc w:val="left"/>
        <w:rPr>
          <w:b w:val="0"/>
          <w:bCs w:val="0"/>
        </w:rPr>
      </w:pPr>
      <w:bookmarkStart w:name="_bookmark28" w:id="29"/>
      <w:bookmarkEnd w:id="29"/>
      <w:r>
        <w:rPr>
          <w:b w:val="0"/>
          <w:bCs w:val="0"/>
        </w:rPr>
      </w:r>
      <w:r>
        <w:rPr/>
        <w:t>三、控股股东及其关联方对上市公司的非经营性占用资金情况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26" w:lineRule="auto" w:before="0"/>
        <w:ind w:left="617" w:right="15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公司报告期不存在控股股东及其关联方对上市公司的非经营性占用资金。</w:t>
      </w:r>
    </w:p>
    <w:p>
      <w:pPr>
        <w:pStyle w:val="Heading2"/>
        <w:spacing w:line="240" w:lineRule="auto" w:before="215"/>
        <w:ind w:left="137" w:right="346"/>
        <w:jc w:val="left"/>
        <w:rPr>
          <w:b w:val="0"/>
          <w:bCs w:val="0"/>
        </w:rPr>
      </w:pPr>
      <w:bookmarkStart w:name="_bookmark29" w:id="30"/>
      <w:bookmarkEnd w:id="30"/>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27" w:lineRule="auto" w:before="0"/>
        <w:ind w:left="137" w:right="224"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30" w:id="31"/>
      <w:bookmarkEnd w:id="31"/>
      <w:r>
        <w:rPr>
          <w:rFonts w:ascii="宋体" w:hAnsi="宋体" w:cs="宋体" w:eastAsia="宋体" w:hint="default"/>
          <w:w w:val="99"/>
          <w:sz w:val="24"/>
          <w:szCs w:val="24"/>
        </w:rPr>
      </w:r>
      <w:r>
        <w:rPr>
          <w:rFonts w:ascii="Microsoft JhengHei" w:hAnsi="Microsoft JhengHei" w:cs="Microsoft JhengHei" w:eastAsia="Microsoft JhengHei" w:hint="default"/>
          <w:b/>
          <w:bCs/>
          <w:spacing w:val="-3"/>
          <w:sz w:val="24"/>
          <w:szCs w:val="24"/>
        </w:rPr>
        <w:t>五、董事会、监事会、独立董事（如有）对会计师事务所本报告期</w:t>
      </w:r>
      <w:r>
        <w:rPr>
          <w:rFonts w:ascii="Times New Roman" w:hAnsi="Times New Roman" w:cs="Times New Roman" w:eastAsia="Times New Roman" w:hint="default"/>
          <w:b/>
          <w:bCs/>
          <w:spacing w:val="-3"/>
          <w:sz w:val="24"/>
          <w:szCs w:val="24"/>
        </w:rPr>
        <w:t>“</w:t>
      </w:r>
      <w:r>
        <w:rPr>
          <w:rFonts w:ascii="Microsoft JhengHei" w:hAnsi="Microsoft JhengHei" w:cs="Microsoft JhengHei" w:eastAsia="Microsoft JhengHei" w:hint="default"/>
          <w:b/>
          <w:bCs/>
          <w:spacing w:val="-3"/>
          <w:sz w:val="24"/>
          <w:szCs w:val="24"/>
        </w:rPr>
        <w:t>非标准审计报告</w:t>
      </w:r>
      <w:r>
        <w:rPr>
          <w:rFonts w:ascii="Times New Roman" w:hAnsi="Times New Roman" w:cs="Times New Roman" w:eastAsia="Times New Roman" w:hint="default"/>
          <w:b/>
          <w:bCs/>
          <w:spacing w:val="-3"/>
          <w:sz w:val="24"/>
          <w:szCs w:val="24"/>
        </w:rPr>
        <w:t>”</w:t>
      </w:r>
      <w:r>
        <w:rPr>
          <w:rFonts w:ascii="Microsoft JhengHei" w:hAnsi="Microsoft JhengHei" w:cs="Microsoft JhengHei" w:eastAsia="Microsoft JhengHei" w:hint="default"/>
          <w:b/>
          <w:bCs/>
          <w:spacing w:val="-3"/>
          <w:sz w:val="24"/>
          <w:szCs w:val="24"/>
        </w:rPr>
        <w:t>的说明</w:t>
      </w:r>
      <w:r>
        <w:rPr>
          <w:rFonts w:ascii="Microsoft JhengHei" w:hAnsi="Microsoft JhengHei" w:cs="Microsoft JhengHei" w:eastAsia="Microsoft JhengHei" w:hint="default"/>
          <w:spacing w:val="-3"/>
          <w:sz w:val="24"/>
          <w:szCs w:val="24"/>
        </w:rPr>
      </w:r>
    </w:p>
    <w:p>
      <w:pPr>
        <w:pStyle w:val="BodyText"/>
        <w:spacing w:line="240" w:lineRule="auto" w:before="98"/>
        <w:ind w:left="617" w:right="346"/>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77" w:footer="1085" w:top="1220" w:bottom="1280" w:left="1140" w:right="900"/>
        </w:sectPr>
      </w:pPr>
    </w:p>
    <w:p>
      <w:pPr>
        <w:spacing w:line="240" w:lineRule="auto" w:before="10"/>
        <w:rPr>
          <w:rFonts w:ascii="宋体" w:hAnsi="宋体" w:cs="宋体" w:eastAsia="宋体" w:hint="default"/>
          <w:sz w:val="10"/>
          <w:szCs w:val="10"/>
        </w:rPr>
      </w:pPr>
    </w:p>
    <w:p>
      <w:pPr>
        <w:pStyle w:val="Heading2"/>
        <w:spacing w:line="367" w:lineRule="exact"/>
        <w:ind w:left="137" w:right="229"/>
        <w:jc w:val="left"/>
        <w:rPr>
          <w:b w:val="0"/>
          <w:bCs w:val="0"/>
        </w:rPr>
      </w:pPr>
      <w:bookmarkStart w:name="_bookmark31" w:id="32"/>
      <w:bookmarkEnd w:id="32"/>
      <w:r>
        <w:rPr>
          <w:b w:val="0"/>
          <w:bCs w:val="0"/>
        </w:rPr>
      </w:r>
      <w:r>
        <w:rPr/>
        <w:t>六、董事会关于报告期会计政策、会计估计变更或重大会计差错更正的说明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tabs>
          <w:tab w:pos="1457" w:val="left" w:leader="none"/>
        </w:tabs>
        <w:spacing w:line="240" w:lineRule="auto" w:before="0"/>
        <w:ind w:left="617" w:right="229"/>
        <w:jc w:val="left"/>
      </w:pPr>
      <w:r>
        <w:rPr>
          <w:rFonts w:ascii="Calibri" w:hAnsi="Calibri" w:cs="Calibri" w:eastAsia="Calibri" w:hint="default"/>
          <w:w w:val="95"/>
        </w:rPr>
        <w:t>√</w:t>
      </w:r>
      <w:r>
        <w:rPr>
          <w:w w:val="95"/>
        </w:rPr>
        <w:t>适用</w:t>
        <w:tab/>
      </w:r>
      <w:r>
        <w:rPr>
          <w:rFonts w:ascii="Calibri" w:hAnsi="Calibri" w:cs="Calibri" w:eastAsia="Calibri" w:hint="default"/>
        </w:rPr>
        <w:t>□</w:t>
      </w:r>
      <w:r>
        <w:rPr/>
        <w:t>不适用</w:t>
      </w:r>
    </w:p>
    <w:p>
      <w:pPr>
        <w:pStyle w:val="BodyText"/>
        <w:spacing w:line="240" w:lineRule="auto" w:before="123"/>
        <w:ind w:left="617" w:right="22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4 </w:t>
      </w:r>
      <w:r>
        <w:rPr/>
        <w:t>日，中华人民共和国财政部（以下简称</w:t>
      </w:r>
      <w:r>
        <w:rPr>
          <w:rFonts w:ascii="Times New Roman" w:hAnsi="Times New Roman" w:cs="Times New Roman" w:eastAsia="Times New Roman" w:hint="default"/>
        </w:rPr>
        <w:t>“</w:t>
      </w:r>
      <w:r>
        <w:rPr/>
        <w:t>财政部</w:t>
      </w:r>
      <w:r>
        <w:rPr>
          <w:rFonts w:ascii="Times New Roman" w:hAnsi="Times New Roman" w:cs="Times New Roman" w:eastAsia="Times New Roman" w:hint="default"/>
        </w:rPr>
        <w:t>”</w:t>
      </w:r>
      <w:r>
        <w:rPr/>
        <w:t>）发布《企业会计准</w:t>
      </w:r>
    </w:p>
    <w:p>
      <w:pPr>
        <w:pStyle w:val="BodyText"/>
        <w:spacing w:line="338" w:lineRule="auto" w:before="135"/>
        <w:ind w:right="332"/>
        <w:jc w:val="left"/>
      </w:pPr>
      <w:r>
        <w:rPr/>
        <w:t>则解释第</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10"/>
        </w:rPr>
        <w:t>号》（财会【</w:t>
      </w:r>
      <w:r>
        <w:rPr>
          <w:rFonts w:ascii="Times New Roman" w:hAnsi="Times New Roman" w:cs="Times New Roman" w:eastAsia="Times New Roman" w:hint="default"/>
          <w:spacing w:val="-10"/>
        </w:rPr>
        <w:t>2015</w:t>
      </w:r>
      <w:r>
        <w:rPr>
          <w:spacing w:val="-10"/>
        </w:rPr>
        <w:t>】</w:t>
      </w:r>
      <w:r>
        <w:rPr>
          <w:rFonts w:ascii="Times New Roman" w:hAnsi="Times New Roman" w:cs="Times New Roman" w:eastAsia="Times New Roman" w:hint="default"/>
          <w:spacing w:val="-10"/>
        </w:rPr>
        <w:t>19</w:t>
      </w:r>
      <w:r>
        <w:rPr>
          <w:rFonts w:ascii="Times New Roman" w:hAnsi="Times New Roman" w:cs="Times New Roman" w:eastAsia="Times New Roman" w:hint="default"/>
          <w:spacing w:val="3"/>
        </w:rPr>
        <w:t> </w:t>
      </w:r>
      <w:r>
        <w:rPr>
          <w:spacing w:val="-19"/>
        </w:rPr>
        <w:t>号），《企业会计准则解释第</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号》中关于授予限制性股 票激励计划的会计处理如下：</w:t>
      </w:r>
    </w:p>
    <w:p>
      <w:pPr>
        <w:pStyle w:val="BodyText"/>
        <w:spacing w:line="357" w:lineRule="auto" w:before="55"/>
        <w:ind w:right="285" w:firstLine="480"/>
        <w:jc w:val="both"/>
      </w:pPr>
      <w:r>
        <w:rPr/>
        <w:t>上市公司实施限制性股票的股权激励安排中，向激励对象授予一定数量的公司股票， 并规定锁定期和解锁期，在锁定期和解锁期内不得上市流通及转让。达到解锁条件可以解 锁；如果全部或部分股票未被解锁而失效或作废，由上市公司按照事先约定的价格进行回 购。对于此类授予限制性股票的股权激励计划，向职工发行的限制性股票按有关规定履行 了注册登记等增资手续的，公司应当根据收到职工缴纳的认股款确认股本和资本公积（股 </w:t>
      </w:r>
      <w:r>
        <w:rPr>
          <w:spacing w:val="-9"/>
        </w:rPr>
        <w:t>本溢价），同时就回购义务确认负债（作收购库存股处理）。</w:t>
      </w:r>
    </w:p>
    <w:p>
      <w:pPr>
        <w:pStyle w:val="BodyText"/>
        <w:spacing w:line="338" w:lineRule="auto"/>
        <w:ind w:right="149" w:firstLine="480"/>
        <w:jc w:val="left"/>
      </w:pPr>
      <w:r>
        <w:rPr/>
        <w:t>根据《企业会计准则解释第</w:t>
      </w:r>
      <w:r>
        <w:rPr>
          <w:spacing w:val="-60"/>
        </w:rPr>
        <w:t> </w:t>
      </w:r>
      <w:r>
        <w:rPr>
          <w:rFonts w:ascii="Times New Roman" w:hAnsi="Times New Roman" w:cs="Times New Roman" w:eastAsia="Times New Roman" w:hint="default"/>
        </w:rPr>
        <w:t>7 </w:t>
      </w:r>
      <w:r>
        <w:rPr>
          <w:spacing w:val="-20"/>
        </w:rPr>
        <w:t>号》，公司于</w:t>
      </w:r>
      <w:r>
        <w:rPr>
          <w:spacing w:val="-60"/>
        </w:rPr>
        <w:t> </w:t>
      </w:r>
      <w:r>
        <w:rPr>
          <w:rFonts w:ascii="Times New Roman" w:hAnsi="Times New Roman" w:cs="Times New Roman" w:eastAsia="Times New Roman" w:hint="default"/>
        </w:rPr>
        <w:t>2015 </w:t>
      </w:r>
      <w:r>
        <w:rPr/>
        <w:t>年度开始执行上述规定，并对</w:t>
      </w:r>
      <w:r>
        <w:rPr>
          <w:spacing w:val="-60"/>
        </w:rPr>
        <w:t> </w:t>
      </w:r>
      <w:r>
        <w:rPr>
          <w:rFonts w:ascii="Times New Roman" w:hAnsi="Times New Roman" w:cs="Times New Roman" w:eastAsia="Times New Roman" w:hint="default"/>
        </w:rPr>
        <w:t>2014 </w:t>
      </w:r>
      <w:r>
        <w:rPr/>
        <w:t>年 度财务报表进行追溯调整。</w:t>
      </w:r>
    </w:p>
    <w:p>
      <w:pPr>
        <w:pStyle w:val="BodyText"/>
        <w:spacing w:line="240" w:lineRule="auto" w:before="55"/>
        <w:ind w:left="617" w:right="229"/>
        <w:jc w:val="left"/>
      </w:pPr>
      <w:r>
        <w:rPr/>
        <w:t>除下列事项外，其他因会计政策变更导致的影响不重大。</w:t>
      </w:r>
    </w:p>
    <w:p>
      <w:pPr>
        <w:spacing w:line="240" w:lineRule="auto" w:before="10"/>
        <w:rPr>
          <w:rFonts w:ascii="宋体" w:hAnsi="宋体" w:cs="宋体" w:eastAsia="宋体" w:hint="default"/>
          <w:sz w:val="9"/>
          <w:szCs w:val="9"/>
        </w:rPr>
      </w:pPr>
    </w:p>
    <w:p>
      <w:pPr>
        <w:pStyle w:val="BodyText"/>
        <w:spacing w:line="240" w:lineRule="auto" w:before="26"/>
        <w:ind w:left="0" w:right="148"/>
        <w:jc w:val="right"/>
      </w:pPr>
      <w:r>
        <w:rPr/>
        <w:t>单位：元</w:t>
      </w:r>
    </w:p>
    <w:p>
      <w:pPr>
        <w:spacing w:line="240" w:lineRule="auto" w:before="1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355"/>
        <w:gridCol w:w="2537"/>
        <w:gridCol w:w="2391"/>
        <w:gridCol w:w="2206"/>
      </w:tblGrid>
      <w:tr>
        <w:trPr>
          <w:trHeight w:val="32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受影响的报表项目</w:t>
            </w:r>
            <w:r>
              <w:rPr>
                <w:rFonts w:ascii="Microsoft JhengHei" w:hAnsi="Microsoft JhengHei" w:cs="Microsoft JhengHei" w:eastAsia="Microsoft JhengHei" w:hint="default"/>
                <w:sz w:val="21"/>
                <w:szCs w:val="21"/>
              </w:rPr>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调整前</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调整后</w:t>
            </w:r>
            <w:r>
              <w:rPr>
                <w:rFonts w:ascii="Microsoft JhengHei" w:hAnsi="Microsoft JhengHei" w:cs="Microsoft JhengHei" w:eastAsia="Microsoft JhengHei"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13,089,025.60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25,718,997.76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12,629,972.16</w:t>
            </w:r>
          </w:p>
        </w:tc>
      </w:tr>
      <w:tr>
        <w:trPr>
          <w:trHeight w:val="322"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15,396,433.20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w w:val="100"/>
                <w:sz w:val="21"/>
              </w:rPr>
              <w:t>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-15,396,433.20</w:t>
            </w:r>
          </w:p>
        </w:tc>
      </w:tr>
      <w:tr>
        <w:trPr>
          <w:trHeight w:val="63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库存股</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15,396,433.20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12,629,972.16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-2,766,461.04</w:t>
            </w:r>
          </w:p>
        </w:tc>
      </w:tr>
    </w:tbl>
    <w:p>
      <w:pPr>
        <w:spacing w:line="240" w:lineRule="auto" w:before="1"/>
        <w:rPr>
          <w:rFonts w:ascii="宋体" w:hAnsi="宋体" w:cs="宋体" w:eastAsia="宋体" w:hint="default"/>
          <w:sz w:val="18"/>
          <w:szCs w:val="18"/>
        </w:rPr>
      </w:pPr>
    </w:p>
    <w:p>
      <w:pPr>
        <w:pStyle w:val="Heading2"/>
        <w:spacing w:line="367" w:lineRule="exact"/>
        <w:ind w:left="137" w:right="229"/>
        <w:jc w:val="left"/>
        <w:rPr>
          <w:b w:val="0"/>
          <w:bCs w:val="0"/>
        </w:rPr>
      </w:pPr>
      <w:bookmarkStart w:name="_bookmark32" w:id="33"/>
      <w:bookmarkEnd w:id="33"/>
      <w:r>
        <w:rPr>
          <w:b w:val="0"/>
          <w:bCs w:val="0"/>
        </w:rPr>
      </w:r>
      <w:r>
        <w:rPr/>
        <w:t>七、与上年度财务报告相比，合并报表范围发生变化的情况说明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pStyle w:val="BodyText"/>
        <w:spacing w:line="333" w:lineRule="auto" w:before="123"/>
        <w:ind w:right="141" w:firstLine="480"/>
        <w:jc w:val="left"/>
      </w:pPr>
      <w:r>
        <w:rPr>
          <w:rFonts w:ascii="Calibri" w:hAnsi="Calibri" w:cs="Calibri" w:eastAsia="Calibri" w:hint="default"/>
        </w:rPr>
        <w:t>1</w:t>
      </w:r>
      <w:r>
        <w:rPr/>
        <w:t>、公司</w:t>
      </w:r>
      <w:r>
        <w:rPr>
          <w:spacing w:val="-63"/>
        </w:rPr>
        <w:t> </w:t>
      </w:r>
      <w:r>
        <w:rPr>
          <w:rFonts w:ascii="Calibri" w:hAnsi="Calibri" w:cs="Calibri" w:eastAsia="Calibri" w:hint="default"/>
        </w:rPr>
        <w:t>2015</w:t>
      </w:r>
      <w:r>
        <w:rPr>
          <w:rFonts w:ascii="Calibri" w:hAnsi="Calibri" w:cs="Calibri" w:eastAsia="Calibri" w:hint="default"/>
          <w:spacing w:val="3"/>
        </w:rPr>
        <w:t> </w:t>
      </w:r>
      <w:r>
        <w:rPr/>
        <w:t>年通过非同一控制下企业合并的方式取得上海南康科技有限公司</w:t>
      </w:r>
      <w:r>
        <w:rPr>
          <w:spacing w:val="-62"/>
        </w:rPr>
        <w:t> </w:t>
      </w:r>
      <w:r>
        <w:rPr>
          <w:rFonts w:ascii="Calibri" w:hAnsi="Calibri" w:cs="Calibri" w:eastAsia="Calibri" w:hint="default"/>
        </w:rPr>
        <w:t>100%</w:t>
      </w:r>
      <w:r>
        <w:rPr/>
        <w:t>股 权，收购价款为人民币</w:t>
      </w:r>
      <w:r>
        <w:rPr>
          <w:spacing w:val="-61"/>
        </w:rPr>
        <w:t> </w:t>
      </w:r>
      <w:r>
        <w:rPr>
          <w:rFonts w:ascii="Calibri" w:hAnsi="Calibri" w:cs="Calibri" w:eastAsia="Calibri" w:hint="default"/>
        </w:rPr>
        <w:t>9,200</w:t>
      </w:r>
      <w:r>
        <w:rPr>
          <w:rFonts w:ascii="Calibri" w:hAnsi="Calibri" w:cs="Calibri" w:eastAsia="Calibri" w:hint="default"/>
          <w:spacing w:val="6"/>
        </w:rPr>
        <w:t> </w:t>
      </w:r>
      <w:r>
        <w:rPr/>
        <w:t>万元，转让价款分六期支付。</w:t>
      </w:r>
      <w:r>
        <w:rPr>
          <w:rFonts w:ascii="Calibri" w:hAnsi="Calibri" w:cs="Calibri" w:eastAsia="Calibri" w:hint="default"/>
        </w:rPr>
        <w:t>2015</w:t>
      </w:r>
      <w:r>
        <w:rPr>
          <w:rFonts w:ascii="Calibri" w:hAnsi="Calibri" w:cs="Calibri" w:eastAsia="Calibri" w:hint="default"/>
          <w:spacing w:val="3"/>
        </w:rPr>
        <w:t> </w:t>
      </w:r>
      <w:r>
        <w:rPr/>
        <w:t>年</w:t>
      </w:r>
      <w:r>
        <w:rPr>
          <w:spacing w:val="-61"/>
        </w:rPr>
        <w:t> </w:t>
      </w:r>
      <w:r>
        <w:rPr>
          <w:rFonts w:ascii="Calibri" w:hAnsi="Calibri" w:cs="Calibri" w:eastAsia="Calibri" w:hint="default"/>
        </w:rPr>
        <w:t>7</w:t>
      </w:r>
      <w:r>
        <w:rPr>
          <w:rFonts w:ascii="Calibri" w:hAnsi="Calibri" w:cs="Calibri" w:eastAsia="Calibri" w:hint="default"/>
          <w:spacing w:val="6"/>
        </w:rPr>
        <w:t> </w:t>
      </w:r>
      <w:r>
        <w:rPr/>
        <w:t>月</w:t>
      </w:r>
      <w:r>
        <w:rPr>
          <w:spacing w:val="-61"/>
        </w:rPr>
        <w:t> </w:t>
      </w:r>
      <w:r>
        <w:rPr>
          <w:rFonts w:ascii="Calibri" w:hAnsi="Calibri" w:cs="Calibri" w:eastAsia="Calibri" w:hint="default"/>
        </w:rPr>
        <w:t>1</w:t>
      </w:r>
      <w:r>
        <w:rPr>
          <w:rFonts w:ascii="Calibri" w:hAnsi="Calibri" w:cs="Calibri" w:eastAsia="Calibri" w:hint="default"/>
          <w:spacing w:val="5"/>
        </w:rPr>
        <w:t> </w:t>
      </w:r>
      <w:r>
        <w:rPr/>
        <w:t>日，上海南康科 技有限公司已完成了股东转让的工商变更登记手续，本公司按照协议的约定支付了第一期 和第二期转让款</w:t>
      </w:r>
      <w:r>
        <w:rPr>
          <w:spacing w:val="-62"/>
        </w:rPr>
        <w:t> </w:t>
      </w:r>
      <w:r>
        <w:rPr>
          <w:rFonts w:ascii="Calibri" w:hAnsi="Calibri" w:cs="Calibri" w:eastAsia="Calibri" w:hint="default"/>
        </w:rPr>
        <w:t>3,200</w:t>
      </w:r>
      <w:r>
        <w:rPr>
          <w:rFonts w:ascii="Calibri" w:hAnsi="Calibri" w:cs="Calibri" w:eastAsia="Calibri" w:hint="default"/>
          <w:spacing w:val="4"/>
        </w:rPr>
        <w:t> </w:t>
      </w:r>
      <w:r>
        <w:rPr/>
        <w:t>万元，剩余四期股权转让款每期</w:t>
      </w:r>
      <w:r>
        <w:rPr>
          <w:spacing w:val="-61"/>
        </w:rPr>
        <w:t> </w:t>
      </w:r>
      <w:r>
        <w:rPr>
          <w:rFonts w:ascii="Calibri" w:hAnsi="Calibri" w:cs="Calibri" w:eastAsia="Calibri" w:hint="default"/>
        </w:rPr>
        <w:t>1,500</w:t>
      </w:r>
      <w:r>
        <w:rPr>
          <w:rFonts w:ascii="Calibri" w:hAnsi="Calibri" w:cs="Calibri" w:eastAsia="Calibri" w:hint="default"/>
          <w:spacing w:val="6"/>
        </w:rPr>
        <w:t> </w:t>
      </w:r>
      <w:r>
        <w:rPr/>
        <w:t>万元，分别于业绩承诺期内每 个会计年度后支付。本期纳入合并财务报表范围。</w:t>
      </w:r>
    </w:p>
    <w:p>
      <w:pPr>
        <w:pStyle w:val="BodyText"/>
        <w:spacing w:line="240" w:lineRule="auto" w:before="60"/>
        <w:ind w:left="617" w:right="229"/>
        <w:jc w:val="left"/>
      </w:pPr>
      <w:r>
        <w:rPr>
          <w:rFonts w:ascii="Calibri" w:hAnsi="Calibri" w:cs="Calibri" w:eastAsia="Calibri" w:hint="default"/>
        </w:rPr>
        <w:t>2</w:t>
      </w:r>
      <w:r>
        <w:rPr/>
        <w:t>、本公司所属子公司北京超图信息技术有限公司</w:t>
      </w:r>
      <w:r>
        <w:rPr>
          <w:spacing w:val="-61"/>
        </w:rPr>
        <w:t> </w:t>
      </w:r>
      <w:r>
        <w:rPr>
          <w:rFonts w:ascii="Calibri" w:hAnsi="Calibri" w:cs="Calibri" w:eastAsia="Calibri" w:hint="default"/>
        </w:rPr>
        <w:t>2015</w:t>
      </w:r>
      <w:r>
        <w:rPr>
          <w:rFonts w:ascii="Calibri" w:hAnsi="Calibri" w:cs="Calibri" w:eastAsia="Calibri" w:hint="default"/>
          <w:spacing w:val="4"/>
        </w:rPr>
        <w:t> </w:t>
      </w:r>
      <w:r>
        <w:rPr/>
        <w:t>年投资新设芜湖联智信息技术</w:t>
      </w:r>
    </w:p>
    <w:p>
      <w:pPr>
        <w:pStyle w:val="BodyText"/>
        <w:spacing w:line="240" w:lineRule="auto" w:before="123"/>
        <w:ind w:right="229"/>
        <w:jc w:val="left"/>
      </w:pPr>
      <w:r>
        <w:rPr/>
        <w:t>有限公司，截至</w:t>
      </w:r>
      <w:r>
        <w:rPr>
          <w:spacing w:val="-62"/>
        </w:rPr>
        <w:t> </w:t>
      </w:r>
      <w:r>
        <w:rPr>
          <w:rFonts w:ascii="Calibri" w:hAnsi="Calibri" w:cs="Calibri" w:eastAsia="Calibri" w:hint="default"/>
        </w:rPr>
        <w:t>2015</w:t>
      </w:r>
      <w:r>
        <w:rPr>
          <w:rFonts w:ascii="Calibri" w:hAnsi="Calibri" w:cs="Calibri" w:eastAsia="Calibri" w:hint="default"/>
          <w:spacing w:val="3"/>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日，该公司已完成工商登记并部分缴付认缴出资款，</w:t>
      </w:r>
    </w:p>
    <w:p>
      <w:pPr>
        <w:pStyle w:val="BodyText"/>
        <w:spacing w:line="240" w:lineRule="auto" w:before="123"/>
        <w:ind w:right="229"/>
        <w:jc w:val="left"/>
      </w:pPr>
      <w:r>
        <w:rPr>
          <w:rFonts w:ascii="Calibri" w:hAnsi="Calibri" w:cs="Calibri" w:eastAsia="Calibri" w:hint="default"/>
        </w:rPr>
        <w:t>2015</w:t>
      </w:r>
      <w:r>
        <w:rPr>
          <w:rFonts w:ascii="Calibri" w:hAnsi="Calibri" w:cs="Calibri" w:eastAsia="Calibri" w:hint="default"/>
          <w:spacing w:val="3"/>
        </w:rPr>
        <w:t> </w:t>
      </w:r>
      <w:r>
        <w:rPr/>
        <w:t>年开始纳入合并财务报表范围。</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26" w:lineRule="auto" w:before="26"/>
        <w:ind w:right="196" w:firstLine="480"/>
        <w:jc w:val="left"/>
      </w:pPr>
      <w:r>
        <w:rPr>
          <w:rFonts w:ascii="Calibri" w:hAnsi="Calibri" w:cs="Calibri" w:eastAsia="Calibri" w:hint="default"/>
        </w:rPr>
        <w:t>3</w:t>
      </w:r>
      <w:r>
        <w:rPr/>
        <w:t>、本公司</w:t>
      </w:r>
      <w:r>
        <w:rPr>
          <w:spacing w:val="-61"/>
        </w:rPr>
        <w:t> </w:t>
      </w:r>
      <w:r>
        <w:rPr>
          <w:rFonts w:ascii="Calibri" w:hAnsi="Calibri" w:cs="Calibri" w:eastAsia="Calibri" w:hint="default"/>
        </w:rPr>
        <w:t>2014</w:t>
      </w:r>
      <w:r>
        <w:rPr>
          <w:rFonts w:ascii="Calibri" w:hAnsi="Calibri" w:cs="Calibri" w:eastAsia="Calibri" w:hint="default"/>
          <w:spacing w:val="5"/>
        </w:rPr>
        <w:t> </w:t>
      </w:r>
      <w:r>
        <w:rPr/>
        <w:t>年新设立全资子公司－山东超图软件有限公司，截至</w:t>
      </w:r>
      <w:r>
        <w:rPr>
          <w:spacing w:val="-60"/>
        </w:rPr>
        <w:t> </w:t>
      </w:r>
      <w:r>
        <w:rPr>
          <w:rFonts w:ascii="Calibri" w:hAnsi="Calibri" w:cs="Calibri" w:eastAsia="Calibri" w:hint="default"/>
        </w:rPr>
        <w:t>2014</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 </w:t>
      </w:r>
      <w:r>
        <w:rPr/>
        <w:t>日，该公司已完成工商登记，本公司尚未缴付认缴出资款，</w:t>
      </w:r>
      <w:r>
        <w:rPr>
          <w:rFonts w:ascii="Calibri" w:hAnsi="Calibri" w:cs="Calibri" w:eastAsia="Calibri" w:hint="default"/>
        </w:rPr>
        <w:t>2014</w:t>
      </w:r>
      <w:r>
        <w:rPr>
          <w:rFonts w:ascii="Calibri" w:hAnsi="Calibri" w:cs="Calibri" w:eastAsia="Calibri" w:hint="default"/>
          <w:spacing w:val="3"/>
        </w:rPr>
        <w:t> </w:t>
      </w:r>
      <w:r>
        <w:rPr/>
        <w:t>年末未纳入合并财务报表 范围。截至</w:t>
      </w:r>
      <w:r>
        <w:rPr>
          <w:spacing w:val="-62"/>
        </w:rPr>
        <w:t> </w:t>
      </w:r>
      <w:r>
        <w:rPr>
          <w:rFonts w:ascii="Calibri" w:hAnsi="Calibri" w:cs="Calibri" w:eastAsia="Calibri" w:hint="default"/>
        </w:rPr>
        <w:t>2015</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3"/>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日，本公司已缴足认缴出资款，</w:t>
      </w:r>
      <w:r>
        <w:rPr>
          <w:rFonts w:ascii="Calibri" w:hAnsi="Calibri" w:cs="Calibri" w:eastAsia="Calibri" w:hint="default"/>
        </w:rPr>
        <w:t>2015</w:t>
      </w:r>
      <w:r>
        <w:rPr>
          <w:rFonts w:ascii="Calibri" w:hAnsi="Calibri" w:cs="Calibri" w:eastAsia="Calibri" w:hint="default"/>
          <w:spacing w:val="3"/>
        </w:rPr>
        <w:t> </w:t>
      </w:r>
      <w:r>
        <w:rPr/>
        <w:t>年开始纳入合并财务报 表范围。</w:t>
      </w:r>
    </w:p>
    <w:p>
      <w:pPr>
        <w:spacing w:line="441" w:lineRule="auto" w:before="214"/>
        <w:ind w:left="617" w:right="6029" w:hanging="480"/>
        <w:jc w:val="left"/>
        <w:rPr>
          <w:rFonts w:ascii="宋体" w:hAnsi="宋体" w:cs="宋体" w:eastAsia="宋体" w:hint="default"/>
          <w:sz w:val="24"/>
          <w:szCs w:val="24"/>
        </w:rPr>
      </w:pPr>
      <w:r>
        <w:rPr/>
        <w:pict>
          <v:shape style="position:absolute;margin-left:63.863998pt;margin-top:70.533638pt;width:475.2pt;height:129.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12"/>
                    <w:gridCol w:w="4777"/>
                  </w:tblGrid>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王涛、赵明</w:t>
                        </w:r>
                      </w:p>
                    </w:tc>
                  </w:tr>
                  <w:tr>
                    <w:trPr>
                      <w:trHeight w:val="323"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3"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sz w:val="21"/>
                            <w:szCs w:val="21"/>
                          </w:rPr>
                          <w:t>境外会计师事务所报酬（万元）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8"/>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bookmarkStart w:name="_bookmark33" w:id="34"/>
      <w:bookmarkEnd w:id="34"/>
      <w:r>
        <w:rPr/>
      </w:r>
      <w:r>
        <w:rPr>
          <w:rFonts w:ascii="Microsoft JhengHei" w:hAnsi="Microsoft JhengHei" w:cs="Microsoft JhengHei" w:eastAsia="Microsoft JhengHei" w:hint="default"/>
          <w:b/>
          <w:bCs/>
          <w:sz w:val="24"/>
          <w:szCs w:val="24"/>
        </w:rPr>
        <w:t>八、聘任、解聘会计师事务所情况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2"/>
        <w:ind w:left="617" w:right="229"/>
        <w:jc w:val="left"/>
      </w:pPr>
      <w:r>
        <w:rPr/>
        <w:t>是否改聘会计师事务所</w:t>
      </w:r>
    </w:p>
    <w:p>
      <w:pPr>
        <w:pStyle w:val="BodyText"/>
        <w:spacing w:line="326" w:lineRule="auto" w:before="154"/>
        <w:ind w:left="617" w:right="3149"/>
        <w:jc w:val="left"/>
      </w:pPr>
      <w:r>
        <w:rPr>
          <w:rFonts w:ascii="Calibri" w:hAnsi="Calibri" w:cs="Calibri" w:eastAsia="Calibri" w:hint="default"/>
        </w:rPr>
        <w:t>□ </w:t>
      </w:r>
      <w:r>
        <w:rPr/>
        <w:t>是 </w:t>
      </w:r>
      <w:r>
        <w:rPr>
          <w:rFonts w:ascii="Calibri" w:hAnsi="Calibri" w:cs="Calibri" w:eastAsia="Calibri" w:hint="default"/>
        </w:rPr>
        <w:t>√</w:t>
      </w:r>
      <w:r>
        <w:rPr>
          <w:rFonts w:ascii="Calibri" w:hAnsi="Calibri" w:cs="Calibri" w:eastAsia="Calibri" w:hint="default"/>
          <w:spacing w:val="21"/>
        </w:rPr>
        <w:t> </w:t>
      </w:r>
      <w:r>
        <w:rPr/>
        <w:t>否</w:t>
      </w:r>
      <w:r>
        <w:rPr>
          <w:w w:val="99"/>
        </w:rPr>
        <w:t> </w:t>
      </w:r>
      <w:r>
        <w:rPr/>
        <w:t>聘请内部控制审计会计师事务所、财务顾问或保荐人情况</w:t>
      </w:r>
    </w:p>
    <w:p>
      <w:pPr>
        <w:spacing w:line="427" w:lineRule="auto" w:before="67"/>
        <w:ind w:left="137" w:right="386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34" w:id="35"/>
      <w:bookmarkEnd w:id="35"/>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九、年度报告披露后面临暂停上市和终止上市情况</w:t>
      </w:r>
      <w:r>
        <w:rPr>
          <w:rFonts w:ascii="Microsoft JhengHei" w:hAnsi="Microsoft JhengHei" w:cs="Microsoft JhengHei" w:eastAsia="Microsoft JhengHei" w:hint="default"/>
          <w:sz w:val="24"/>
          <w:szCs w:val="24"/>
        </w:rPr>
      </w:r>
    </w:p>
    <w:p>
      <w:pPr>
        <w:spacing w:line="427" w:lineRule="auto" w:before="101"/>
        <w:ind w:left="137" w:right="722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35" w:id="36"/>
      <w:bookmarkEnd w:id="36"/>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十、破产重整相关事项</w:t>
      </w:r>
      <w:r>
        <w:rPr>
          <w:rFonts w:ascii="Microsoft JhengHei" w:hAnsi="Microsoft JhengHei" w:cs="Microsoft JhengHei" w:eastAsia="Microsoft JhengHei" w:hint="default"/>
          <w:sz w:val="24"/>
          <w:szCs w:val="24"/>
        </w:rPr>
      </w:r>
    </w:p>
    <w:p>
      <w:pPr>
        <w:pStyle w:val="BodyText"/>
        <w:spacing w:line="326" w:lineRule="auto" w:before="98"/>
        <w:ind w:left="617" w:right="50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公司报告期未发生破产重整相关事项。</w:t>
      </w:r>
    </w:p>
    <w:p>
      <w:pPr>
        <w:pStyle w:val="Heading2"/>
        <w:spacing w:line="240" w:lineRule="auto" w:before="214"/>
        <w:ind w:left="137" w:right="229"/>
        <w:jc w:val="left"/>
        <w:rPr>
          <w:b w:val="0"/>
          <w:bCs w:val="0"/>
        </w:rPr>
      </w:pPr>
      <w:bookmarkStart w:name="_bookmark36" w:id="37"/>
      <w:bookmarkEnd w:id="37"/>
      <w:r>
        <w:rPr>
          <w:b w:val="0"/>
          <w:bCs w:val="0"/>
        </w:rPr>
      </w:r>
      <w:r>
        <w:rPr/>
        <w:t>十一、重大诉讼、仲裁事项</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before="0"/>
        <w:ind w:left="617" w:right="50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本报告期公司无重大诉讼、仲裁事项。</w:t>
      </w:r>
    </w:p>
    <w:p>
      <w:pPr>
        <w:spacing w:after="0" w:line="326" w:lineRule="auto"/>
        <w:jc w:val="left"/>
        <w:sectPr>
          <w:pgSz w:w="11910" w:h="16840"/>
          <w:pgMar w:header="877" w:footer="1085" w:top="1220" w:bottom="1280" w:left="1140" w:right="980"/>
        </w:sectPr>
      </w:pPr>
    </w:p>
    <w:p>
      <w:pPr>
        <w:spacing w:line="240" w:lineRule="auto" w:before="10"/>
        <w:rPr>
          <w:rFonts w:ascii="宋体" w:hAnsi="宋体" w:cs="宋体" w:eastAsia="宋体" w:hint="default"/>
          <w:sz w:val="10"/>
          <w:szCs w:val="10"/>
        </w:rPr>
      </w:pPr>
    </w:p>
    <w:p>
      <w:pPr>
        <w:pStyle w:val="Heading2"/>
        <w:spacing w:line="367" w:lineRule="exact"/>
        <w:ind w:left="137" w:right="229"/>
        <w:jc w:val="left"/>
        <w:rPr>
          <w:b w:val="0"/>
          <w:bCs w:val="0"/>
        </w:rPr>
      </w:pPr>
      <w:bookmarkStart w:name="_bookmark37" w:id="38"/>
      <w:bookmarkEnd w:id="38"/>
      <w:r>
        <w:rPr>
          <w:b w:val="0"/>
          <w:bCs w:val="0"/>
        </w:rPr>
      </w:r>
      <w:r>
        <w:rPr/>
        <w:t>十二、处罚及整改情况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before="0"/>
        <w:ind w:left="617" w:right="530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公司报告期不存在处罚及整改情况。</w:t>
      </w:r>
    </w:p>
    <w:p>
      <w:pPr>
        <w:pStyle w:val="Heading2"/>
        <w:spacing w:line="240" w:lineRule="auto" w:before="214"/>
        <w:ind w:left="137" w:right="229"/>
        <w:jc w:val="left"/>
        <w:rPr>
          <w:b w:val="0"/>
          <w:bCs w:val="0"/>
        </w:rPr>
      </w:pPr>
      <w:bookmarkStart w:name="_bookmark38" w:id="39"/>
      <w:bookmarkEnd w:id="39"/>
      <w:r>
        <w:rPr>
          <w:b w:val="0"/>
          <w:bCs w:val="0"/>
        </w:rPr>
      </w:r>
      <w:r>
        <w:rPr/>
        <w:t>十三、公司及其控股股东、实际控制人的诚信状况</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27" w:lineRule="auto" w:before="0"/>
        <w:ind w:left="137" w:right="22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39" w:id="40"/>
      <w:bookmarkEnd w:id="40"/>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十四、公司股权激励计划、员工持股计划或其他员工激励措施的实施情况</w:t>
      </w:r>
      <w:r>
        <w:rPr>
          <w:rFonts w:ascii="Microsoft JhengHei" w:hAnsi="Microsoft JhengHei" w:cs="Microsoft JhengHei" w:eastAsia="Microsoft JhengHei" w:hint="default"/>
          <w:sz w:val="24"/>
          <w:szCs w:val="24"/>
        </w:rPr>
      </w:r>
    </w:p>
    <w:p>
      <w:pPr>
        <w:pStyle w:val="BodyText"/>
        <w:spacing w:line="240" w:lineRule="auto" w:before="101"/>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7"/>
        <w:rPr>
          <w:rFonts w:ascii="宋体" w:hAnsi="宋体" w:cs="宋体" w:eastAsia="宋体" w:hint="default"/>
          <w:sz w:val="26"/>
          <w:szCs w:val="26"/>
        </w:rPr>
      </w:pPr>
    </w:p>
    <w:p>
      <w:pPr>
        <w:pStyle w:val="Heading2"/>
        <w:spacing w:line="240" w:lineRule="auto"/>
        <w:ind w:left="137" w:right="229"/>
        <w:jc w:val="left"/>
        <w:rPr>
          <w:b w:val="0"/>
          <w:bCs w:val="0"/>
        </w:rPr>
      </w:pPr>
      <w:r>
        <w:rPr>
          <w:rFonts w:ascii="Times New Roman" w:hAnsi="Times New Roman" w:cs="Times New Roman" w:eastAsia="Times New Roman" w:hint="default"/>
        </w:rPr>
        <w:t>1</w:t>
      </w:r>
      <w:r>
        <w:rPr/>
        <w:t>、股权激励的实施情况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48" w:lineRule="auto" w:before="0"/>
        <w:ind w:right="149"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日，公司第二届董事会第二十六次会议审议通过了《关于公司限制性 </w:t>
      </w:r>
      <w:r>
        <w:rPr>
          <w:spacing w:val="-3"/>
        </w:rPr>
        <w:t>股票激励计划预留限制性股票授予相关事项的议案》，公司计划将预留限制性股票授出，同</w:t>
      </w:r>
      <w:r>
        <w:rPr/>
        <w:t> 意预留限制性股票的授予日为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日，并同意向符合授权条件的</w:t>
      </w:r>
      <w:r>
        <w:rPr>
          <w:spacing w:val="-60"/>
        </w:rPr>
        <w:t> </w:t>
      </w:r>
      <w:r>
        <w:rPr>
          <w:rFonts w:ascii="Times New Roman" w:hAnsi="Times New Roman" w:cs="Times New Roman" w:eastAsia="Times New Roman" w:hint="default"/>
        </w:rPr>
        <w:t>9 </w:t>
      </w:r>
      <w:r>
        <w:rPr/>
        <w:t>名激励对象</w:t>
      </w:r>
    </w:p>
    <w:p>
      <w:pPr>
        <w:pStyle w:val="BodyText"/>
        <w:spacing w:line="352" w:lineRule="auto" w:before="16"/>
        <w:ind w:right="150"/>
        <w:jc w:val="left"/>
      </w:pPr>
      <w:r>
        <w:rPr/>
        <w:t>授予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万份限制性股票。公司独立董事对预留限制性股票授予发表了独立意见，北京市天 元律师事务所对预留限制性股票授予所涉及的相关事项进行了核查和验证，并出具了法律 意见书。同日，公司第二届监事会第二十二次会议审议确认本次获授预留限制性股票的激 励对象主体资格合法、有效，且满足《限制性股票激励计划》规定的获授条件，同意公司 向</w:t>
      </w:r>
      <w:r>
        <w:rPr>
          <w:spacing w:val="-60"/>
        </w:rPr>
        <w:t> </w:t>
      </w:r>
      <w:r>
        <w:rPr>
          <w:rFonts w:ascii="Times New Roman" w:hAnsi="Times New Roman" w:cs="Times New Roman" w:eastAsia="Times New Roman" w:hint="default"/>
        </w:rPr>
        <w:t>9 </w:t>
      </w:r>
      <w:r>
        <w:rPr/>
        <w:t>名激励对象授予预留限制性股票。</w:t>
      </w:r>
    </w:p>
    <w:p>
      <w:pPr>
        <w:pStyle w:val="BodyText"/>
        <w:spacing w:line="350" w:lineRule="auto" w:before="11"/>
        <w:ind w:right="149"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3 </w:t>
      </w:r>
      <w:r>
        <w:rPr/>
        <w:t>日，公司第三届董事会第四次会议和第三届监事会第四次会议审议通 </w:t>
      </w:r>
      <w:r>
        <w:rPr>
          <w:spacing w:val="-6"/>
        </w:rPr>
        <w:t>过了《关于回购注销部分激励对象已获授但尚未解锁的限制性股票的议案》、《关于公司股</w:t>
      </w:r>
      <w:r>
        <w:rPr/>
        <w:t> </w:t>
      </w:r>
      <w:r>
        <w:rPr>
          <w:spacing w:val="-3"/>
        </w:rPr>
        <w:t>权激励计划首次授予的限制性股票第一个解锁期条件成就可解锁的议案》，鉴于公司激励计</w:t>
      </w:r>
      <w:r>
        <w:rPr/>
        <w:t> 划原激励对象薛瑜、方亚华、杨建伟、苏志宏、高龙、王皓、刘晓娟、韩红林共计</w:t>
      </w:r>
      <w:r>
        <w:rPr>
          <w:spacing w:val="-59"/>
        </w:rPr>
        <w:t> </w:t>
      </w:r>
      <w:r>
        <w:rPr>
          <w:rFonts w:ascii="Times New Roman" w:hAnsi="Times New Roman" w:cs="Times New Roman" w:eastAsia="Times New Roman" w:hint="default"/>
        </w:rPr>
        <w:t>8 </w:t>
      </w:r>
      <w:r>
        <w:rPr/>
        <w:t>人因 个人原因离职，不具备激励对象资格，根据《限制性股票激励计划》第十五节“本激励计 </w:t>
      </w:r>
      <w:r>
        <w:rPr>
          <w:spacing w:val="-3"/>
        </w:rPr>
        <w:t>划的变更与终止”以及第十六节“回购注销的原则”，公司对该等激励对象已获授但尚未解</w:t>
      </w:r>
      <w:r>
        <w:rPr/>
        <w:t> 锁的全部限制性股票共计</w:t>
      </w:r>
      <w:r>
        <w:rPr>
          <w:spacing w:val="-60"/>
        </w:rPr>
        <w:t> </w:t>
      </w:r>
      <w:r>
        <w:rPr>
          <w:rFonts w:ascii="Times New Roman" w:hAnsi="Times New Roman" w:cs="Times New Roman" w:eastAsia="Times New Roman" w:hint="default"/>
        </w:rPr>
        <w:t>145,000 </w:t>
      </w:r>
      <w:r>
        <w:rPr/>
        <w:t>股进行回购注销；同意《激励计划》首次授予的限制性</w:t>
      </w:r>
    </w:p>
    <w:p>
      <w:pPr>
        <w:pStyle w:val="BodyText"/>
        <w:spacing w:line="240" w:lineRule="auto" w:before="13"/>
        <w:ind w:right="229"/>
        <w:jc w:val="left"/>
      </w:pPr>
      <w:r>
        <w:rPr/>
        <w:t>股票第一个解锁期的解锁条件已满足，可解锁的限制性股票共计为</w:t>
      </w:r>
      <w:r>
        <w:rPr>
          <w:spacing w:val="-60"/>
        </w:rPr>
        <w:t> </w:t>
      </w:r>
      <w:r>
        <w:rPr>
          <w:rFonts w:ascii="Times New Roman" w:hAnsi="Times New Roman" w:cs="Times New Roman" w:eastAsia="Times New Roman" w:hint="default"/>
        </w:rPr>
        <w:t>432,936 </w:t>
      </w:r>
      <w:r>
        <w:rPr/>
        <w:t>股。</w:t>
      </w:r>
    </w:p>
    <w:p>
      <w:pPr>
        <w:pStyle w:val="BodyText"/>
        <w:spacing w:line="240" w:lineRule="auto" w:before="135"/>
        <w:ind w:left="737" w:right="22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13 </w:t>
      </w:r>
      <w:r>
        <w:rPr/>
        <w:t>日，公司股权激励计划首次授予的第一期解锁的限制性股票上市流</w:t>
      </w:r>
    </w:p>
    <w:p>
      <w:pPr>
        <w:pStyle w:val="BodyText"/>
        <w:spacing w:line="240" w:lineRule="auto" w:before="135"/>
        <w:ind w:right="229"/>
        <w:jc w:val="left"/>
      </w:pPr>
      <w:r>
        <w:rPr/>
        <w:t>通，实际可上市流通数量为</w:t>
      </w:r>
      <w:r>
        <w:rPr>
          <w:spacing w:val="-60"/>
        </w:rPr>
        <w:t> </w:t>
      </w:r>
      <w:r>
        <w:rPr>
          <w:rFonts w:ascii="Times New Roman" w:hAnsi="Times New Roman" w:cs="Times New Roman" w:eastAsia="Times New Roman" w:hint="default"/>
        </w:rPr>
        <w:t>432,936 </w:t>
      </w:r>
      <w:r>
        <w:rPr/>
        <w:t>股。</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48" w:lineRule="auto" w:before="26"/>
        <w:ind w:right="286" w:firstLine="60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日，公司在中国证券登记结算有限责任公司深圳分公司完成了部分 激励对象已获授但尚未解锁的限制性股票回购注销手续，该次回购的限制性股票涉及人数 为</w:t>
      </w:r>
      <w:r>
        <w:rPr>
          <w:spacing w:val="-60"/>
        </w:rPr>
        <w:t> </w:t>
      </w:r>
      <w:r>
        <w:rPr>
          <w:rFonts w:ascii="Times New Roman" w:hAnsi="Times New Roman" w:cs="Times New Roman" w:eastAsia="Times New Roman" w:hint="default"/>
        </w:rPr>
        <w:t>8 </w:t>
      </w:r>
      <w:r>
        <w:rPr/>
        <w:t>人，回购注销限制性股票的数量为</w:t>
      </w:r>
      <w:r>
        <w:rPr>
          <w:spacing w:val="-60"/>
        </w:rPr>
        <w:t> </w:t>
      </w:r>
      <w:r>
        <w:rPr>
          <w:rFonts w:ascii="Times New Roman" w:hAnsi="Times New Roman" w:cs="Times New Roman" w:eastAsia="Times New Roman" w:hint="default"/>
        </w:rPr>
        <w:t>145,000 </w:t>
      </w:r>
      <w:r>
        <w:rPr/>
        <w:t>股。</w:t>
      </w:r>
    </w:p>
    <w:p>
      <w:pPr>
        <w:pStyle w:val="BodyText"/>
        <w:spacing w:line="350" w:lineRule="auto" w:before="16"/>
        <w:ind w:right="149" w:firstLine="60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15 </w:t>
      </w:r>
      <w:r>
        <w:rPr/>
        <w:t>日，公司第三届董事会第八次会议和第三届监事会第八次会议审议通 </w:t>
      </w:r>
      <w:r>
        <w:rPr>
          <w:spacing w:val="-3"/>
        </w:rPr>
        <w:t>过了《关于公司股权激励计划预留部分限制性股票第一个解锁期条件成就可解锁的议案》，</w:t>
      </w:r>
      <w:r>
        <w:rPr/>
        <w:t> 认为《激励计划》预留部分限制性股票第一个解锁期的解锁条件已满足，可解锁的限制性 股票共计为</w:t>
      </w:r>
      <w:r>
        <w:rPr>
          <w:spacing w:val="-61"/>
        </w:rPr>
        <w:t> </w:t>
      </w:r>
      <w:r>
        <w:rPr>
          <w:rFonts w:ascii="Times New Roman" w:hAnsi="Times New Roman" w:cs="Times New Roman" w:eastAsia="Times New Roman" w:hint="default"/>
        </w:rPr>
        <w:t>86,400 </w:t>
      </w:r>
      <w:r>
        <w:rPr/>
        <w:t>股。</w:t>
      </w:r>
    </w:p>
    <w:p>
      <w:pPr>
        <w:pStyle w:val="BodyText"/>
        <w:spacing w:line="350" w:lineRule="auto" w:before="13"/>
        <w:ind w:right="149" w:firstLine="60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5 </w:t>
      </w:r>
      <w:r>
        <w:rPr/>
        <w:t>日，公司第三届董事会第十一次会议和第三届监事会第十一次会议审 </w:t>
      </w:r>
      <w:r>
        <w:rPr>
          <w:spacing w:val="-6"/>
        </w:rPr>
        <w:t>议通过了《关于回购注销部分激励对象已获授但尚未解锁的限制性股票的议案》、《关于公</w:t>
      </w:r>
      <w:r>
        <w:rPr/>
        <w:t> </w:t>
      </w:r>
      <w:r>
        <w:rPr>
          <w:spacing w:val="-3"/>
        </w:rPr>
        <w:t>司股权激励计划首次授予的限制性股票第二个解锁期条件成就可解锁的议案》，鉴于公司激</w:t>
      </w:r>
      <w:r>
        <w:rPr/>
        <w:t> 励计划原激励对象邹继媛、史大伟、范新国和仇巍巍</w:t>
      </w:r>
      <w:r>
        <w:rPr>
          <w:spacing w:val="-60"/>
        </w:rPr>
        <w:t> </w:t>
      </w:r>
      <w:r>
        <w:rPr>
          <w:rFonts w:ascii="Times New Roman" w:hAnsi="Times New Roman" w:cs="Times New Roman" w:eastAsia="Times New Roman" w:hint="default"/>
        </w:rPr>
        <w:t>4 </w:t>
      </w:r>
      <w:r>
        <w:rPr/>
        <w:t>人因个人原因离职，不具备激励对 象资格，根据《限制性股票激励计划》第十五节“本激励计划的变更与终止”以及第十六 </w:t>
      </w:r>
      <w:r>
        <w:rPr>
          <w:spacing w:val="-4"/>
        </w:rPr>
        <w:t>节“回购注销的原则”，公司对该等激励对象已获授但尚未解锁的全部限制性股票共计</w:t>
      </w:r>
      <w:r>
        <w:rPr>
          <w:spacing w:val="-88"/>
        </w:rPr>
        <w:t> </w:t>
      </w:r>
      <w:r>
        <w:rPr>
          <w:spacing w:val="-88"/>
        </w:rPr>
      </w:r>
      <w:r>
        <w:rPr>
          <w:rFonts w:ascii="Times New Roman" w:hAnsi="Times New Roman" w:cs="Times New Roman" w:eastAsia="Times New Roman" w:hint="default"/>
        </w:rPr>
        <w:t>73,818</w:t>
      </w:r>
      <w:r>
        <w:rPr>
          <w:rFonts w:ascii="Times New Roman" w:hAnsi="Times New Roman" w:cs="Times New Roman" w:eastAsia="Times New Roman" w:hint="default"/>
          <w:spacing w:val="1"/>
        </w:rPr>
        <w:t> </w:t>
      </w:r>
      <w:r>
        <w:rPr/>
        <w:t>股进行回购注销；同意《激励计划》首次授予的限制性股票第二个解锁期的解锁条</w:t>
      </w:r>
    </w:p>
    <w:p>
      <w:pPr>
        <w:pStyle w:val="BodyText"/>
        <w:spacing w:line="240" w:lineRule="auto" w:before="13"/>
        <w:ind w:right="229"/>
        <w:jc w:val="left"/>
      </w:pPr>
      <w:r>
        <w:rPr/>
        <w:t>件已满足，可解锁的限制性股票共计为</w:t>
      </w:r>
      <w:r>
        <w:rPr>
          <w:spacing w:val="-65"/>
        </w:rPr>
        <w:t> </w:t>
      </w:r>
      <w:r>
        <w:rPr>
          <w:rFonts w:ascii="Times New Roman" w:hAnsi="Times New Roman" w:cs="Times New Roman" w:eastAsia="Times New Roman" w:hint="default"/>
        </w:rPr>
        <w:t>1,011,365</w:t>
      </w:r>
      <w:r>
        <w:rPr>
          <w:rFonts w:ascii="Times New Roman" w:hAnsi="Times New Roman" w:cs="Times New Roman" w:eastAsia="Times New Roman" w:hint="default"/>
          <w:spacing w:val="-5"/>
        </w:rPr>
        <w:t> </w:t>
      </w:r>
      <w:r>
        <w:rPr/>
        <w:t>股。</w:t>
      </w:r>
    </w:p>
    <w:p>
      <w:pPr>
        <w:pStyle w:val="BodyText"/>
        <w:spacing w:line="348" w:lineRule="auto" w:before="136"/>
        <w:ind w:right="285" w:firstLine="60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10 </w:t>
      </w:r>
      <w:r>
        <w:rPr/>
        <w:t>日，公司在中国证券登记结算有限责任公司深圳分公司完成了部分 激励对象已获授但尚未解锁的限制性股票回购注销手续，该次回购的限制性股票涉及人数 为</w:t>
      </w:r>
      <w:r>
        <w:rPr>
          <w:spacing w:val="-60"/>
        </w:rPr>
        <w:t> </w:t>
      </w:r>
      <w:r>
        <w:rPr>
          <w:rFonts w:ascii="Times New Roman" w:hAnsi="Times New Roman" w:cs="Times New Roman" w:eastAsia="Times New Roman" w:hint="default"/>
        </w:rPr>
        <w:t>4 </w:t>
      </w:r>
      <w:r>
        <w:rPr/>
        <w:t>人，回购注销限制性股票的数量为</w:t>
      </w:r>
      <w:r>
        <w:rPr>
          <w:spacing w:val="-60"/>
        </w:rPr>
        <w:t> </w:t>
      </w:r>
      <w:r>
        <w:rPr>
          <w:rFonts w:ascii="Times New Roman" w:hAnsi="Times New Roman" w:cs="Times New Roman" w:eastAsia="Times New Roman" w:hint="default"/>
        </w:rPr>
        <w:t>73,818 </w:t>
      </w:r>
      <w:r>
        <w:rPr/>
        <w:t>股。</w:t>
      </w:r>
    </w:p>
    <w:p>
      <w:pPr>
        <w:spacing w:line="240" w:lineRule="auto" w:before="4"/>
        <w:rPr>
          <w:rFonts w:ascii="宋体" w:hAnsi="宋体" w:cs="宋体" w:eastAsia="宋体" w:hint="default"/>
          <w:sz w:val="18"/>
          <w:szCs w:val="18"/>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、股权激励实施影响</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268" w:lineRule="auto" w:before="0"/>
        <w:ind w:left="137" w:right="370" w:firstLine="482"/>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）预留限制性股票以及首次授予限制性股票的解锁对公司相关年度财务状况和经 营成果的影响</w:t>
      </w:r>
      <w:r>
        <w:rPr>
          <w:rFonts w:ascii="Microsoft JhengHei" w:hAnsi="Microsoft JhengHei" w:cs="Microsoft JhengHei" w:eastAsia="Microsoft JhengHei" w:hint="default"/>
          <w:sz w:val="24"/>
          <w:szCs w:val="24"/>
        </w:rPr>
      </w:r>
    </w:p>
    <w:p>
      <w:pPr>
        <w:pStyle w:val="BodyText"/>
        <w:spacing w:line="357" w:lineRule="auto" w:before="89"/>
        <w:ind w:right="286" w:firstLine="480"/>
        <w:jc w:val="both"/>
      </w:pPr>
      <w:r>
        <w:rPr/>
        <w:t>公司本次激励计划限制性股票的成功解锁对公司相关年度的财务状况和经营成果将产 生一定的影响。相应解锁年度的成本将在管理费用中列支。</w:t>
      </w:r>
    </w:p>
    <w:p>
      <w:pPr>
        <w:pStyle w:val="Heading2"/>
        <w:spacing w:line="378" w:lineRule="exact"/>
        <w:ind w:left="619" w:right="229"/>
        <w:jc w:val="left"/>
        <w:rPr>
          <w:b w:val="0"/>
          <w:bCs w:val="0"/>
        </w:rPr>
      </w:pPr>
      <w:r>
        <w:rPr/>
        <w:t>（</w:t>
      </w:r>
      <w:r>
        <w:rPr>
          <w:rFonts w:ascii="Times New Roman" w:hAnsi="Times New Roman" w:cs="Times New Roman" w:eastAsia="Times New Roman" w:hint="default"/>
        </w:rPr>
        <w:t>2</w:t>
      </w:r>
      <w:r>
        <w:rPr/>
        <w:t>）回购注销部分限制性股票对公司业绩的影响</w:t>
      </w:r>
      <w:r>
        <w:rPr>
          <w:b w:val="0"/>
          <w:bCs w:val="0"/>
        </w:rPr>
      </w:r>
    </w:p>
    <w:p>
      <w:pPr>
        <w:pStyle w:val="BodyText"/>
        <w:spacing w:line="357" w:lineRule="auto" w:before="126"/>
        <w:ind w:right="287" w:firstLine="480"/>
        <w:jc w:val="both"/>
      </w:pPr>
      <w:r>
        <w:rPr/>
        <w:t>本次回购注销部分限制性股票事项不会对公司的财务状况和经营成果产生实质影响， 也不会影响公司管理团队的勤勉尽职。公司管理团队将继续认真履行工作职责，尽力为股 东创造价值。</w:t>
      </w:r>
    </w:p>
    <w:p>
      <w:pPr>
        <w:pStyle w:val="BodyText"/>
        <w:spacing w:line="240" w:lineRule="auto"/>
        <w:ind w:left="617" w:right="229"/>
        <w:jc w:val="left"/>
      </w:pPr>
      <w:r>
        <w:rPr/>
        <w:t>有关公司股权激励计划相关事宜详见公司披露于巨潮资讯网的相关公告，具体公告</w:t>
      </w:r>
    </w:p>
    <w:p>
      <w:pPr>
        <w:spacing w:after="0" w:line="240" w:lineRule="auto"/>
        <w:jc w:val="left"/>
        <w:sectPr>
          <w:footerReference w:type="default" r:id="rId24"/>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t>有：</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5439"/>
        <w:gridCol w:w="2221"/>
        <w:gridCol w:w="1829"/>
      </w:tblGrid>
      <w:tr>
        <w:trPr>
          <w:trHeight w:val="322" w:hRule="exact"/>
        </w:trPr>
        <w:tc>
          <w:tcPr>
            <w:tcW w:w="5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临时公告名称</w:t>
            </w:r>
            <w:r>
              <w:rPr>
                <w:rFonts w:ascii="Microsoft JhengHei" w:hAnsi="Microsoft JhengHei" w:cs="Microsoft JhengHei" w:eastAsia="Microsoft JhengHei" w:hint="default"/>
                <w:sz w:val="21"/>
                <w:szCs w:val="21"/>
              </w:rPr>
            </w:r>
          </w:p>
        </w:tc>
        <w:tc>
          <w:tcPr>
            <w:tcW w:w="2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临时公告披露日期</w:t>
            </w:r>
            <w:r>
              <w:rPr>
                <w:rFonts w:ascii="Microsoft JhengHei" w:hAnsi="Microsoft JhengHei" w:cs="Microsoft JhengHei" w:eastAsia="Microsoft JhengHei"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临时公告披露索引</w:t>
            </w:r>
            <w:r>
              <w:rPr>
                <w:rFonts w:ascii="Microsoft JhengHei" w:hAnsi="Microsoft JhengHei" w:cs="Microsoft JhengHei" w:eastAsia="Microsoft JhengHei" w:hint="default"/>
                <w:sz w:val="21"/>
                <w:szCs w:val="21"/>
              </w:rPr>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第二届董事会第二十六次会议决议公告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2014-023</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第二届监事会第二十二次会议决议公告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2014-024</w:t>
            </w:r>
          </w:p>
        </w:tc>
      </w:tr>
      <w:tr>
        <w:trPr>
          <w:trHeight w:val="636"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关于限制性股票激励计划预留限制性股票授予相关事项公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2014-025</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限制性股票激励计划预留限制性股票激励对象名单</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3"/>
              <w:jc w:val="left"/>
              <w:rPr>
                <w:rFonts w:ascii="宋体" w:hAnsi="宋体" w:cs="宋体" w:eastAsia="宋体" w:hint="default"/>
                <w:sz w:val="21"/>
                <w:szCs w:val="21"/>
              </w:rPr>
            </w:pPr>
            <w:r>
              <w:rPr>
                <w:rFonts w:ascii="宋体" w:hAnsi="宋体" w:cs="宋体" w:eastAsia="宋体" w:hint="default"/>
                <w:spacing w:val="-2"/>
                <w:sz w:val="21"/>
                <w:szCs w:val="21"/>
              </w:rPr>
              <w:t>独立董事关于公司第二届董事会第二十六次会议相关事项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的独立意见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关于预留限制性股票授予完成的公告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2014-026</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第三届董事会第四次会议决议公告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2014-042</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第三届监事会第四次会议决议公告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2014-043</w:t>
            </w:r>
          </w:p>
        </w:tc>
      </w:tr>
      <w:tr>
        <w:trPr>
          <w:trHeight w:val="32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sz w:val="21"/>
                <w:szCs w:val="21"/>
              </w:rPr>
              <w:t>独立董事关于相关事项的独立意见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关于回购注销部分激励对象已获授但尚未解锁的限制性股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票的公告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2014-044</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关于公司股权激励计划首次授予的限制性股票第一个解锁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期条件成就可解锁的公告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2014-045</w:t>
            </w:r>
          </w:p>
        </w:tc>
      </w:tr>
      <w:tr>
        <w:trPr>
          <w:trHeight w:val="946"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both"/>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北京市天元律师事务所关于公司限制性股票激励计划之回</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购注销部分限制性股票及第一个解锁期可解锁事项的法律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关于公司股权激励计划首次授予的限制性股票第一期解锁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股份上市流通的提示性公告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2014-049</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关于部分激励对象已获授但尚未解锁的限制性股票回购注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销完成的公告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2014-051</w:t>
            </w:r>
          </w:p>
        </w:tc>
      </w:tr>
      <w:tr>
        <w:trPr>
          <w:trHeight w:val="32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第三届董事会第八次会议决议公告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2015-029</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第三届监事会第八次会议决议公告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2015-030</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北京市天元律师事务所关于公司限制性股票激励计划之预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留部分限制性股票第一个解锁期可解锁事项的法律意见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独立董事关于公司预留部分限制性股票第一个解锁期条件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成就可解锁事项的独立意见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关于公司股权激励计划预留部分限制性股票第一个解锁期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条件成就可解锁的公告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2015-031</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北京市天元律师事务所关于公司限制性股票激励计划之预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留部分限制性股票第一个解锁期可解锁事项的法律意见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6"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关于公司股权激励计划预留部分限制性股票第一期解锁股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份上市流通的提示性公告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2015-032</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第三届董事会第十一次会议决议公告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2015-053</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第三届监事会第十一次会议决议公告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2015-054</w:t>
            </w:r>
          </w:p>
        </w:tc>
      </w:tr>
      <w:tr>
        <w:trPr>
          <w:trHeight w:val="322"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独立董事关于公司相关事项的独立意见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关于公司股权激励计划首次授予的限制性股票第二个解锁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期条件成就可解锁的的公告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2015-055</w:t>
            </w:r>
          </w:p>
        </w:tc>
      </w:tr>
      <w:tr>
        <w:trPr>
          <w:trHeight w:val="636"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关于回购注销部分激励对象已获授但尚未解锁的限制性股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票的公告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2015-056</w:t>
            </w:r>
          </w:p>
        </w:tc>
      </w:tr>
    </w:tbl>
    <w:p>
      <w:pPr>
        <w:spacing w:after="0" w:line="240" w:lineRule="auto"/>
        <w:jc w:val="center"/>
        <w:rPr>
          <w:rFonts w:ascii="Times New Roman" w:hAnsi="Times New Roman" w:cs="Times New Roman" w:eastAsia="Times New Roman" w:hint="default"/>
          <w:sz w:val="21"/>
          <w:szCs w:val="21"/>
        </w:rPr>
        <w:sectPr>
          <w:footerReference w:type="default" r:id="rId25"/>
          <w:pgSz w:w="11910" w:h="16840"/>
          <w:pgMar w:footer="1085" w:header="877" w:top="1220" w:bottom="1280" w:left="1140" w:right="980"/>
          <w:pgNumType w:start="61"/>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5439"/>
        <w:gridCol w:w="2221"/>
        <w:gridCol w:w="1829"/>
      </w:tblGrid>
      <w:tr>
        <w:trPr>
          <w:trHeight w:val="946"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both"/>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北京市天元律师事务所关于公司限制性股票激励计划之回</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购注销部分限制性股票及第二个解锁期可解锁事项的法律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意见</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151"/>
              <w:jc w:val="left"/>
              <w:rPr>
                <w:rFonts w:ascii="宋体" w:hAnsi="宋体" w:cs="宋体" w:eastAsia="宋体" w:hint="default"/>
                <w:sz w:val="21"/>
                <w:szCs w:val="21"/>
              </w:rPr>
            </w:pPr>
            <w:r>
              <w:rPr>
                <w:rFonts w:ascii="宋体" w:hAnsi="宋体" w:cs="宋体" w:eastAsia="宋体" w:hint="default"/>
                <w:spacing w:val="-2"/>
                <w:sz w:val="21"/>
                <w:szCs w:val="21"/>
              </w:rPr>
              <w:t>关于部分激励对象已获授但尚未解锁的限制性股票回购注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销完成的公告</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2015-073</w:t>
            </w:r>
          </w:p>
        </w:tc>
      </w:tr>
    </w:tbl>
    <w:p>
      <w:pPr>
        <w:spacing w:line="240" w:lineRule="auto" w:before="1"/>
        <w:rPr>
          <w:rFonts w:ascii="宋体" w:hAnsi="宋体" w:cs="宋体" w:eastAsia="宋体" w:hint="default"/>
          <w:sz w:val="18"/>
          <w:szCs w:val="18"/>
        </w:rPr>
      </w:pPr>
    </w:p>
    <w:p>
      <w:pPr>
        <w:pStyle w:val="Heading2"/>
        <w:spacing w:line="367" w:lineRule="exact"/>
        <w:ind w:left="137" w:right="3669"/>
        <w:jc w:val="left"/>
        <w:rPr>
          <w:b w:val="0"/>
          <w:bCs w:val="0"/>
        </w:rPr>
      </w:pPr>
      <w:bookmarkStart w:name="_bookmark40" w:id="41"/>
      <w:bookmarkEnd w:id="41"/>
      <w:r>
        <w:rPr>
          <w:b w:val="0"/>
          <w:bCs w:val="0"/>
        </w:rPr>
      </w:r>
      <w:r>
        <w:rPr/>
        <w:t>十五、重大关联交易</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366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、与日常经营相关的关联交易</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36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公司报告期未发生与日常经营相关的重大关联交易。</w:t>
      </w:r>
    </w:p>
    <w:p>
      <w:pPr>
        <w:spacing w:line="240" w:lineRule="auto" w:before="3"/>
        <w:rPr>
          <w:rFonts w:ascii="宋体" w:hAnsi="宋体" w:cs="宋体" w:eastAsia="宋体" w:hint="default"/>
          <w:sz w:val="22"/>
          <w:szCs w:val="22"/>
        </w:rPr>
      </w:pPr>
    </w:p>
    <w:p>
      <w:pPr>
        <w:pStyle w:val="Heading2"/>
        <w:spacing w:line="240" w:lineRule="auto"/>
        <w:ind w:left="137" w:right="3669"/>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342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公司报告期未发生资产或股权收购、出售的关联交易。</w:t>
      </w:r>
    </w:p>
    <w:p>
      <w:pPr>
        <w:spacing w:line="240" w:lineRule="auto" w:before="3"/>
        <w:rPr>
          <w:rFonts w:ascii="宋体" w:hAnsi="宋体" w:cs="宋体" w:eastAsia="宋体" w:hint="default"/>
          <w:sz w:val="22"/>
          <w:szCs w:val="22"/>
        </w:rPr>
      </w:pPr>
    </w:p>
    <w:p>
      <w:pPr>
        <w:pStyle w:val="Heading2"/>
        <w:spacing w:line="240" w:lineRule="auto"/>
        <w:ind w:left="137" w:right="3669"/>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66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1075"/>
        <w:gridCol w:w="1075"/>
        <w:gridCol w:w="1076"/>
        <w:gridCol w:w="1224"/>
        <w:gridCol w:w="1080"/>
        <w:gridCol w:w="1349"/>
        <w:gridCol w:w="1349"/>
        <w:gridCol w:w="1342"/>
      </w:tblGrid>
      <w:tr>
        <w:trPr>
          <w:trHeight w:val="946"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424" w:right="110" w:hanging="3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共同投资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方</w:t>
            </w:r>
            <w:r>
              <w:rPr>
                <w:rFonts w:ascii="Microsoft JhengHei" w:hAnsi="Microsoft JhengHei" w:cs="Microsoft JhengHei" w:eastAsia="Microsoft JhengHei" w:hint="default"/>
                <w:sz w:val="21"/>
                <w:szCs w:val="21"/>
              </w:rPr>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关联关系</w:t>
            </w:r>
            <w:r>
              <w:rPr>
                <w:rFonts w:ascii="Microsoft JhengHei" w:hAnsi="Microsoft JhengHei" w:cs="Microsoft JhengHei" w:eastAsia="Microsoft JhengHei" w:hint="default"/>
                <w:sz w:val="21"/>
                <w:szCs w:val="21"/>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108" w:right="11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业的名称</w:t>
            </w:r>
            <w:r>
              <w:rPr>
                <w:rFonts w:ascii="Microsoft JhengHei" w:hAnsi="Microsoft JhengHei" w:cs="Microsoft JhengHei" w:eastAsia="Microsoft JhengHei"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79" w:right="7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被投资企业</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的主营业务</w:t>
            </w:r>
            <w:r>
              <w:rPr>
                <w:rFonts w:ascii="Microsoft JhengHei" w:hAnsi="Microsoft JhengHei" w:cs="Microsoft JhengHei" w:eastAsia="Microsoft JhengHei"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w:t>
            </w:r>
            <w:r>
              <w:rPr>
                <w:rFonts w:ascii="Microsoft JhengHei" w:hAnsi="Microsoft JhengHei" w:cs="Microsoft JhengHei" w:eastAsia="Microsoft JhengHei" w:hint="default"/>
                <w:sz w:val="21"/>
                <w:szCs w:val="21"/>
              </w:rPr>
            </w:r>
          </w:p>
          <w:p>
            <w:pPr>
              <w:pStyle w:val="TableParagraph"/>
              <w:spacing w:line="312" w:lineRule="exact" w:before="35"/>
              <w:ind w:left="324" w:right="111"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业的注册</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被投资企业的</w:t>
            </w:r>
            <w:r>
              <w:rPr>
                <w:rFonts w:ascii="Microsoft JhengHei" w:hAnsi="Microsoft JhengHei" w:cs="Microsoft JhengHei" w:eastAsia="Microsoft JhengHei" w:hint="default"/>
                <w:sz w:val="21"/>
                <w:szCs w:val="21"/>
              </w:rPr>
            </w:r>
          </w:p>
          <w:p>
            <w:pPr>
              <w:pStyle w:val="TableParagraph"/>
              <w:spacing w:line="312" w:lineRule="exact" w:before="35"/>
              <w:ind w:left="141" w:right="13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总资产（万</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被投资企业的</w:t>
            </w:r>
            <w:r>
              <w:rPr>
                <w:rFonts w:ascii="Microsoft JhengHei" w:hAnsi="Microsoft JhengHei" w:cs="Microsoft JhengHei" w:eastAsia="Microsoft JhengHei" w:hint="default"/>
                <w:sz w:val="21"/>
                <w:szCs w:val="21"/>
              </w:rPr>
            </w:r>
          </w:p>
          <w:p>
            <w:pPr>
              <w:pStyle w:val="TableParagraph"/>
              <w:spacing w:line="312" w:lineRule="exact" w:before="35"/>
              <w:ind w:left="141" w:right="14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净资产（万</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被投资企业的</w:t>
            </w:r>
            <w:r>
              <w:rPr>
                <w:rFonts w:ascii="Microsoft JhengHei" w:hAnsi="Microsoft JhengHei" w:cs="Microsoft JhengHei" w:eastAsia="Microsoft JhengHei" w:hint="default"/>
                <w:sz w:val="21"/>
                <w:szCs w:val="21"/>
              </w:rPr>
            </w:r>
          </w:p>
          <w:p>
            <w:pPr>
              <w:pStyle w:val="TableParagraph"/>
              <w:spacing w:line="312" w:lineRule="exact" w:before="35"/>
              <w:ind w:left="136" w:right="13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净利润（万</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r>
      <w:tr>
        <w:trPr>
          <w:trHeight w:val="4066"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 w:right="96"/>
              <w:jc w:val="left"/>
              <w:rPr>
                <w:rFonts w:ascii="宋体" w:hAnsi="宋体" w:cs="宋体" w:eastAsia="宋体" w:hint="default"/>
                <w:sz w:val="21"/>
                <w:szCs w:val="21"/>
              </w:rPr>
            </w:pPr>
            <w:r>
              <w:rPr>
                <w:rFonts w:ascii="宋体" w:hAnsi="宋体" w:cs="宋体" w:eastAsia="宋体" w:hint="default"/>
                <w:sz w:val="21"/>
                <w:szCs w:val="21"/>
              </w:rPr>
              <w:t>宁波思博</w:t>
            </w:r>
            <w:r>
              <w:rPr>
                <w:rFonts w:ascii="宋体" w:hAnsi="宋体" w:cs="宋体" w:eastAsia="宋体" w:hint="default"/>
                <w:w w:val="100"/>
                <w:sz w:val="21"/>
                <w:szCs w:val="21"/>
              </w:rPr>
              <w:t> </w:t>
            </w:r>
            <w:r>
              <w:rPr>
                <w:rFonts w:ascii="宋体" w:hAnsi="宋体" w:cs="宋体" w:eastAsia="宋体" w:hint="default"/>
                <w:sz w:val="21"/>
                <w:szCs w:val="21"/>
              </w:rPr>
              <w:t>迈股权投</w:t>
            </w:r>
            <w:r>
              <w:rPr>
                <w:rFonts w:ascii="宋体" w:hAnsi="宋体" w:cs="宋体" w:eastAsia="宋体" w:hint="default"/>
                <w:w w:val="100"/>
                <w:sz w:val="21"/>
                <w:szCs w:val="21"/>
              </w:rPr>
              <w:t> </w:t>
            </w:r>
            <w:r>
              <w:rPr>
                <w:rFonts w:ascii="宋体" w:hAnsi="宋体" w:cs="宋体" w:eastAsia="宋体" w:hint="default"/>
                <w:sz w:val="21"/>
                <w:szCs w:val="21"/>
              </w:rPr>
              <w:t>资合伙企</w:t>
            </w:r>
            <w:r>
              <w:rPr>
                <w:rFonts w:ascii="宋体" w:hAnsi="宋体" w:cs="宋体" w:eastAsia="宋体" w:hint="default"/>
                <w:w w:val="100"/>
                <w:sz w:val="21"/>
                <w:szCs w:val="21"/>
              </w:rPr>
              <w:t> </w:t>
            </w:r>
            <w:r>
              <w:rPr>
                <w:rFonts w:ascii="宋体" w:hAnsi="宋体" w:cs="宋体" w:eastAsia="宋体" w:hint="default"/>
                <w:sz w:val="21"/>
                <w:szCs w:val="21"/>
              </w:rPr>
              <w:t>业（有限</w:t>
            </w:r>
            <w:r>
              <w:rPr>
                <w:rFonts w:ascii="宋体" w:hAnsi="宋体" w:cs="宋体" w:eastAsia="宋体" w:hint="default"/>
                <w:w w:val="100"/>
                <w:sz w:val="21"/>
                <w:szCs w:val="21"/>
              </w:rPr>
              <w:t> </w:t>
            </w:r>
            <w:r>
              <w:rPr>
                <w:rFonts w:ascii="宋体" w:hAnsi="宋体" w:cs="宋体" w:eastAsia="宋体" w:hint="default"/>
                <w:spacing w:val="-22"/>
                <w:w w:val="100"/>
                <w:sz w:val="21"/>
                <w:szCs w:val="21"/>
              </w:rPr>
              <w:t>合伙）、鹰</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潭市道乐</w:t>
            </w:r>
            <w:r>
              <w:rPr>
                <w:rFonts w:ascii="宋体" w:hAnsi="宋体" w:cs="宋体" w:eastAsia="宋体" w:hint="default"/>
                <w:w w:val="100"/>
                <w:sz w:val="21"/>
                <w:szCs w:val="21"/>
              </w:rPr>
              <w:t> </w:t>
            </w:r>
            <w:r>
              <w:rPr>
                <w:rFonts w:ascii="宋体" w:hAnsi="宋体" w:cs="宋体" w:eastAsia="宋体" w:hint="default"/>
                <w:sz w:val="21"/>
                <w:szCs w:val="21"/>
              </w:rPr>
              <w:t>博盈投资</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9"/>
              <w:jc w:val="left"/>
              <w:rPr>
                <w:rFonts w:ascii="宋体" w:hAnsi="宋体" w:cs="宋体" w:eastAsia="宋体" w:hint="default"/>
                <w:sz w:val="21"/>
                <w:szCs w:val="21"/>
              </w:rPr>
            </w:pPr>
            <w:r>
              <w:rPr>
                <w:rFonts w:ascii="宋体" w:hAnsi="宋体" w:cs="宋体" w:eastAsia="宋体" w:hint="default"/>
                <w:sz w:val="21"/>
                <w:szCs w:val="21"/>
              </w:rPr>
              <w:t>作为公司</w:t>
            </w:r>
            <w:r>
              <w:rPr>
                <w:rFonts w:ascii="宋体" w:hAnsi="宋体" w:cs="宋体" w:eastAsia="宋体" w:hint="default"/>
                <w:w w:val="100"/>
                <w:sz w:val="21"/>
                <w:szCs w:val="21"/>
              </w:rPr>
              <w:t> </w:t>
            </w: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东、实际</w:t>
            </w:r>
            <w:r>
              <w:rPr>
                <w:rFonts w:ascii="宋体" w:hAnsi="宋体" w:cs="宋体" w:eastAsia="宋体" w:hint="default"/>
                <w:w w:val="100"/>
                <w:sz w:val="21"/>
                <w:szCs w:val="21"/>
              </w:rPr>
              <w:t> </w:t>
            </w:r>
            <w:r>
              <w:rPr>
                <w:rFonts w:ascii="宋体" w:hAnsi="宋体" w:cs="宋体" w:eastAsia="宋体" w:hint="default"/>
                <w:sz w:val="21"/>
                <w:szCs w:val="21"/>
              </w:rPr>
              <w:t>控制人以</w:t>
            </w:r>
            <w:r>
              <w:rPr>
                <w:rFonts w:ascii="宋体" w:hAnsi="宋体" w:cs="宋体" w:eastAsia="宋体" w:hint="default"/>
                <w:w w:val="100"/>
                <w:sz w:val="21"/>
                <w:szCs w:val="21"/>
              </w:rPr>
              <w:t> </w:t>
            </w:r>
            <w:r>
              <w:rPr>
                <w:rFonts w:ascii="宋体" w:hAnsi="宋体" w:cs="宋体" w:eastAsia="宋体" w:hint="default"/>
                <w:sz w:val="21"/>
                <w:szCs w:val="21"/>
              </w:rPr>
              <w:t>及董事长</w:t>
            </w:r>
            <w:r>
              <w:rPr>
                <w:rFonts w:ascii="宋体" w:hAnsi="宋体" w:cs="宋体" w:eastAsia="宋体" w:hint="default"/>
                <w:w w:val="100"/>
                <w:sz w:val="21"/>
                <w:szCs w:val="21"/>
              </w:rPr>
              <w:t> </w:t>
            </w:r>
            <w:r>
              <w:rPr>
                <w:rFonts w:ascii="宋体" w:hAnsi="宋体" w:cs="宋体" w:eastAsia="宋体" w:hint="default"/>
                <w:sz w:val="21"/>
                <w:szCs w:val="21"/>
              </w:rPr>
              <w:t>的钟耳顺</w:t>
            </w:r>
            <w:r>
              <w:rPr>
                <w:rFonts w:ascii="宋体" w:hAnsi="宋体" w:cs="宋体" w:eastAsia="宋体" w:hint="default"/>
                <w:w w:val="100"/>
                <w:sz w:val="21"/>
                <w:szCs w:val="21"/>
              </w:rPr>
              <w:t> </w:t>
            </w:r>
            <w:r>
              <w:rPr>
                <w:rFonts w:ascii="宋体" w:hAnsi="宋体" w:cs="宋体" w:eastAsia="宋体" w:hint="default"/>
                <w:sz w:val="21"/>
                <w:szCs w:val="21"/>
              </w:rPr>
              <w:t>先生以有</w:t>
            </w:r>
            <w:r>
              <w:rPr>
                <w:rFonts w:ascii="宋体" w:hAnsi="宋体" w:cs="宋体" w:eastAsia="宋体" w:hint="default"/>
                <w:w w:val="100"/>
                <w:sz w:val="21"/>
                <w:szCs w:val="21"/>
              </w:rPr>
              <w:t> </w:t>
            </w:r>
            <w:r>
              <w:rPr>
                <w:rFonts w:ascii="宋体" w:hAnsi="宋体" w:cs="宋体" w:eastAsia="宋体" w:hint="default"/>
                <w:sz w:val="21"/>
                <w:szCs w:val="21"/>
              </w:rPr>
              <w:t>限合伙人</w:t>
            </w:r>
            <w:r>
              <w:rPr>
                <w:rFonts w:ascii="宋体" w:hAnsi="宋体" w:cs="宋体" w:eastAsia="宋体" w:hint="default"/>
                <w:w w:val="100"/>
                <w:sz w:val="21"/>
                <w:szCs w:val="21"/>
              </w:rPr>
              <w:t> </w:t>
            </w:r>
            <w:r>
              <w:rPr>
                <w:rFonts w:ascii="宋体" w:hAnsi="宋体" w:cs="宋体" w:eastAsia="宋体" w:hint="default"/>
                <w:sz w:val="21"/>
                <w:szCs w:val="21"/>
              </w:rPr>
              <w:t>身份认缴</w:t>
            </w:r>
            <w:r>
              <w:rPr>
                <w:rFonts w:ascii="宋体" w:hAnsi="宋体" w:cs="宋体" w:eastAsia="宋体" w:hint="default"/>
                <w:w w:val="100"/>
                <w:sz w:val="21"/>
                <w:szCs w:val="21"/>
              </w:rPr>
              <w:t> </w:t>
            </w:r>
            <w:r>
              <w:rPr>
                <w:rFonts w:ascii="宋体" w:hAnsi="宋体" w:cs="宋体" w:eastAsia="宋体" w:hint="default"/>
                <w:sz w:val="21"/>
                <w:szCs w:val="21"/>
              </w:rPr>
              <w:t>思博迈</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3,500 </w:t>
            </w:r>
            <w:r>
              <w:rPr>
                <w:rFonts w:ascii="宋体" w:hAnsi="宋体" w:cs="宋体" w:eastAsia="宋体" w:hint="default"/>
                <w:sz w:val="21"/>
                <w:szCs w:val="21"/>
              </w:rPr>
              <w:t>万</w:t>
            </w:r>
          </w:p>
          <w:p>
            <w:pPr>
              <w:pStyle w:val="TableParagraph"/>
              <w:spacing w:line="273" w:lineRule="auto"/>
              <w:ind w:left="21" w:right="129"/>
              <w:jc w:val="left"/>
              <w:rPr>
                <w:rFonts w:ascii="Times New Roman" w:hAnsi="Times New Roman" w:cs="Times New Roman" w:eastAsia="Times New Roman" w:hint="default"/>
                <w:sz w:val="21"/>
                <w:szCs w:val="21"/>
              </w:rPr>
            </w:pPr>
            <w:r>
              <w:rPr>
                <w:rFonts w:ascii="宋体" w:hAnsi="宋体" w:cs="宋体" w:eastAsia="宋体" w:hint="default"/>
                <w:sz w:val="21"/>
                <w:szCs w:val="21"/>
              </w:rPr>
              <w:t>元，比例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58.33%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9" w:right="203" w:firstLine="420"/>
              <w:jc w:val="both"/>
              <w:rPr>
                <w:rFonts w:ascii="宋体" w:hAnsi="宋体" w:cs="宋体" w:eastAsia="宋体" w:hint="default"/>
                <w:sz w:val="21"/>
                <w:szCs w:val="21"/>
              </w:rPr>
            </w:pPr>
            <w:r>
              <w:rPr>
                <w:rFonts w:ascii="宋体" w:hAnsi="宋体" w:cs="宋体" w:eastAsia="宋体" w:hint="default"/>
                <w:sz w:val="21"/>
                <w:szCs w:val="21"/>
              </w:rPr>
              <w:t>宁波</w:t>
            </w:r>
            <w:r>
              <w:rPr>
                <w:rFonts w:ascii="宋体" w:hAnsi="宋体" w:cs="宋体" w:eastAsia="宋体" w:hint="default"/>
                <w:w w:val="100"/>
                <w:sz w:val="21"/>
                <w:szCs w:val="21"/>
              </w:rPr>
              <w:t> </w:t>
            </w:r>
            <w:r>
              <w:rPr>
                <w:rFonts w:ascii="宋体" w:hAnsi="宋体" w:cs="宋体" w:eastAsia="宋体" w:hint="default"/>
                <w:sz w:val="21"/>
                <w:szCs w:val="21"/>
              </w:rPr>
              <w:t>超图道乐</w:t>
            </w:r>
            <w:r>
              <w:rPr>
                <w:rFonts w:ascii="宋体" w:hAnsi="宋体" w:cs="宋体" w:eastAsia="宋体" w:hint="default"/>
                <w:w w:val="100"/>
                <w:sz w:val="21"/>
                <w:szCs w:val="21"/>
              </w:rPr>
              <w:t> </w:t>
            </w:r>
            <w:r>
              <w:rPr>
                <w:rFonts w:ascii="宋体" w:hAnsi="宋体" w:cs="宋体" w:eastAsia="宋体" w:hint="default"/>
                <w:sz w:val="21"/>
                <w:szCs w:val="21"/>
              </w:rPr>
              <w:t>股权投资</w:t>
            </w:r>
            <w:r>
              <w:rPr>
                <w:rFonts w:ascii="宋体" w:hAnsi="宋体" w:cs="宋体" w:eastAsia="宋体" w:hint="default"/>
                <w:w w:val="100"/>
                <w:sz w:val="21"/>
                <w:szCs w:val="21"/>
              </w:rPr>
              <w:t> </w:t>
            </w:r>
            <w:r>
              <w:rPr>
                <w:rFonts w:ascii="宋体" w:hAnsi="宋体" w:cs="宋体" w:eastAsia="宋体" w:hint="default"/>
                <w:sz w:val="21"/>
                <w:szCs w:val="21"/>
              </w:rPr>
              <w:t>合伙企业</w:t>
            </w:r>
          </w:p>
          <w:p>
            <w:pPr>
              <w:pStyle w:val="TableParagraph"/>
              <w:spacing w:line="273" w:lineRule="auto" w:before="7"/>
              <w:ind w:left="19" w:right="202"/>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38"/>
              <w:ind w:left="21" w:right="137" w:firstLine="420"/>
              <w:jc w:val="both"/>
              <w:rPr>
                <w:rFonts w:ascii="宋体" w:hAnsi="宋体" w:cs="宋体" w:eastAsia="宋体" w:hint="default"/>
                <w:sz w:val="21"/>
                <w:szCs w:val="21"/>
              </w:rPr>
            </w:pPr>
            <w:r>
              <w:rPr>
                <w:rFonts w:ascii="宋体" w:hAnsi="宋体" w:cs="宋体" w:eastAsia="宋体" w:hint="default"/>
                <w:sz w:val="21"/>
                <w:szCs w:val="21"/>
              </w:rPr>
              <w:t>不动产</w:t>
            </w:r>
            <w:r>
              <w:rPr>
                <w:rFonts w:ascii="宋体" w:hAnsi="宋体" w:cs="宋体" w:eastAsia="宋体" w:hint="default"/>
                <w:w w:val="100"/>
                <w:sz w:val="21"/>
                <w:szCs w:val="21"/>
              </w:rPr>
              <w:t> </w:t>
            </w:r>
            <w:r>
              <w:rPr>
                <w:rFonts w:ascii="宋体" w:hAnsi="宋体" w:cs="宋体" w:eastAsia="宋体" w:hint="default"/>
                <w:sz w:val="21"/>
                <w:szCs w:val="21"/>
              </w:rPr>
              <w:t>登记在内的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应用软</w:t>
            </w:r>
            <w:r>
              <w:rPr>
                <w:rFonts w:ascii="宋体" w:hAnsi="宋体" w:cs="宋体" w:eastAsia="宋体" w:hint="default"/>
                <w:w w:val="100"/>
                <w:sz w:val="21"/>
                <w:szCs w:val="21"/>
              </w:rPr>
              <w:t> </w:t>
            </w:r>
            <w:r>
              <w:rPr>
                <w:rFonts w:ascii="宋体" w:hAnsi="宋体" w:cs="宋体" w:eastAsia="宋体" w:hint="default"/>
                <w:sz w:val="21"/>
                <w:szCs w:val="21"/>
              </w:rPr>
              <w:t>件业务领域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中有一定规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模企业的股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21" w:right="204" w:firstLine="420"/>
              <w:jc w:val="both"/>
              <w:rPr>
                <w:rFonts w:ascii="宋体" w:hAnsi="宋体" w:cs="宋体" w:eastAsia="宋体" w:hint="default"/>
                <w:sz w:val="21"/>
                <w:szCs w:val="21"/>
              </w:rPr>
            </w:pPr>
            <w:r>
              <w:rPr>
                <w:rFonts w:ascii="宋体" w:hAnsi="宋体" w:cs="宋体" w:eastAsia="宋体" w:hint="default"/>
                <w:sz w:val="21"/>
                <w:szCs w:val="21"/>
              </w:rPr>
              <w:t>基金</w:t>
            </w:r>
            <w:r>
              <w:rPr>
                <w:rFonts w:ascii="宋体" w:hAnsi="宋体" w:cs="宋体" w:eastAsia="宋体" w:hint="default"/>
                <w:w w:val="100"/>
                <w:sz w:val="21"/>
                <w:szCs w:val="21"/>
              </w:rPr>
              <w:t> </w:t>
            </w:r>
            <w:r>
              <w:rPr>
                <w:rFonts w:ascii="宋体" w:hAnsi="宋体" w:cs="宋体" w:eastAsia="宋体" w:hint="default"/>
                <w:sz w:val="21"/>
                <w:szCs w:val="21"/>
              </w:rPr>
              <w:t>规模不超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41" w:right="0"/>
              <w:jc w:val="left"/>
              <w:rPr>
                <w:rFonts w:ascii="Times New Roman" w:hAnsi="Times New Roman" w:cs="Times New Roman" w:eastAsia="Times New Roman" w:hint="default"/>
                <w:sz w:val="21"/>
                <w:szCs w:val="21"/>
              </w:rPr>
            </w:pPr>
            <w:r>
              <w:rPr>
                <w:rFonts w:ascii="Times New Roman"/>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w w:val="100"/>
                <w:sz w:val="21"/>
              </w:rPr>
              <w:t>0</w:t>
            </w:r>
          </w:p>
        </w:tc>
      </w:tr>
      <w:tr>
        <w:trPr>
          <w:trHeight w:val="948"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201"/>
              <w:jc w:val="both"/>
              <w:rPr>
                <w:rFonts w:ascii="宋体" w:hAnsi="宋体" w:cs="宋体" w:eastAsia="宋体" w:hint="default"/>
                <w:sz w:val="21"/>
                <w:szCs w:val="21"/>
              </w:rPr>
            </w:pPr>
            <w:r>
              <w:rPr>
                <w:rFonts w:ascii="宋体" w:hAnsi="宋体" w:cs="宋体" w:eastAsia="宋体" w:hint="default"/>
                <w:sz w:val="21"/>
                <w:szCs w:val="21"/>
              </w:rPr>
              <w:t>宁波思博</w:t>
            </w:r>
            <w:r>
              <w:rPr>
                <w:rFonts w:ascii="宋体" w:hAnsi="宋体" w:cs="宋体" w:eastAsia="宋体" w:hint="default"/>
                <w:w w:val="100"/>
                <w:sz w:val="21"/>
                <w:szCs w:val="21"/>
              </w:rPr>
              <w:t> </w:t>
            </w:r>
            <w:r>
              <w:rPr>
                <w:rFonts w:ascii="宋体" w:hAnsi="宋体" w:cs="宋体" w:eastAsia="宋体" w:hint="default"/>
                <w:sz w:val="21"/>
                <w:szCs w:val="21"/>
              </w:rPr>
              <w:t>迈股权投</w:t>
            </w:r>
            <w:r>
              <w:rPr>
                <w:rFonts w:ascii="宋体" w:hAnsi="宋体" w:cs="宋体" w:eastAsia="宋体" w:hint="default"/>
                <w:w w:val="100"/>
                <w:sz w:val="21"/>
                <w:szCs w:val="21"/>
              </w:rPr>
              <w:t> </w:t>
            </w:r>
            <w:r>
              <w:rPr>
                <w:rFonts w:ascii="宋体" w:hAnsi="宋体" w:cs="宋体" w:eastAsia="宋体" w:hint="default"/>
                <w:sz w:val="21"/>
                <w:szCs w:val="21"/>
              </w:rPr>
              <w:t>资合伙企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9"/>
              <w:jc w:val="left"/>
              <w:rPr>
                <w:rFonts w:ascii="宋体" w:hAnsi="宋体" w:cs="宋体" w:eastAsia="宋体" w:hint="default"/>
                <w:sz w:val="21"/>
                <w:szCs w:val="21"/>
              </w:rPr>
            </w:pPr>
            <w:r>
              <w:rPr>
                <w:rFonts w:ascii="宋体" w:hAnsi="宋体" w:cs="宋体" w:eastAsia="宋体" w:hint="default"/>
                <w:sz w:val="21"/>
                <w:szCs w:val="21"/>
              </w:rPr>
              <w:t>作为公司</w:t>
            </w:r>
            <w:r>
              <w:rPr>
                <w:rFonts w:ascii="宋体" w:hAnsi="宋体" w:cs="宋体" w:eastAsia="宋体" w:hint="default"/>
                <w:w w:val="100"/>
                <w:sz w:val="21"/>
                <w:szCs w:val="21"/>
              </w:rPr>
              <w:t> </w:t>
            </w:r>
            <w:r>
              <w:rPr>
                <w:rFonts w:ascii="宋体" w:hAnsi="宋体" w:cs="宋体" w:eastAsia="宋体" w:hint="default"/>
                <w:sz w:val="21"/>
                <w:szCs w:val="21"/>
              </w:rPr>
              <w:t>控股股</w:t>
            </w:r>
            <w:r>
              <w:rPr>
                <w:rFonts w:ascii="宋体" w:hAnsi="宋体" w:cs="宋体" w:eastAsia="宋体" w:hint="default"/>
                <w:spacing w:val="-102"/>
                <w:sz w:val="21"/>
                <w:szCs w:val="21"/>
              </w:rPr>
              <w:t> </w:t>
            </w:r>
            <w:r>
              <w:rPr>
                <w:rFonts w:ascii="宋体" w:hAnsi="宋体" w:cs="宋体" w:eastAsia="宋体" w:hint="default"/>
                <w:sz w:val="21"/>
                <w:szCs w:val="21"/>
              </w:rPr>
              <w:t>东、实际</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202"/>
              <w:jc w:val="both"/>
              <w:rPr>
                <w:rFonts w:ascii="宋体" w:hAnsi="宋体" w:cs="宋体" w:eastAsia="宋体" w:hint="default"/>
                <w:sz w:val="21"/>
                <w:szCs w:val="21"/>
              </w:rPr>
            </w:pPr>
            <w:r>
              <w:rPr>
                <w:rFonts w:ascii="宋体" w:hAnsi="宋体" w:cs="宋体" w:eastAsia="宋体" w:hint="default"/>
                <w:sz w:val="21"/>
                <w:szCs w:val="21"/>
              </w:rPr>
              <w:t>宁波超图</w:t>
            </w:r>
            <w:r>
              <w:rPr>
                <w:rFonts w:ascii="宋体" w:hAnsi="宋体" w:cs="宋体" w:eastAsia="宋体" w:hint="default"/>
                <w:w w:val="100"/>
                <w:sz w:val="21"/>
                <w:szCs w:val="21"/>
              </w:rPr>
              <w:t> </w:t>
            </w:r>
            <w:r>
              <w:rPr>
                <w:rFonts w:ascii="宋体" w:hAnsi="宋体" w:cs="宋体" w:eastAsia="宋体" w:hint="default"/>
                <w:sz w:val="21"/>
                <w:szCs w:val="21"/>
              </w:rPr>
              <w:t>知卓股权</w:t>
            </w:r>
            <w:r>
              <w:rPr>
                <w:rFonts w:ascii="宋体" w:hAnsi="宋体" w:cs="宋体" w:eastAsia="宋体" w:hint="default"/>
                <w:w w:val="100"/>
                <w:sz w:val="21"/>
                <w:szCs w:val="21"/>
              </w:rPr>
              <w:t> </w:t>
            </w:r>
            <w:r>
              <w:rPr>
                <w:rFonts w:ascii="宋体" w:hAnsi="宋体" w:cs="宋体" w:eastAsia="宋体" w:hint="default"/>
                <w:sz w:val="21"/>
                <w:szCs w:val="21"/>
              </w:rPr>
              <w:t>投资合伙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7"/>
              <w:jc w:val="left"/>
              <w:rPr>
                <w:rFonts w:ascii="宋体" w:hAnsi="宋体" w:cs="宋体" w:eastAsia="宋体" w:hint="default"/>
                <w:sz w:val="21"/>
                <w:szCs w:val="21"/>
              </w:rPr>
            </w:pPr>
            <w:r>
              <w:rPr>
                <w:rFonts w:ascii="宋体" w:hAnsi="宋体" w:cs="宋体" w:eastAsia="宋体" w:hint="default"/>
                <w:sz w:val="21"/>
                <w:szCs w:val="21"/>
              </w:rPr>
              <w:t>围绕超图软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件主营业</w:t>
            </w:r>
            <w:r>
              <w:rPr>
                <w:rFonts w:ascii="宋体" w:hAnsi="宋体" w:cs="宋体" w:eastAsia="宋体" w:hint="default"/>
                <w:w w:val="100"/>
                <w:sz w:val="21"/>
                <w:szCs w:val="21"/>
              </w:rPr>
              <w:t> </w:t>
            </w:r>
            <w:r>
              <w:rPr>
                <w:rFonts w:ascii="宋体" w:hAnsi="宋体" w:cs="宋体" w:eastAsia="宋体" w:hint="default"/>
                <w:sz w:val="21"/>
                <w:szCs w:val="21"/>
              </w:rPr>
              <w:t>务，主要侧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7"/>
              <w:jc w:val="left"/>
              <w:rPr>
                <w:rFonts w:ascii="宋体" w:hAnsi="宋体" w:cs="宋体" w:eastAsia="宋体" w:hint="default"/>
                <w:sz w:val="21"/>
                <w:szCs w:val="21"/>
              </w:rPr>
            </w:pPr>
            <w:r>
              <w:rPr>
                <w:rFonts w:ascii="宋体" w:hAnsi="宋体" w:cs="宋体" w:eastAsia="宋体" w:hint="default"/>
                <w:sz w:val="21"/>
                <w:szCs w:val="21"/>
              </w:rPr>
              <w:t>基金规模</w:t>
            </w:r>
            <w:r>
              <w:rPr>
                <w:rFonts w:ascii="宋体" w:hAnsi="宋体" w:cs="宋体" w:eastAsia="宋体" w:hint="default"/>
                <w:w w:val="100"/>
                <w:sz w:val="21"/>
                <w:szCs w:val="21"/>
              </w:rPr>
              <w:t> </w:t>
            </w:r>
            <w:r>
              <w:rPr>
                <w:rFonts w:ascii="宋体" w:hAnsi="宋体" w:cs="宋体" w:eastAsia="宋体" w:hint="default"/>
                <w:sz w:val="21"/>
                <w:szCs w:val="21"/>
              </w:rPr>
              <w:t>不超过人</w:t>
            </w:r>
            <w:r>
              <w:rPr>
                <w:rFonts w:ascii="宋体" w:hAnsi="宋体" w:cs="宋体" w:eastAsia="宋体" w:hint="default"/>
                <w:w w:val="100"/>
                <w:sz w:val="21"/>
                <w:szCs w:val="21"/>
              </w:rPr>
              <w:t> </w:t>
            </w:r>
            <w:r>
              <w:rPr>
                <w:rFonts w:ascii="宋体" w:hAnsi="宋体" w:cs="宋体" w:eastAsia="宋体" w:hint="default"/>
                <w:sz w:val="21"/>
                <w:szCs w:val="21"/>
              </w:rPr>
              <w:t>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 w:right="0"/>
              <w:jc w:val="lef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1085" w:top="1220" w:bottom="1280" w:left="1140" w:right="94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1075"/>
        <w:gridCol w:w="1075"/>
        <w:gridCol w:w="1076"/>
        <w:gridCol w:w="1224"/>
        <w:gridCol w:w="1080"/>
        <w:gridCol w:w="1349"/>
        <w:gridCol w:w="1349"/>
        <w:gridCol w:w="1342"/>
      </w:tblGrid>
      <w:tr>
        <w:trPr>
          <w:trHeight w:val="313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96"/>
              <w:jc w:val="left"/>
              <w:rPr>
                <w:rFonts w:ascii="宋体" w:hAnsi="宋体" w:cs="宋体" w:eastAsia="宋体" w:hint="default"/>
                <w:sz w:val="21"/>
                <w:szCs w:val="21"/>
              </w:rPr>
            </w:pPr>
            <w:r>
              <w:rPr>
                <w:rFonts w:ascii="宋体" w:hAnsi="宋体" w:cs="宋体" w:eastAsia="宋体" w:hint="default"/>
                <w:sz w:val="21"/>
                <w:szCs w:val="21"/>
              </w:rPr>
              <w:t>业（有限</w:t>
            </w:r>
            <w:r>
              <w:rPr>
                <w:rFonts w:ascii="宋体" w:hAnsi="宋体" w:cs="宋体" w:eastAsia="宋体" w:hint="default"/>
                <w:w w:val="100"/>
                <w:sz w:val="21"/>
                <w:szCs w:val="21"/>
              </w:rPr>
              <w:t> </w:t>
            </w:r>
            <w:r>
              <w:rPr>
                <w:rFonts w:ascii="宋体" w:hAnsi="宋体" w:cs="宋体" w:eastAsia="宋体" w:hint="default"/>
                <w:spacing w:val="-22"/>
                <w:w w:val="100"/>
                <w:sz w:val="21"/>
                <w:szCs w:val="21"/>
              </w:rPr>
              <w:t>合伙）、上</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海卓超投</w:t>
            </w:r>
            <w:r>
              <w:rPr>
                <w:rFonts w:ascii="宋体" w:hAnsi="宋体" w:cs="宋体" w:eastAsia="宋体" w:hint="default"/>
                <w:w w:val="100"/>
                <w:sz w:val="21"/>
                <w:szCs w:val="21"/>
              </w:rPr>
              <w:t> </w:t>
            </w:r>
            <w:r>
              <w:rPr>
                <w:rFonts w:ascii="宋体" w:hAnsi="宋体" w:cs="宋体" w:eastAsia="宋体" w:hint="default"/>
                <w:sz w:val="21"/>
                <w:szCs w:val="21"/>
              </w:rPr>
              <w:t>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9"/>
              <w:jc w:val="left"/>
              <w:rPr>
                <w:rFonts w:ascii="宋体" w:hAnsi="宋体" w:cs="宋体" w:eastAsia="宋体" w:hint="default"/>
                <w:sz w:val="21"/>
                <w:szCs w:val="21"/>
              </w:rPr>
            </w:pPr>
            <w:r>
              <w:rPr>
                <w:rFonts w:ascii="宋体" w:hAnsi="宋体" w:cs="宋体" w:eastAsia="宋体" w:hint="default"/>
                <w:sz w:val="21"/>
                <w:szCs w:val="21"/>
              </w:rPr>
              <w:t>控制人以</w:t>
            </w:r>
            <w:r>
              <w:rPr>
                <w:rFonts w:ascii="宋体" w:hAnsi="宋体" w:cs="宋体" w:eastAsia="宋体" w:hint="default"/>
                <w:w w:val="100"/>
                <w:sz w:val="21"/>
                <w:szCs w:val="21"/>
              </w:rPr>
              <w:t> </w:t>
            </w:r>
            <w:r>
              <w:rPr>
                <w:rFonts w:ascii="宋体" w:hAnsi="宋体" w:cs="宋体" w:eastAsia="宋体" w:hint="default"/>
                <w:sz w:val="21"/>
                <w:szCs w:val="21"/>
              </w:rPr>
              <w:t>及董事长</w:t>
            </w:r>
            <w:r>
              <w:rPr>
                <w:rFonts w:ascii="宋体" w:hAnsi="宋体" w:cs="宋体" w:eastAsia="宋体" w:hint="default"/>
                <w:w w:val="100"/>
                <w:sz w:val="21"/>
                <w:szCs w:val="21"/>
              </w:rPr>
              <w:t> </w:t>
            </w:r>
            <w:r>
              <w:rPr>
                <w:rFonts w:ascii="宋体" w:hAnsi="宋体" w:cs="宋体" w:eastAsia="宋体" w:hint="default"/>
                <w:sz w:val="21"/>
                <w:szCs w:val="21"/>
              </w:rPr>
              <w:t>的钟耳顺</w:t>
            </w:r>
            <w:r>
              <w:rPr>
                <w:rFonts w:ascii="宋体" w:hAnsi="宋体" w:cs="宋体" w:eastAsia="宋体" w:hint="default"/>
                <w:w w:val="100"/>
                <w:sz w:val="21"/>
                <w:szCs w:val="21"/>
              </w:rPr>
              <w:t> </w:t>
            </w:r>
            <w:r>
              <w:rPr>
                <w:rFonts w:ascii="宋体" w:hAnsi="宋体" w:cs="宋体" w:eastAsia="宋体" w:hint="default"/>
                <w:sz w:val="21"/>
                <w:szCs w:val="21"/>
              </w:rPr>
              <w:t>先生以有</w:t>
            </w:r>
            <w:r>
              <w:rPr>
                <w:rFonts w:ascii="宋体" w:hAnsi="宋体" w:cs="宋体" w:eastAsia="宋体" w:hint="default"/>
                <w:w w:val="100"/>
                <w:sz w:val="21"/>
                <w:szCs w:val="21"/>
              </w:rPr>
              <w:t> </w:t>
            </w:r>
            <w:r>
              <w:rPr>
                <w:rFonts w:ascii="宋体" w:hAnsi="宋体" w:cs="宋体" w:eastAsia="宋体" w:hint="default"/>
                <w:sz w:val="21"/>
                <w:szCs w:val="21"/>
              </w:rPr>
              <w:t>限合伙人</w:t>
            </w:r>
            <w:r>
              <w:rPr>
                <w:rFonts w:ascii="宋体" w:hAnsi="宋体" w:cs="宋体" w:eastAsia="宋体" w:hint="default"/>
                <w:w w:val="100"/>
                <w:sz w:val="21"/>
                <w:szCs w:val="21"/>
              </w:rPr>
              <w:t> </w:t>
            </w:r>
            <w:r>
              <w:rPr>
                <w:rFonts w:ascii="宋体" w:hAnsi="宋体" w:cs="宋体" w:eastAsia="宋体" w:hint="default"/>
                <w:sz w:val="21"/>
                <w:szCs w:val="21"/>
              </w:rPr>
              <w:t>身份认缴</w:t>
            </w:r>
            <w:r>
              <w:rPr>
                <w:rFonts w:ascii="宋体" w:hAnsi="宋体" w:cs="宋体" w:eastAsia="宋体" w:hint="default"/>
                <w:w w:val="100"/>
                <w:sz w:val="21"/>
                <w:szCs w:val="21"/>
              </w:rPr>
              <w:t> </w:t>
            </w:r>
            <w:r>
              <w:rPr>
                <w:rFonts w:ascii="宋体" w:hAnsi="宋体" w:cs="宋体" w:eastAsia="宋体" w:hint="default"/>
                <w:sz w:val="21"/>
                <w:szCs w:val="21"/>
              </w:rPr>
              <w:t>思博迈</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3,500 </w:t>
            </w:r>
            <w:r>
              <w:rPr>
                <w:rFonts w:ascii="宋体" w:hAnsi="宋体" w:cs="宋体" w:eastAsia="宋体" w:hint="default"/>
                <w:sz w:val="21"/>
                <w:szCs w:val="21"/>
              </w:rPr>
              <w:t>万</w:t>
            </w:r>
          </w:p>
          <w:p>
            <w:pPr>
              <w:pStyle w:val="TableParagraph"/>
              <w:spacing w:line="273" w:lineRule="auto"/>
              <w:ind w:left="21" w:right="129"/>
              <w:jc w:val="left"/>
              <w:rPr>
                <w:rFonts w:ascii="Times New Roman" w:hAnsi="Times New Roman" w:cs="Times New Roman" w:eastAsia="Times New Roman" w:hint="default"/>
                <w:sz w:val="21"/>
                <w:szCs w:val="21"/>
              </w:rPr>
            </w:pPr>
            <w:r>
              <w:rPr>
                <w:rFonts w:ascii="宋体" w:hAnsi="宋体" w:cs="宋体" w:eastAsia="宋体" w:hint="default"/>
                <w:sz w:val="21"/>
                <w:szCs w:val="21"/>
              </w:rPr>
              <w:t>元，比例</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58.33%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 w:right="202"/>
              <w:jc w:val="left"/>
              <w:rPr>
                <w:rFonts w:ascii="宋体" w:hAnsi="宋体" w:cs="宋体" w:eastAsia="宋体" w:hint="default"/>
                <w:sz w:val="21"/>
                <w:szCs w:val="21"/>
              </w:rPr>
            </w:pPr>
            <w:r>
              <w:rPr>
                <w:rFonts w:ascii="宋体" w:hAnsi="宋体" w:cs="宋体" w:eastAsia="宋体" w:hint="default"/>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ind w:left="21" w:right="115"/>
              <w:jc w:val="both"/>
              <w:rPr>
                <w:rFonts w:ascii="宋体" w:hAnsi="宋体" w:cs="宋体" w:eastAsia="宋体" w:hint="default"/>
                <w:sz w:val="21"/>
                <w:szCs w:val="21"/>
              </w:rPr>
            </w:pPr>
            <w:r>
              <w:rPr>
                <w:rFonts w:ascii="宋体" w:hAnsi="宋体" w:cs="宋体" w:eastAsia="宋体" w:hint="default"/>
                <w:sz w:val="21"/>
                <w:szCs w:val="21"/>
              </w:rPr>
              <w:t>重于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GIS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相关行业未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上市成熟型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9" w:right="225"/>
              <w:jc w:val="left"/>
              <w:rPr>
                <w:rFonts w:ascii="宋体" w:hAnsi="宋体" w:cs="宋体" w:eastAsia="宋体" w:hint="default"/>
                <w:sz w:val="21"/>
                <w:szCs w:val="21"/>
              </w:rPr>
            </w:pPr>
            <w:r>
              <w:rPr>
                <w:rFonts w:ascii="宋体" w:hAnsi="宋体" w:cs="宋体" w:eastAsia="宋体" w:hint="default"/>
                <w:sz w:val="21"/>
                <w:szCs w:val="21"/>
              </w:rPr>
              <w:t>被投资企业的重大在</w:t>
            </w:r>
            <w:r>
              <w:rPr>
                <w:rFonts w:ascii="宋体" w:hAnsi="宋体" w:cs="宋体" w:eastAsia="宋体" w:hint="default"/>
                <w:w w:val="100"/>
                <w:sz w:val="21"/>
                <w:szCs w:val="21"/>
              </w:rPr>
              <w:t> </w:t>
            </w:r>
            <w:r>
              <w:rPr>
                <w:rFonts w:ascii="宋体" w:hAnsi="宋体" w:cs="宋体" w:eastAsia="宋体" w:hint="default"/>
                <w:sz w:val="21"/>
                <w:szCs w:val="21"/>
              </w:rPr>
              <w:t>建项目的进展情况</w:t>
            </w:r>
          </w:p>
          <w:p>
            <w:pPr>
              <w:pStyle w:val="TableParagraph"/>
              <w:spacing w:line="240" w:lineRule="auto" w:before="7"/>
              <w:ind w:left="19" w:right="0"/>
              <w:jc w:val="left"/>
              <w:rPr>
                <w:rFonts w:ascii="宋体" w:hAnsi="宋体" w:cs="宋体" w:eastAsia="宋体" w:hint="default"/>
                <w:sz w:val="21"/>
                <w:szCs w:val="21"/>
              </w:rPr>
            </w:pPr>
            <w:r>
              <w:rPr>
                <w:rFonts w:ascii="宋体" w:hAnsi="宋体" w:cs="宋体" w:eastAsia="宋体" w:hint="default"/>
                <w:sz w:val="21"/>
                <w:szCs w:val="21"/>
              </w:rPr>
              <w:t>（如有）</w:t>
            </w:r>
          </w:p>
        </w:tc>
        <w:tc>
          <w:tcPr>
            <w:tcW w:w="74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9" w:right="33"/>
              <w:jc w:val="left"/>
              <w:rPr>
                <w:rFonts w:ascii="宋体" w:hAnsi="宋体" w:cs="宋体" w:eastAsia="宋体" w:hint="default"/>
                <w:sz w:val="21"/>
                <w:szCs w:val="21"/>
              </w:rPr>
            </w:pPr>
            <w:r>
              <w:rPr>
                <w:rFonts w:ascii="宋体" w:hAnsi="宋体" w:cs="宋体" w:eastAsia="宋体" w:hint="default"/>
                <w:spacing w:val="-2"/>
                <w:sz w:val="21"/>
                <w:szCs w:val="21"/>
              </w:rPr>
              <w:t>宁波超图道乐股权投资合伙企业（有限合伙）参股北京世纪安图数码科技发展有</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限公司</w:t>
            </w:r>
          </w:p>
        </w:tc>
      </w:tr>
    </w:tbl>
    <w:p>
      <w:pPr>
        <w:spacing w:line="240" w:lineRule="auto" w:before="12"/>
        <w:rPr>
          <w:rFonts w:ascii="宋体" w:hAnsi="宋体" w:cs="宋体" w:eastAsia="宋体" w:hint="default"/>
          <w:sz w:val="23"/>
          <w:szCs w:val="23"/>
        </w:rPr>
      </w:pPr>
    </w:p>
    <w:p>
      <w:pPr>
        <w:pStyle w:val="Heading2"/>
        <w:spacing w:line="367" w:lineRule="exact"/>
        <w:ind w:left="137" w:right="366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510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公司报告期不存在关联债权债务往来。</w:t>
      </w:r>
    </w:p>
    <w:p>
      <w:pPr>
        <w:spacing w:line="240" w:lineRule="auto" w:before="3"/>
        <w:rPr>
          <w:rFonts w:ascii="宋体" w:hAnsi="宋体" w:cs="宋体" w:eastAsia="宋体" w:hint="default"/>
          <w:sz w:val="22"/>
          <w:szCs w:val="22"/>
        </w:rPr>
      </w:pPr>
    </w:p>
    <w:p>
      <w:pPr>
        <w:pStyle w:val="Heading2"/>
        <w:spacing w:line="240" w:lineRule="auto"/>
        <w:ind w:left="137" w:right="366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558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公司报告期无其他重大关联交易。</w:t>
      </w:r>
    </w:p>
    <w:p>
      <w:pPr>
        <w:pStyle w:val="Heading2"/>
        <w:spacing w:line="240" w:lineRule="auto" w:before="214"/>
        <w:ind w:left="137" w:right="3669"/>
        <w:jc w:val="left"/>
        <w:rPr>
          <w:b w:val="0"/>
          <w:bCs w:val="0"/>
        </w:rPr>
      </w:pPr>
      <w:bookmarkStart w:name="_bookmark41" w:id="42"/>
      <w:bookmarkEnd w:id="42"/>
      <w:r>
        <w:rPr>
          <w:b w:val="0"/>
          <w:bCs w:val="0"/>
        </w:rPr>
      </w:r>
      <w:r>
        <w:rPr/>
        <w:t>十六、重大合同及其履行情况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366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、托管、承包、租赁事项情况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spacing w:before="0"/>
        <w:ind w:left="137" w:right="366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）托管情况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24"/>
          <w:szCs w:val="24"/>
        </w:rPr>
      </w:pPr>
    </w:p>
    <w:p>
      <w:pPr>
        <w:pStyle w:val="BodyText"/>
        <w:spacing w:line="326" w:lineRule="auto" w:before="0"/>
        <w:ind w:left="617" w:right="60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公司报告期不存在托管情况。</w:t>
      </w:r>
    </w:p>
    <w:p>
      <w:pPr>
        <w:spacing w:line="240" w:lineRule="auto" w:before="3"/>
        <w:rPr>
          <w:rFonts w:ascii="宋体" w:hAnsi="宋体" w:cs="宋体" w:eastAsia="宋体" w:hint="default"/>
          <w:sz w:val="22"/>
          <w:szCs w:val="22"/>
        </w:rPr>
      </w:pPr>
    </w:p>
    <w:p>
      <w:pPr>
        <w:pStyle w:val="Heading2"/>
        <w:spacing w:line="240" w:lineRule="auto"/>
        <w:ind w:left="137" w:right="366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60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公司报告期不存在承包情况。</w:t>
      </w:r>
    </w:p>
    <w:p>
      <w:pPr>
        <w:spacing w:after="0" w:line="326" w:lineRule="auto"/>
        <w:jc w:val="left"/>
        <w:sectPr>
          <w:pgSz w:w="11910" w:h="16840"/>
          <w:pgMar w:header="877" w:footer="1085" w:top="1220" w:bottom="1280" w:left="1140" w:right="94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650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19"/>
        </w:rPr>
        <w:t> </w:t>
      </w:r>
      <w:r>
        <w:rPr/>
        <w:t>不适用</w:t>
      </w:r>
      <w:r>
        <w:rPr>
          <w:w w:val="99"/>
        </w:rPr>
        <w:t> </w:t>
      </w:r>
      <w:r>
        <w:rPr/>
        <w:t>租赁情况说明</w:t>
      </w:r>
    </w:p>
    <w:p>
      <w:pPr>
        <w:pStyle w:val="Heading2"/>
        <w:spacing w:line="240" w:lineRule="auto" w:before="32"/>
        <w:ind w:left="1039" w:right="229"/>
        <w:jc w:val="left"/>
        <w:rPr>
          <w:b w:val="0"/>
          <w:bCs w:val="0"/>
        </w:rPr>
      </w:pPr>
      <w:r>
        <w:rPr>
          <w:rFonts w:ascii="Wingdings" w:hAnsi="Wingdings" w:cs="Wingdings" w:eastAsia="Wingdings" w:hint="default"/>
          <w:b w:val="0"/>
          <w:bCs w:val="0"/>
        </w:rPr>
        <w:t></w:t>
      </w:r>
      <w:r>
        <w:rPr>
          <w:rFonts w:ascii="Wingdings" w:hAnsi="Wingdings" w:cs="Wingdings" w:eastAsia="Wingdings" w:hint="default"/>
          <w:b w:val="0"/>
          <w:bCs w:val="0"/>
          <w:spacing w:val="-54"/>
        </w:rPr>
        <w:t></w:t>
      </w:r>
      <w:r>
        <w:rPr>
          <w:rFonts w:ascii="Times New Roman" w:hAnsi="Times New Roman" w:cs="Times New Roman" w:eastAsia="Times New Roman" w:hint="default"/>
          <w:b w:val="0"/>
          <w:bCs w:val="0"/>
          <w:spacing w:val="-54"/>
        </w:rPr>
      </w:r>
      <w:r>
        <w:rPr/>
        <w:t>公司租赁办公用房事项</w:t>
      </w:r>
      <w:r>
        <w:rPr>
          <w:b w:val="0"/>
          <w:bCs w:val="0"/>
        </w:rPr>
      </w:r>
    </w:p>
    <w:p>
      <w:pPr>
        <w:pStyle w:val="BodyText"/>
        <w:spacing w:line="240" w:lineRule="auto" w:before="165"/>
        <w:ind w:left="617" w:right="229"/>
        <w:jc w:val="left"/>
      </w:pPr>
      <w:r>
        <w:rPr>
          <w:rFonts w:ascii="Times New Roman" w:hAnsi="Times New Roman" w:cs="Times New Roman" w:eastAsia="Times New Roman" w:hint="default"/>
          <w:w w:val="99"/>
        </w:rPr>
        <w:t>1)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1 </w:t>
      </w:r>
      <w:r>
        <w:rPr>
          <w:w w:val="99"/>
        </w:rPr>
        <w:t>月</w:t>
      </w:r>
      <w:r>
        <w:rPr>
          <w:spacing w:val="-60"/>
          <w:w w:val="99"/>
        </w:rPr>
        <w:t> </w:t>
      </w:r>
      <w:r>
        <w:rPr>
          <w:rFonts w:ascii="Times New Roman" w:hAnsi="Times New Roman" w:cs="Times New Roman" w:eastAsia="Times New Roman" w:hint="default"/>
          <w:w w:val="99"/>
        </w:rPr>
        <w:t>20 </w:t>
      </w:r>
      <w:r>
        <w:rPr>
          <w:w w:val="99"/>
        </w:rPr>
        <w:t>日，公司与胡亚稀签订了《房屋租赁合同</w:t>
      </w:r>
      <w:r>
        <w:rPr>
          <w:spacing w:val="-120"/>
          <w:w w:val="99"/>
        </w:rPr>
        <w:t>》</w:t>
      </w:r>
      <w:r>
        <w:rPr>
          <w:w w:val="99"/>
        </w:rPr>
        <w:t>，约定公司租赁其位于</w:t>
      </w:r>
      <w:r>
        <w:rPr/>
      </w:r>
    </w:p>
    <w:p>
      <w:pPr>
        <w:pStyle w:val="BodyText"/>
        <w:spacing w:line="240" w:lineRule="auto" w:before="135"/>
        <w:ind w:right="229"/>
        <w:jc w:val="left"/>
        <w:rPr>
          <w:rFonts w:ascii="Times New Roman" w:hAnsi="Times New Roman" w:cs="Times New Roman" w:eastAsia="Times New Roman" w:hint="default"/>
        </w:rPr>
      </w:pPr>
      <w:r>
        <w:rPr/>
        <w:t>重庆市南岸区亚太商谷</w:t>
      </w:r>
      <w:r>
        <w:rPr>
          <w:spacing w:val="-60"/>
        </w:rPr>
        <w:t> </w:t>
      </w:r>
      <w:r>
        <w:rPr>
          <w:rFonts w:ascii="Times New Roman" w:hAnsi="Times New Roman" w:cs="Times New Roman" w:eastAsia="Times New Roman" w:hint="default"/>
        </w:rPr>
        <w:t>6 </w:t>
      </w:r>
      <w:r>
        <w:rPr/>
        <w:t>栋</w:t>
      </w:r>
      <w:r>
        <w:rPr>
          <w:spacing w:val="-60"/>
        </w:rPr>
        <w:t> </w:t>
      </w:r>
      <w:r>
        <w:rPr>
          <w:rFonts w:ascii="Times New Roman" w:hAnsi="Times New Roman" w:cs="Times New Roman" w:eastAsia="Times New Roman" w:hint="default"/>
        </w:rPr>
        <w:t>30 </w:t>
      </w:r>
      <w:r>
        <w:rPr/>
        <w:t>楼</w:t>
      </w:r>
      <w:r>
        <w:rPr>
          <w:spacing w:val="-60"/>
        </w:rPr>
        <w:t> </w:t>
      </w:r>
      <w:r>
        <w:rPr>
          <w:rFonts w:ascii="Times New Roman" w:hAnsi="Times New Roman" w:cs="Times New Roman" w:eastAsia="Times New Roman" w:hint="default"/>
        </w:rPr>
        <w:t>13 </w:t>
      </w:r>
      <w:r>
        <w:rPr/>
        <w:t>号的房屋，租赁期限为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6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2</w:t>
      </w:r>
    </w:p>
    <w:p>
      <w:pPr>
        <w:pStyle w:val="BodyText"/>
        <w:spacing w:line="240" w:lineRule="auto" w:before="135"/>
        <w:ind w:right="229"/>
        <w:jc w:val="left"/>
      </w:pPr>
      <w:r>
        <w:rPr/>
        <w:t>月</w:t>
      </w:r>
      <w:r>
        <w:rPr>
          <w:spacing w:val="-60"/>
        </w:rPr>
        <w:t> </w:t>
      </w:r>
      <w:r>
        <w:rPr>
          <w:rFonts w:ascii="Times New Roman" w:hAnsi="Times New Roman" w:cs="Times New Roman" w:eastAsia="Times New Roman" w:hint="default"/>
        </w:rPr>
        <w:t>5 </w:t>
      </w:r>
      <w:r>
        <w:rPr/>
        <w:t>日，月租金为</w:t>
      </w:r>
      <w:r>
        <w:rPr>
          <w:spacing w:val="-61"/>
        </w:rPr>
        <w:t> </w:t>
      </w:r>
      <w:r>
        <w:rPr>
          <w:rFonts w:ascii="Times New Roman" w:hAnsi="Times New Roman" w:cs="Times New Roman" w:eastAsia="Times New Roman" w:hint="default"/>
        </w:rPr>
        <w:t>2700 </w:t>
      </w:r>
      <w:r>
        <w:rPr/>
        <w:t>元。</w:t>
      </w:r>
    </w:p>
    <w:p>
      <w:pPr>
        <w:pStyle w:val="BodyText"/>
        <w:spacing w:line="240" w:lineRule="auto" w:before="177"/>
        <w:ind w:left="617" w:right="229"/>
        <w:jc w:val="left"/>
      </w:pPr>
      <w:r>
        <w:rPr>
          <w:rFonts w:ascii="Times New Roman" w:hAnsi="Times New Roman" w:cs="Times New Roman" w:eastAsia="Times New Roman" w:hint="default"/>
          <w:w w:val="99"/>
        </w:rPr>
        <w:t>2)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20 </w:t>
      </w:r>
      <w:r>
        <w:rPr>
          <w:w w:val="99"/>
        </w:rPr>
        <w:t>日，公司与杜贵阳签订了《房屋租赁合同</w:t>
      </w:r>
      <w:r>
        <w:rPr>
          <w:spacing w:val="-120"/>
          <w:w w:val="99"/>
        </w:rPr>
        <w:t>》</w:t>
      </w:r>
      <w:r>
        <w:rPr>
          <w:w w:val="99"/>
        </w:rPr>
        <w:t>，约定公司租赁其位于</w:t>
      </w:r>
      <w:r>
        <w:rPr/>
      </w:r>
    </w:p>
    <w:p>
      <w:pPr>
        <w:pStyle w:val="BodyText"/>
        <w:spacing w:line="240" w:lineRule="auto" w:before="135"/>
        <w:ind w:right="229"/>
        <w:jc w:val="left"/>
        <w:rPr>
          <w:rFonts w:ascii="Times New Roman" w:hAnsi="Times New Roman" w:cs="Times New Roman" w:eastAsia="Times New Roman" w:hint="default"/>
        </w:rPr>
      </w:pPr>
      <w:r>
        <w:rPr/>
        <w:t>南京市广州路</w:t>
      </w:r>
      <w:r>
        <w:rPr>
          <w:spacing w:val="-61"/>
        </w:rPr>
        <w:t> </w:t>
      </w:r>
      <w:r>
        <w:rPr>
          <w:rFonts w:ascii="Times New Roman" w:hAnsi="Times New Roman" w:cs="Times New Roman" w:eastAsia="Times New Roman" w:hint="default"/>
        </w:rPr>
        <w:t>99 </w:t>
      </w:r>
      <w:r>
        <w:rPr/>
        <w:t>号</w:t>
      </w:r>
      <w:r>
        <w:rPr>
          <w:spacing w:val="-60"/>
        </w:rPr>
        <w:t> </w:t>
      </w:r>
      <w:r>
        <w:rPr>
          <w:rFonts w:ascii="Times New Roman" w:hAnsi="Times New Roman" w:cs="Times New Roman" w:eastAsia="Times New Roman" w:hint="default"/>
        </w:rPr>
        <w:t>01 </w:t>
      </w:r>
      <w:r>
        <w:rPr/>
        <w:t>栋</w:t>
      </w:r>
      <w:r>
        <w:rPr>
          <w:spacing w:val="-60"/>
        </w:rPr>
        <w:t> </w:t>
      </w:r>
      <w:r>
        <w:rPr>
          <w:rFonts w:ascii="Times New Roman" w:hAnsi="Times New Roman" w:cs="Times New Roman" w:eastAsia="Times New Roman" w:hint="default"/>
        </w:rPr>
        <w:t>2502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w:t>
      </w:r>
    </w:p>
    <w:p>
      <w:pPr>
        <w:pStyle w:val="BodyText"/>
        <w:spacing w:line="240" w:lineRule="auto" w:before="135"/>
        <w:ind w:right="229"/>
        <w:jc w:val="left"/>
      </w:pPr>
      <w:r>
        <w:rPr/>
        <w:t>日，月租金为</w:t>
      </w:r>
      <w:r>
        <w:rPr>
          <w:spacing w:val="-61"/>
        </w:rPr>
        <w:t> </w:t>
      </w:r>
      <w:r>
        <w:rPr>
          <w:rFonts w:ascii="Times New Roman" w:hAnsi="Times New Roman" w:cs="Times New Roman" w:eastAsia="Times New Roman" w:hint="default"/>
        </w:rPr>
        <w:t>5200 </w:t>
      </w:r>
      <w:r>
        <w:rPr/>
        <w:t>元。</w:t>
      </w:r>
    </w:p>
    <w:p>
      <w:pPr>
        <w:pStyle w:val="BodyText"/>
        <w:spacing w:line="240" w:lineRule="auto" w:before="176"/>
        <w:ind w:left="617" w:right="229"/>
        <w:jc w:val="left"/>
      </w:pPr>
      <w:r>
        <w:rPr>
          <w:rFonts w:ascii="Times New Roman" w:hAnsi="Times New Roman" w:cs="Times New Roman" w:eastAsia="Times New Roman" w:hint="default"/>
          <w:w w:val="99"/>
        </w:rPr>
        <w:t>3)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26 </w:t>
      </w:r>
      <w:r>
        <w:rPr>
          <w:w w:val="99"/>
        </w:rPr>
        <w:t>日，公司与李建国签订了《房屋租赁合同</w:t>
      </w:r>
      <w:r>
        <w:rPr>
          <w:spacing w:val="-120"/>
          <w:w w:val="99"/>
        </w:rPr>
        <w:t>》</w:t>
      </w:r>
      <w:r>
        <w:rPr>
          <w:w w:val="99"/>
        </w:rPr>
        <w:t>，约定公司租赁其位于</w:t>
      </w:r>
      <w:r>
        <w:rPr/>
      </w:r>
    </w:p>
    <w:p>
      <w:pPr>
        <w:pStyle w:val="BodyText"/>
        <w:spacing w:line="240" w:lineRule="auto" w:before="135"/>
        <w:ind w:right="229"/>
        <w:jc w:val="left"/>
        <w:rPr>
          <w:rFonts w:ascii="Times New Roman" w:hAnsi="Times New Roman" w:cs="Times New Roman" w:eastAsia="Times New Roman" w:hint="default"/>
        </w:rPr>
      </w:pPr>
      <w:r>
        <w:rPr/>
        <w:t>乌鲁木齐市友好路地矿局北院住宅区</w:t>
      </w:r>
      <w:r>
        <w:rPr>
          <w:spacing w:val="-60"/>
        </w:rPr>
        <w:t> </w:t>
      </w:r>
      <w:r>
        <w:rPr>
          <w:rFonts w:ascii="Times New Roman" w:hAnsi="Times New Roman" w:cs="Times New Roman" w:eastAsia="Times New Roman" w:hint="default"/>
        </w:rPr>
        <w:t>3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1506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w:t>
      </w:r>
    </w:p>
    <w:p>
      <w:pPr>
        <w:pStyle w:val="BodyText"/>
        <w:spacing w:line="240" w:lineRule="auto" w:before="135"/>
        <w:ind w:right="229"/>
        <w:jc w:val="left"/>
      </w:pPr>
      <w:r>
        <w:rPr/>
        <w:t>月</w:t>
      </w:r>
      <w:r>
        <w:rPr>
          <w:spacing w:val="-60"/>
        </w:rPr>
        <w:t> </w:t>
      </w:r>
      <w:r>
        <w:rPr>
          <w:rFonts w:ascii="Times New Roman" w:hAnsi="Times New Roman" w:cs="Times New Roman" w:eastAsia="Times New Roman" w:hint="default"/>
        </w:rPr>
        <w:t>1 </w:t>
      </w:r>
      <w:r>
        <w:rPr/>
        <w:t>日至</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日，月租金为</w:t>
      </w:r>
      <w:r>
        <w:rPr>
          <w:spacing w:val="-60"/>
        </w:rPr>
        <w:t> </w:t>
      </w:r>
      <w:r>
        <w:rPr>
          <w:rFonts w:ascii="Times New Roman" w:hAnsi="Times New Roman" w:cs="Times New Roman" w:eastAsia="Times New Roman" w:hint="default"/>
        </w:rPr>
        <w:t>2900 </w:t>
      </w:r>
      <w:r>
        <w:rPr/>
        <w:t>元。</w:t>
      </w:r>
    </w:p>
    <w:p>
      <w:pPr>
        <w:pStyle w:val="BodyText"/>
        <w:spacing w:line="240" w:lineRule="auto" w:before="174"/>
        <w:ind w:left="617" w:right="229"/>
        <w:jc w:val="left"/>
      </w:pPr>
      <w:r>
        <w:rPr>
          <w:rFonts w:ascii="Times New Roman" w:hAnsi="Times New Roman" w:cs="Times New Roman" w:eastAsia="Times New Roman" w:hint="default"/>
          <w:w w:val="99"/>
        </w:rPr>
        <w:t>4)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2012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28 </w:t>
      </w:r>
      <w:r>
        <w:rPr>
          <w:w w:val="99"/>
        </w:rPr>
        <w:t>日，公司与邹金峰签订了《房屋租赁合同</w:t>
      </w:r>
      <w:r>
        <w:rPr>
          <w:spacing w:val="-120"/>
          <w:w w:val="99"/>
        </w:rPr>
        <w:t>》</w:t>
      </w:r>
      <w:r>
        <w:rPr>
          <w:w w:val="99"/>
        </w:rPr>
        <w:t>，约定公司租赁其位于</w:t>
      </w:r>
      <w:r>
        <w:rPr/>
      </w:r>
    </w:p>
    <w:p>
      <w:pPr>
        <w:pStyle w:val="BodyText"/>
        <w:spacing w:line="240" w:lineRule="auto" w:before="136"/>
        <w:ind w:right="0"/>
        <w:jc w:val="left"/>
        <w:rPr>
          <w:rFonts w:ascii="Times New Roman" w:hAnsi="Times New Roman" w:cs="Times New Roman" w:eastAsia="Times New Roman" w:hint="default"/>
        </w:rPr>
      </w:pPr>
      <w:r>
        <w:rPr/>
        <w:t>济南市历下区文华园</w:t>
      </w:r>
      <w:r>
        <w:rPr>
          <w:spacing w:val="-61"/>
        </w:rPr>
        <w:t> </w:t>
      </w:r>
      <w:r>
        <w:rPr>
          <w:rFonts w:ascii="Times New Roman" w:hAnsi="Times New Roman" w:cs="Times New Roman" w:eastAsia="Times New Roman" w:hint="default"/>
        </w:rPr>
        <w:t>2 </w:t>
      </w:r>
      <w:r>
        <w:rPr/>
        <w:t>号楼</w:t>
      </w:r>
      <w:r>
        <w:rPr>
          <w:spacing w:val="-60"/>
        </w:rPr>
        <w:t> </w:t>
      </w:r>
      <w:r>
        <w:rPr>
          <w:rFonts w:ascii="Times New Roman" w:hAnsi="Times New Roman" w:cs="Times New Roman" w:eastAsia="Times New Roman" w:hint="default"/>
        </w:rPr>
        <w:t>2404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w:t>
      </w:r>
    </w:p>
    <w:p>
      <w:pPr>
        <w:pStyle w:val="BodyText"/>
        <w:spacing w:line="240" w:lineRule="auto" w:before="135"/>
        <w:ind w:right="229"/>
        <w:jc w:val="left"/>
      </w:pPr>
      <w:r>
        <w:rPr/>
        <w:t>日，月租金为</w:t>
      </w:r>
      <w:r>
        <w:rPr>
          <w:spacing w:val="-61"/>
        </w:rPr>
        <w:t> </w:t>
      </w:r>
      <w:r>
        <w:rPr>
          <w:rFonts w:ascii="Times New Roman" w:hAnsi="Times New Roman" w:cs="Times New Roman" w:eastAsia="Times New Roman" w:hint="default"/>
        </w:rPr>
        <w:t>5628 </w:t>
      </w:r>
      <w:r>
        <w:rPr/>
        <w:t>元。</w:t>
      </w:r>
    </w:p>
    <w:p>
      <w:pPr>
        <w:pStyle w:val="BodyText"/>
        <w:spacing w:line="240" w:lineRule="auto" w:before="176"/>
        <w:ind w:left="617" w:right="229"/>
        <w:jc w:val="left"/>
      </w:pPr>
      <w:r>
        <w:rPr>
          <w:rFonts w:ascii="Times New Roman" w:hAnsi="Times New Roman" w:cs="Times New Roman" w:eastAsia="Times New Roman" w:hint="default"/>
          <w:w w:val="99"/>
        </w:rPr>
        <w:t>5)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3 </w:t>
      </w:r>
      <w:r>
        <w:rPr>
          <w:w w:val="99"/>
        </w:rPr>
        <w:t>月</w:t>
      </w:r>
      <w:r>
        <w:rPr>
          <w:spacing w:val="-60"/>
          <w:w w:val="99"/>
        </w:rPr>
        <w:t> </w:t>
      </w:r>
      <w:r>
        <w:rPr>
          <w:rFonts w:ascii="Times New Roman" w:hAnsi="Times New Roman" w:cs="Times New Roman" w:eastAsia="Times New Roman" w:hint="default"/>
          <w:w w:val="99"/>
        </w:rPr>
        <w:t>25 </w:t>
      </w:r>
      <w:r>
        <w:rPr>
          <w:w w:val="99"/>
        </w:rPr>
        <w:t>日，公司与李兰英签订了《房屋租赁合同</w:t>
      </w:r>
      <w:r>
        <w:rPr>
          <w:spacing w:val="-120"/>
          <w:w w:val="99"/>
        </w:rPr>
        <w:t>》</w:t>
      </w:r>
      <w:r>
        <w:rPr>
          <w:w w:val="99"/>
        </w:rPr>
        <w:t>，约定公司租赁其位于</w:t>
      </w:r>
      <w:r>
        <w:rPr/>
      </w:r>
    </w:p>
    <w:p>
      <w:pPr>
        <w:pStyle w:val="BodyText"/>
        <w:spacing w:line="240" w:lineRule="auto" w:before="135"/>
        <w:ind w:right="229"/>
        <w:jc w:val="left"/>
      </w:pPr>
      <w:r>
        <w:rPr/>
        <w:t>兰州市张掖路中段</w:t>
      </w:r>
      <w:r>
        <w:rPr>
          <w:spacing w:val="-61"/>
        </w:rPr>
        <w:t> </w:t>
      </w:r>
      <w:r>
        <w:rPr>
          <w:rFonts w:ascii="Times New Roman" w:hAnsi="Times New Roman" w:cs="Times New Roman" w:eastAsia="Times New Roman" w:hint="default"/>
        </w:rPr>
        <w:t>67 </w:t>
      </w:r>
      <w:r>
        <w:rPr/>
        <w:t>号中环大厦</w:t>
      </w:r>
      <w:r>
        <w:rPr>
          <w:spacing w:val="-60"/>
        </w:rPr>
        <w:t> </w:t>
      </w:r>
      <w:r>
        <w:rPr>
          <w:rFonts w:ascii="Times New Roman" w:hAnsi="Times New Roman" w:cs="Times New Roman" w:eastAsia="Times New Roman" w:hint="default"/>
        </w:rPr>
        <w:t>C </w:t>
      </w:r>
      <w:r>
        <w:rPr/>
        <w:t>座</w:t>
      </w:r>
      <w:r>
        <w:rPr>
          <w:spacing w:val="-60"/>
        </w:rPr>
        <w:t> </w:t>
      </w:r>
      <w:r>
        <w:rPr>
          <w:rFonts w:ascii="Times New Roman" w:hAnsi="Times New Roman" w:cs="Times New Roman" w:eastAsia="Times New Roman" w:hint="default"/>
        </w:rPr>
        <w:t>1902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日至</w:t>
      </w:r>
    </w:p>
    <w:p>
      <w:pPr>
        <w:pStyle w:val="BodyText"/>
        <w:spacing w:line="240" w:lineRule="auto" w:before="135"/>
        <w:ind w:right="229"/>
        <w:jc w:val="left"/>
      </w:pPr>
      <w:r>
        <w:rPr>
          <w:rFonts w:ascii="Times New Roman" w:hAnsi="Times New Roman" w:cs="Times New Roman" w:eastAsia="Times New Roman" w:hint="default"/>
        </w:rPr>
        <w:t>2015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日，月租金为</w:t>
      </w:r>
      <w:r>
        <w:rPr>
          <w:spacing w:val="-60"/>
        </w:rPr>
        <w:t> </w:t>
      </w:r>
      <w:r>
        <w:rPr>
          <w:rFonts w:ascii="Times New Roman" w:hAnsi="Times New Roman" w:cs="Times New Roman" w:eastAsia="Times New Roman" w:hint="default"/>
        </w:rPr>
        <w:t>4633 </w:t>
      </w:r>
      <w:r>
        <w:rPr/>
        <w:t>元。</w:t>
      </w:r>
    </w:p>
    <w:p>
      <w:pPr>
        <w:pStyle w:val="BodyText"/>
        <w:spacing w:line="240" w:lineRule="auto" w:before="176"/>
        <w:ind w:left="617" w:right="229"/>
        <w:jc w:val="left"/>
      </w:pPr>
      <w:r>
        <w:rPr>
          <w:rFonts w:ascii="Times New Roman" w:hAnsi="Times New Roman" w:cs="Times New Roman" w:eastAsia="Times New Roman" w:hint="default"/>
          <w:w w:val="99"/>
        </w:rPr>
        <w:t>6)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25 </w:t>
      </w:r>
      <w:r>
        <w:rPr>
          <w:w w:val="99"/>
        </w:rPr>
        <w:t>日，公司与季超签订了《房屋租赁合同</w:t>
      </w:r>
      <w:r>
        <w:rPr>
          <w:spacing w:val="-120"/>
          <w:w w:val="99"/>
        </w:rPr>
        <w:t>》</w:t>
      </w:r>
      <w:r>
        <w:rPr>
          <w:w w:val="99"/>
        </w:rPr>
        <w:t>，约定公司租赁其位于呼</w:t>
      </w:r>
      <w:r>
        <w:rPr/>
      </w:r>
    </w:p>
    <w:p>
      <w:pPr>
        <w:pStyle w:val="BodyText"/>
        <w:spacing w:line="240" w:lineRule="auto" w:before="135"/>
        <w:ind w:right="229"/>
        <w:jc w:val="left"/>
      </w:pPr>
      <w:r>
        <w:rPr/>
        <w:t>和浩特市赛罕区嘉和国际</w:t>
      </w:r>
      <w:r>
        <w:rPr>
          <w:spacing w:val="-60"/>
        </w:rPr>
        <w:t> </w:t>
      </w:r>
      <w:r>
        <w:rPr>
          <w:rFonts w:ascii="Times New Roman" w:hAnsi="Times New Roman" w:cs="Times New Roman" w:eastAsia="Times New Roman" w:hint="default"/>
        </w:rPr>
        <w:t>1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0702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20 </w:t>
      </w:r>
      <w:r>
        <w:rPr/>
        <w:t>日至</w:t>
      </w:r>
    </w:p>
    <w:p>
      <w:pPr>
        <w:pStyle w:val="BodyText"/>
        <w:spacing w:line="240" w:lineRule="auto" w:before="136"/>
        <w:ind w:right="229"/>
        <w:jc w:val="left"/>
      </w:pPr>
      <w:r>
        <w:rPr>
          <w:rFonts w:ascii="Times New Roman" w:hAnsi="Times New Roman" w:cs="Times New Roman" w:eastAsia="Times New Roman" w:hint="default"/>
        </w:rPr>
        <w:t>2015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19 </w:t>
      </w:r>
      <w:r>
        <w:rPr/>
        <w:t>日，月租金为</w:t>
      </w:r>
      <w:r>
        <w:rPr>
          <w:spacing w:val="-60"/>
        </w:rPr>
        <w:t> </w:t>
      </w:r>
      <w:r>
        <w:rPr>
          <w:rFonts w:ascii="Times New Roman" w:hAnsi="Times New Roman" w:cs="Times New Roman" w:eastAsia="Times New Roman" w:hint="default"/>
        </w:rPr>
        <w:t>3760 </w:t>
      </w:r>
      <w:r>
        <w:rPr/>
        <w:t>元。</w:t>
      </w:r>
    </w:p>
    <w:p>
      <w:pPr>
        <w:pStyle w:val="BodyText"/>
        <w:spacing w:line="240" w:lineRule="auto" w:before="174"/>
        <w:ind w:left="617" w:right="229"/>
        <w:jc w:val="left"/>
      </w:pPr>
      <w:r>
        <w:rPr>
          <w:rFonts w:ascii="Times New Roman" w:hAnsi="Times New Roman" w:cs="Times New Roman" w:eastAsia="Times New Roman" w:hint="default"/>
          <w:w w:val="99"/>
        </w:rPr>
        <w:t>7)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3 </w:t>
      </w:r>
      <w:r>
        <w:rPr>
          <w:w w:val="99"/>
        </w:rPr>
        <w:t>月</w:t>
      </w:r>
      <w:r>
        <w:rPr>
          <w:spacing w:val="-60"/>
          <w:w w:val="99"/>
        </w:rPr>
        <w:t> </w:t>
      </w:r>
      <w:r>
        <w:rPr>
          <w:rFonts w:ascii="Times New Roman" w:hAnsi="Times New Roman" w:cs="Times New Roman" w:eastAsia="Times New Roman" w:hint="default"/>
          <w:w w:val="99"/>
        </w:rPr>
        <w:t>31 </w:t>
      </w:r>
      <w:r>
        <w:rPr>
          <w:w w:val="99"/>
        </w:rPr>
        <w:t>日，公司与张其龙签订了《房屋租赁合同</w:t>
      </w:r>
      <w:r>
        <w:rPr>
          <w:spacing w:val="-120"/>
          <w:w w:val="99"/>
        </w:rPr>
        <w:t>》</w:t>
      </w:r>
      <w:r>
        <w:rPr>
          <w:w w:val="99"/>
        </w:rPr>
        <w:t>，约定公司租赁其位于</w:t>
      </w:r>
      <w:r>
        <w:rPr/>
      </w:r>
    </w:p>
    <w:p>
      <w:pPr>
        <w:pStyle w:val="BodyText"/>
        <w:spacing w:line="240" w:lineRule="auto" w:before="135"/>
        <w:ind w:right="229"/>
        <w:jc w:val="left"/>
        <w:rPr>
          <w:rFonts w:ascii="Times New Roman" w:hAnsi="Times New Roman" w:cs="Times New Roman" w:eastAsia="Times New Roman" w:hint="default"/>
        </w:rPr>
      </w:pPr>
      <w:r>
        <w:rPr/>
        <w:t>长沙市雨花区芙蓉中路二段</w:t>
      </w:r>
      <w:r>
        <w:rPr>
          <w:spacing w:val="-60"/>
        </w:rPr>
        <w:t> </w:t>
      </w:r>
      <w:r>
        <w:rPr>
          <w:rFonts w:ascii="Times New Roman" w:hAnsi="Times New Roman" w:cs="Times New Roman" w:eastAsia="Times New Roman" w:hint="default"/>
        </w:rPr>
        <w:t>359 </w:t>
      </w:r>
      <w:r>
        <w:rPr/>
        <w:t>号佳天国际新城北栋</w:t>
      </w:r>
      <w:r>
        <w:rPr>
          <w:spacing w:val="-60"/>
        </w:rPr>
        <w:t> </w:t>
      </w:r>
      <w:r>
        <w:rPr>
          <w:rFonts w:ascii="Times New Roman" w:hAnsi="Times New Roman" w:cs="Times New Roman" w:eastAsia="Times New Roman" w:hint="default"/>
        </w:rPr>
        <w:t>8H</w:t>
      </w:r>
      <w:r>
        <w:rPr>
          <w:rFonts w:ascii="Times New Roman" w:hAnsi="Times New Roman" w:cs="Times New Roman" w:eastAsia="Times New Roman" w:hint="default"/>
          <w:spacing w:val="-1"/>
        </w:rPr>
        <w:t>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w:t>
      </w:r>
    </w:p>
    <w:p>
      <w:pPr>
        <w:pStyle w:val="BodyText"/>
        <w:spacing w:line="240" w:lineRule="auto" w:before="135"/>
        <w:ind w:right="229"/>
        <w:jc w:val="left"/>
      </w:pPr>
      <w:r>
        <w:rPr/>
        <w:t>月</w:t>
      </w:r>
      <w:r>
        <w:rPr>
          <w:spacing w:val="-60"/>
        </w:rPr>
        <w:t> </w:t>
      </w:r>
      <w:r>
        <w:rPr>
          <w:rFonts w:ascii="Times New Roman" w:hAnsi="Times New Roman" w:cs="Times New Roman" w:eastAsia="Times New Roman" w:hint="default"/>
        </w:rPr>
        <w:t>1 </w:t>
      </w:r>
      <w:r>
        <w:rPr/>
        <w:t>日至</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日，月租金为</w:t>
      </w:r>
      <w:r>
        <w:rPr>
          <w:spacing w:val="-60"/>
        </w:rPr>
        <w:t> </w:t>
      </w:r>
      <w:r>
        <w:rPr>
          <w:rFonts w:ascii="Times New Roman" w:hAnsi="Times New Roman" w:cs="Times New Roman" w:eastAsia="Times New Roman" w:hint="default"/>
        </w:rPr>
        <w:t>5600 </w:t>
      </w:r>
      <w:r>
        <w:rPr/>
        <w:t>元。</w:t>
      </w:r>
    </w:p>
    <w:p>
      <w:pPr>
        <w:pStyle w:val="BodyText"/>
        <w:spacing w:line="240" w:lineRule="auto" w:before="176"/>
        <w:ind w:left="617" w:right="229"/>
        <w:jc w:val="left"/>
      </w:pPr>
      <w:r>
        <w:rPr>
          <w:rFonts w:ascii="Times New Roman" w:hAnsi="Times New Roman" w:cs="Times New Roman" w:eastAsia="Times New Roman" w:hint="default"/>
          <w:w w:val="99"/>
        </w:rPr>
        <w:t>8)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21 </w:t>
      </w:r>
      <w:r>
        <w:rPr>
          <w:w w:val="99"/>
        </w:rPr>
        <w:t>日，公司与田候霞签订了《房屋租赁合同</w:t>
      </w:r>
      <w:r>
        <w:rPr>
          <w:spacing w:val="-120"/>
          <w:w w:val="99"/>
        </w:rPr>
        <w:t>》</w:t>
      </w:r>
      <w:r>
        <w:rPr>
          <w:w w:val="99"/>
        </w:rPr>
        <w:t>，约定公司租赁其位于</w:t>
      </w:r>
      <w:r>
        <w:rPr/>
      </w:r>
    </w:p>
    <w:p>
      <w:pPr>
        <w:pStyle w:val="BodyText"/>
        <w:spacing w:line="240" w:lineRule="auto" w:before="135"/>
        <w:ind w:right="229"/>
        <w:jc w:val="left"/>
        <w:rPr>
          <w:rFonts w:ascii="Times New Roman" w:hAnsi="Times New Roman" w:cs="Times New Roman" w:eastAsia="Times New Roman" w:hint="default"/>
        </w:rPr>
      </w:pPr>
      <w:r>
        <w:rPr/>
        <w:t>西安高新区唐延南都市之门</w:t>
      </w:r>
      <w:r>
        <w:rPr>
          <w:spacing w:val="-60"/>
        </w:rPr>
        <w:t> </w:t>
      </w:r>
      <w:r>
        <w:rPr>
          <w:rFonts w:ascii="Times New Roman" w:hAnsi="Times New Roman" w:cs="Times New Roman" w:eastAsia="Times New Roman" w:hint="default"/>
        </w:rPr>
        <w:t>C </w:t>
      </w:r>
      <w:r>
        <w:rPr/>
        <w:t>座</w:t>
      </w:r>
      <w:r>
        <w:rPr>
          <w:spacing w:val="-60"/>
        </w:rPr>
        <w:t> </w:t>
      </w:r>
      <w:r>
        <w:rPr>
          <w:rFonts w:ascii="Times New Roman" w:hAnsi="Times New Roman" w:cs="Times New Roman" w:eastAsia="Times New Roman" w:hint="default"/>
        </w:rPr>
        <w:t>10708 </w:t>
      </w:r>
      <w:r>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t>日至</w:t>
      </w:r>
      <w:r>
        <w:rPr>
          <w:spacing w:val="-60"/>
        </w:rPr>
        <w:t> </w:t>
      </w:r>
      <w:r>
        <w:rPr>
          <w:rFonts w:ascii="Times New Roman" w:hAnsi="Times New Roman" w:cs="Times New Roman" w:eastAsia="Times New Roman" w:hint="default"/>
        </w:rPr>
        <w:t>2015</w:t>
      </w:r>
    </w:p>
    <w:p>
      <w:pPr>
        <w:pStyle w:val="BodyText"/>
        <w:spacing w:line="240" w:lineRule="auto" w:before="135"/>
        <w:ind w:right="229"/>
        <w:jc w:val="left"/>
      </w:pPr>
      <w:r>
        <w:rPr/>
        <w:t>年</w:t>
      </w:r>
      <w:r>
        <w:rPr>
          <w:spacing w:val="-60"/>
        </w:rPr>
        <w:t> </w:t>
      </w:r>
      <w:r>
        <w:rPr>
          <w:rFonts w:ascii="Times New Roman" w:hAnsi="Times New Roman" w:cs="Times New Roman" w:eastAsia="Times New Roman" w:hint="default"/>
        </w:rPr>
        <w:t>5 </w:t>
      </w:r>
      <w:r>
        <w:rPr/>
        <w:t>月</w:t>
      </w:r>
      <w:r>
        <w:rPr>
          <w:spacing w:val="-61"/>
        </w:rPr>
        <w:t> </w:t>
      </w:r>
      <w:r>
        <w:rPr>
          <w:rFonts w:ascii="Times New Roman" w:hAnsi="Times New Roman" w:cs="Times New Roman" w:eastAsia="Times New Roman" w:hint="default"/>
        </w:rPr>
        <w:t>19 </w:t>
      </w:r>
      <w:r>
        <w:rPr/>
        <w:t>日，月租金为</w:t>
      </w:r>
      <w:r>
        <w:rPr>
          <w:spacing w:val="-60"/>
        </w:rPr>
        <w:t> </w:t>
      </w:r>
      <w:r>
        <w:rPr>
          <w:rFonts w:ascii="Times New Roman" w:hAnsi="Times New Roman" w:cs="Times New Roman" w:eastAsia="Times New Roman" w:hint="default"/>
        </w:rPr>
        <w:t>45574 </w:t>
      </w:r>
      <w:r>
        <w:rPr/>
        <w:t>元。</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rFonts w:ascii="Times New Roman" w:hAnsi="Times New Roman" w:cs="Times New Roman" w:eastAsia="Times New Roman" w:hint="default"/>
          <w:w w:val="99"/>
        </w:rPr>
        <w:t>9)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20 </w:t>
      </w:r>
      <w:r>
        <w:rPr>
          <w:w w:val="99"/>
        </w:rPr>
        <w:t>日，公司与薛长生签订了《房屋租赁合同</w:t>
      </w:r>
      <w:r>
        <w:rPr>
          <w:spacing w:val="-120"/>
          <w:w w:val="99"/>
        </w:rPr>
        <w:t>》</w:t>
      </w:r>
      <w:r>
        <w:rPr>
          <w:w w:val="99"/>
        </w:rPr>
        <w:t>，约定公司租赁其位于</w:t>
      </w:r>
      <w:r>
        <w:rPr/>
      </w:r>
    </w:p>
    <w:p>
      <w:pPr>
        <w:pStyle w:val="BodyText"/>
        <w:spacing w:line="240" w:lineRule="auto" w:before="135"/>
        <w:ind w:right="229"/>
        <w:jc w:val="left"/>
      </w:pPr>
      <w:r>
        <w:rPr/>
        <w:t>杭州西湖区天目山路</w:t>
      </w:r>
      <w:r>
        <w:rPr>
          <w:spacing w:val="-61"/>
        </w:rPr>
        <w:t> </w:t>
      </w:r>
      <w:r>
        <w:rPr>
          <w:rFonts w:ascii="Times New Roman" w:hAnsi="Times New Roman" w:cs="Times New Roman" w:eastAsia="Times New Roman" w:hint="default"/>
        </w:rPr>
        <w:t>159 </w:t>
      </w:r>
      <w:r>
        <w:rPr/>
        <w:t>号现代国际大厦</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楼</w:t>
      </w:r>
      <w:r>
        <w:rPr>
          <w:spacing w:val="-60"/>
        </w:rPr>
        <w:t> </w:t>
      </w:r>
      <w:r>
        <w:rPr>
          <w:rFonts w:ascii="Times New Roman" w:hAnsi="Times New Roman" w:cs="Times New Roman" w:eastAsia="Times New Roman" w:hint="default"/>
        </w:rPr>
        <w:t>07A</w:t>
      </w:r>
      <w:r>
        <w:rPr>
          <w:rFonts w:ascii="Times New Roman" w:hAnsi="Times New Roman" w:cs="Times New Roman" w:eastAsia="Times New Roman" w:hint="default"/>
          <w:spacing w:val="-1"/>
        </w:rPr>
        <w:t> </w:t>
      </w:r>
      <w:r>
        <w:rPr/>
        <w:t>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 </w:t>
      </w:r>
      <w:r>
        <w:rPr/>
        <w:t>日</w:t>
      </w:r>
    </w:p>
    <w:p>
      <w:pPr>
        <w:pStyle w:val="BodyText"/>
        <w:spacing w:line="240" w:lineRule="auto" w:before="135"/>
        <w:ind w:right="229"/>
        <w:jc w:val="left"/>
      </w:pPr>
      <w:r>
        <w:rPr/>
        <w:t>至</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31 </w:t>
      </w:r>
      <w:r>
        <w:rPr/>
        <w:t>日，年租金为</w:t>
      </w:r>
      <w:r>
        <w:rPr>
          <w:spacing w:val="-60"/>
        </w:rPr>
        <w:t> </w:t>
      </w:r>
      <w:r>
        <w:rPr>
          <w:rFonts w:ascii="Times New Roman" w:hAnsi="Times New Roman" w:cs="Times New Roman" w:eastAsia="Times New Roman" w:hint="default"/>
        </w:rPr>
        <w:t>427960 </w:t>
      </w:r>
      <w:r>
        <w:rPr/>
        <w:t>元。</w:t>
      </w:r>
    </w:p>
    <w:p>
      <w:pPr>
        <w:pStyle w:val="BodyText"/>
        <w:spacing w:line="240" w:lineRule="auto" w:before="176"/>
        <w:ind w:left="617" w:right="0"/>
        <w:jc w:val="left"/>
      </w:pPr>
      <w:r>
        <w:rPr>
          <w:rFonts w:ascii="Times New Roman" w:hAnsi="Times New Roman" w:cs="Times New Roman" w:eastAsia="Times New Roman" w:hint="default"/>
        </w:rPr>
        <w:t>10</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日，公司与邱宏芳签订了《房屋租赁合同</w:t>
      </w:r>
      <w:r>
        <w:rPr>
          <w:spacing w:val="-120"/>
        </w:rPr>
        <w:t>》</w:t>
      </w:r>
      <w:r>
        <w:rPr/>
        <w:t>，约定公司租赁其位于</w:t>
      </w:r>
    </w:p>
    <w:p>
      <w:pPr>
        <w:pStyle w:val="BodyText"/>
        <w:spacing w:line="240" w:lineRule="auto" w:before="135"/>
        <w:ind w:right="229"/>
        <w:jc w:val="left"/>
        <w:rPr>
          <w:rFonts w:ascii="Times New Roman" w:hAnsi="Times New Roman" w:cs="Times New Roman" w:eastAsia="Times New Roman" w:hint="default"/>
        </w:rPr>
      </w:pPr>
      <w:r>
        <w:rPr/>
        <w:t>南京集庆门大街</w:t>
      </w:r>
      <w:r>
        <w:rPr>
          <w:spacing w:val="-61"/>
        </w:rPr>
        <w:t> </w:t>
      </w:r>
      <w:r>
        <w:rPr>
          <w:rFonts w:ascii="Times New Roman" w:hAnsi="Times New Roman" w:cs="Times New Roman" w:eastAsia="Times New Roman" w:hint="default"/>
        </w:rPr>
        <w:t>218 </w:t>
      </w:r>
      <w:r>
        <w:rPr/>
        <w:t>号万达西地</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组团</w:t>
      </w:r>
      <w:r>
        <w:rPr>
          <w:spacing w:val="-60"/>
        </w:rPr>
        <w:t> </w:t>
      </w:r>
      <w:r>
        <w:rPr>
          <w:rFonts w:ascii="Times New Roman" w:hAnsi="Times New Roman" w:cs="Times New Roman" w:eastAsia="Times New Roman" w:hint="default"/>
        </w:rPr>
        <w:t>2 </w:t>
      </w:r>
      <w:r>
        <w:rPr/>
        <w:t>幢一单元</w:t>
      </w:r>
      <w:r>
        <w:rPr>
          <w:spacing w:val="-60"/>
        </w:rPr>
        <w:t> </w:t>
      </w:r>
      <w:r>
        <w:rPr>
          <w:rFonts w:ascii="Times New Roman" w:hAnsi="Times New Roman" w:cs="Times New Roman" w:eastAsia="Times New Roman" w:hint="default"/>
        </w:rPr>
        <w:t>1203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w:t>
      </w:r>
    </w:p>
    <w:p>
      <w:pPr>
        <w:pStyle w:val="BodyText"/>
        <w:spacing w:line="240" w:lineRule="auto" w:before="135"/>
        <w:ind w:right="229"/>
        <w:jc w:val="left"/>
      </w:pPr>
      <w:r>
        <w:rPr/>
        <w:t>月</w:t>
      </w:r>
      <w:r>
        <w:rPr>
          <w:spacing w:val="-60"/>
        </w:rPr>
        <w:t> </w:t>
      </w:r>
      <w:r>
        <w:rPr>
          <w:rFonts w:ascii="Times New Roman" w:hAnsi="Times New Roman" w:cs="Times New Roman" w:eastAsia="Times New Roman" w:hint="default"/>
        </w:rPr>
        <w:t>19 </w:t>
      </w:r>
      <w:r>
        <w:rPr/>
        <w:t>日至</w:t>
      </w:r>
      <w:r>
        <w:rPr>
          <w:spacing w:val="-61"/>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18 </w:t>
      </w:r>
      <w:r>
        <w:rPr/>
        <w:t>日，月租金为</w:t>
      </w:r>
      <w:r>
        <w:rPr>
          <w:spacing w:val="-60"/>
        </w:rPr>
        <w:t> </w:t>
      </w:r>
      <w:r>
        <w:rPr>
          <w:rFonts w:ascii="Times New Roman" w:hAnsi="Times New Roman" w:cs="Times New Roman" w:eastAsia="Times New Roman" w:hint="default"/>
        </w:rPr>
        <w:t>5685 </w:t>
      </w:r>
      <w:r>
        <w:rPr/>
        <w:t>元。</w:t>
      </w:r>
    </w:p>
    <w:p>
      <w:pPr>
        <w:pStyle w:val="BodyText"/>
        <w:spacing w:line="240" w:lineRule="auto" w:before="174"/>
        <w:ind w:left="617" w:right="229"/>
        <w:jc w:val="left"/>
      </w:pP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5 </w:t>
      </w:r>
      <w:r>
        <w:rPr/>
        <w:t>日，公司与谭强签订了《房屋租赁合同</w:t>
      </w:r>
      <w:r>
        <w:rPr>
          <w:spacing w:val="-120"/>
        </w:rPr>
        <w:t>》</w:t>
      </w:r>
      <w:r>
        <w:rPr/>
        <w:t>，约定公司租赁其位于柳</w:t>
      </w:r>
    </w:p>
    <w:p>
      <w:pPr>
        <w:pStyle w:val="BodyText"/>
        <w:spacing w:line="240" w:lineRule="auto" w:before="136"/>
        <w:ind w:right="229"/>
        <w:jc w:val="left"/>
      </w:pPr>
      <w:r>
        <w:rPr/>
        <w:t>州市滨江西路街道</w:t>
      </w:r>
      <w:r>
        <w:rPr>
          <w:spacing w:val="-61"/>
        </w:rPr>
        <w:t> </w:t>
      </w:r>
      <w:r>
        <w:rPr>
          <w:rFonts w:ascii="Times New Roman" w:hAnsi="Times New Roman" w:cs="Times New Roman" w:eastAsia="Times New Roman" w:hint="default"/>
        </w:rPr>
        <w:t>24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702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p>
    <w:p>
      <w:pPr>
        <w:pStyle w:val="BodyText"/>
        <w:spacing w:line="240" w:lineRule="auto" w:before="135"/>
        <w:ind w:right="229"/>
        <w:jc w:val="left"/>
      </w:pP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日，月租金</w:t>
      </w:r>
      <w:r>
        <w:rPr>
          <w:spacing w:val="-60"/>
        </w:rPr>
        <w:t> </w:t>
      </w:r>
      <w:r>
        <w:rPr>
          <w:rFonts w:ascii="Times New Roman" w:hAnsi="Times New Roman" w:cs="Times New Roman" w:eastAsia="Times New Roman" w:hint="default"/>
        </w:rPr>
        <w:t>2500 </w:t>
      </w:r>
      <w:r>
        <w:rPr/>
        <w:t>元。</w:t>
      </w:r>
    </w:p>
    <w:p>
      <w:pPr>
        <w:pStyle w:val="BodyText"/>
        <w:spacing w:line="240" w:lineRule="auto" w:before="176"/>
        <w:ind w:left="617" w:right="0"/>
        <w:jc w:val="left"/>
      </w:pPr>
      <w:r>
        <w:rPr>
          <w:rFonts w:ascii="Times New Roman" w:hAnsi="Times New Roman" w:cs="Times New Roman" w:eastAsia="Times New Roman" w:hint="default"/>
        </w:rPr>
        <w:t>12</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30 </w:t>
      </w:r>
      <w:r>
        <w:rPr/>
        <w:t>日，公司与杜贵阳签订了《房屋租赁合同</w:t>
      </w:r>
      <w:r>
        <w:rPr>
          <w:spacing w:val="-120"/>
        </w:rPr>
        <w:t>》</w:t>
      </w:r>
      <w:r>
        <w:rPr/>
        <w:t>，约定公司租赁其位于</w:t>
      </w:r>
    </w:p>
    <w:p>
      <w:pPr>
        <w:pStyle w:val="BodyText"/>
        <w:spacing w:line="240" w:lineRule="auto" w:before="135"/>
        <w:ind w:right="0"/>
        <w:jc w:val="left"/>
      </w:pPr>
      <w:r>
        <w:rPr/>
        <w:t>南京市广州路</w:t>
      </w:r>
      <w:r>
        <w:rPr>
          <w:spacing w:val="-61"/>
        </w:rPr>
        <w:t> </w:t>
      </w:r>
      <w:r>
        <w:rPr>
          <w:rFonts w:ascii="Times New Roman" w:hAnsi="Times New Roman" w:cs="Times New Roman" w:eastAsia="Times New Roman" w:hint="default"/>
        </w:rPr>
        <w:t>99 </w:t>
      </w:r>
      <w:r>
        <w:rPr/>
        <w:t>号海苑大厦</w:t>
      </w:r>
      <w:r>
        <w:rPr>
          <w:spacing w:val="-60"/>
        </w:rPr>
        <w:t> </w:t>
      </w:r>
      <w:r>
        <w:rPr>
          <w:rFonts w:ascii="Times New Roman" w:hAnsi="Times New Roman" w:cs="Times New Roman" w:eastAsia="Times New Roman" w:hint="default"/>
        </w:rPr>
        <w:t>01 </w:t>
      </w:r>
      <w:r>
        <w:rPr/>
        <w:t>栋</w:t>
      </w:r>
      <w:r>
        <w:rPr>
          <w:spacing w:val="-60"/>
        </w:rPr>
        <w:t> </w:t>
      </w:r>
      <w:r>
        <w:rPr>
          <w:rFonts w:ascii="Times New Roman" w:hAnsi="Times New Roman" w:cs="Times New Roman" w:eastAsia="Times New Roman" w:hint="default"/>
        </w:rPr>
        <w:t>2502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2016 </w:t>
      </w:r>
      <w:r>
        <w:rPr/>
        <w:t>年</w:t>
      </w:r>
    </w:p>
    <w:p>
      <w:pPr>
        <w:pStyle w:val="BodyText"/>
        <w:spacing w:line="240" w:lineRule="auto" w:before="135"/>
        <w:ind w:right="229"/>
        <w:jc w:val="left"/>
      </w:pP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日，月租金</w:t>
      </w:r>
      <w:r>
        <w:rPr>
          <w:spacing w:val="-60"/>
        </w:rPr>
        <w:t> </w:t>
      </w:r>
      <w:r>
        <w:rPr>
          <w:rFonts w:ascii="Times New Roman" w:hAnsi="Times New Roman" w:cs="Times New Roman" w:eastAsia="Times New Roman" w:hint="default"/>
        </w:rPr>
        <w:t>5300 </w:t>
      </w:r>
      <w:r>
        <w:rPr/>
        <w:t>元。</w:t>
      </w:r>
    </w:p>
    <w:p>
      <w:pPr>
        <w:pStyle w:val="BodyText"/>
        <w:spacing w:line="240" w:lineRule="auto" w:before="176"/>
        <w:ind w:left="617" w:right="0"/>
        <w:jc w:val="left"/>
      </w:pPr>
      <w:r>
        <w:rPr>
          <w:rFonts w:ascii="Times New Roman" w:hAnsi="Times New Roman" w:cs="Times New Roman" w:eastAsia="Times New Roman" w:hint="default"/>
        </w:rPr>
        <w:t>13</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13 </w:t>
      </w:r>
      <w:r>
        <w:rPr/>
        <w:t>日，公司与刘文斌签订了《房屋租赁合同</w:t>
      </w:r>
      <w:r>
        <w:rPr>
          <w:spacing w:val="-120"/>
        </w:rPr>
        <w:t>》</w:t>
      </w:r>
      <w:r>
        <w:rPr/>
        <w:t>，约定公司租赁其位于</w:t>
      </w:r>
    </w:p>
    <w:p>
      <w:pPr>
        <w:pStyle w:val="BodyText"/>
        <w:spacing w:line="240" w:lineRule="auto" w:before="135"/>
        <w:ind w:right="0"/>
        <w:jc w:val="left"/>
      </w:pPr>
      <w:r>
        <w:rPr/>
        <w:t>长春市绿园区吉达花园</w:t>
      </w:r>
      <w:r>
        <w:rPr>
          <w:spacing w:val="-60"/>
        </w:rPr>
        <w:t> </w:t>
      </w:r>
      <w:r>
        <w:rPr>
          <w:rFonts w:ascii="Times New Roman" w:hAnsi="Times New Roman" w:cs="Times New Roman" w:eastAsia="Times New Roman" w:hint="default"/>
        </w:rPr>
        <w:t>17 </w:t>
      </w:r>
      <w:r>
        <w:rPr/>
        <w:t>栋</w:t>
      </w:r>
      <w:r>
        <w:rPr>
          <w:spacing w:val="-60"/>
        </w:rPr>
        <w:t> </w:t>
      </w:r>
      <w:r>
        <w:rPr>
          <w:rFonts w:ascii="Times New Roman" w:hAnsi="Times New Roman" w:cs="Times New Roman" w:eastAsia="Times New Roman" w:hint="default"/>
        </w:rPr>
        <w:t>2 </w:t>
      </w:r>
      <w:r>
        <w:rPr/>
        <w:t>单元</w:t>
      </w:r>
      <w:r>
        <w:rPr>
          <w:spacing w:val="-60"/>
        </w:rPr>
        <w:t> </w:t>
      </w:r>
      <w:r>
        <w:rPr>
          <w:rFonts w:ascii="Times New Roman" w:hAnsi="Times New Roman" w:cs="Times New Roman" w:eastAsia="Times New Roman" w:hint="default"/>
        </w:rPr>
        <w:t>201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5 </w:t>
      </w:r>
      <w:r>
        <w:rPr/>
        <w:t>日至</w:t>
      </w:r>
      <w:r>
        <w:rPr>
          <w:spacing w:val="-60"/>
        </w:rPr>
        <w:t> </w:t>
      </w:r>
      <w:r>
        <w:rPr>
          <w:rFonts w:ascii="Times New Roman" w:hAnsi="Times New Roman" w:cs="Times New Roman" w:eastAsia="Times New Roman" w:hint="default"/>
        </w:rPr>
        <w:t>2017 </w:t>
      </w:r>
      <w:r>
        <w:rPr/>
        <w:t>年</w:t>
      </w:r>
    </w:p>
    <w:p>
      <w:pPr>
        <w:pStyle w:val="BodyText"/>
        <w:spacing w:line="240" w:lineRule="auto" w:before="135"/>
        <w:ind w:right="229"/>
        <w:jc w:val="left"/>
      </w:pP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4 </w:t>
      </w:r>
      <w:r>
        <w:rPr/>
        <w:t>日，月租金</w:t>
      </w:r>
      <w:r>
        <w:rPr>
          <w:spacing w:val="-61"/>
        </w:rPr>
        <w:t> </w:t>
      </w:r>
      <w:r>
        <w:rPr>
          <w:rFonts w:ascii="Times New Roman" w:hAnsi="Times New Roman" w:cs="Times New Roman" w:eastAsia="Times New Roman" w:hint="default"/>
        </w:rPr>
        <w:t>5516 </w:t>
      </w:r>
      <w:r>
        <w:rPr/>
        <w:t>元。</w:t>
      </w:r>
    </w:p>
    <w:p>
      <w:pPr>
        <w:pStyle w:val="BodyText"/>
        <w:spacing w:line="240" w:lineRule="auto" w:before="174"/>
        <w:ind w:left="617" w:right="0"/>
        <w:jc w:val="left"/>
      </w:pPr>
      <w:r>
        <w:rPr>
          <w:rFonts w:ascii="Times New Roman" w:hAnsi="Times New Roman" w:cs="Times New Roman" w:eastAsia="Times New Roman" w:hint="default"/>
        </w:rPr>
        <w:t>14</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20 </w:t>
      </w:r>
      <w:r>
        <w:rPr/>
        <w:t>日，公司与季超签订了《房屋租赁合同</w:t>
      </w:r>
      <w:r>
        <w:rPr>
          <w:spacing w:val="-120"/>
        </w:rPr>
        <w:t>》</w:t>
      </w:r>
      <w:r>
        <w:rPr/>
        <w:t>，约定公司租赁其位于呼</w:t>
      </w:r>
    </w:p>
    <w:p>
      <w:pPr>
        <w:pStyle w:val="BodyText"/>
        <w:spacing w:line="240" w:lineRule="auto" w:before="135"/>
        <w:ind w:right="229"/>
        <w:jc w:val="left"/>
      </w:pPr>
      <w:r>
        <w:rPr/>
        <w:t>和浩特市赛罕区嘉和国际</w:t>
      </w:r>
      <w:r>
        <w:rPr>
          <w:spacing w:val="-60"/>
        </w:rPr>
        <w:t> </w:t>
      </w:r>
      <w:r>
        <w:rPr>
          <w:rFonts w:ascii="Times New Roman" w:hAnsi="Times New Roman" w:cs="Times New Roman" w:eastAsia="Times New Roman" w:hint="default"/>
        </w:rPr>
        <w:t>1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0702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20 </w:t>
      </w:r>
      <w:r>
        <w:rPr/>
        <w:t>日至</w:t>
      </w:r>
    </w:p>
    <w:p>
      <w:pPr>
        <w:pStyle w:val="BodyText"/>
        <w:spacing w:line="240" w:lineRule="auto" w:before="135"/>
        <w:ind w:right="229"/>
        <w:jc w:val="left"/>
      </w:pP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19 </w:t>
      </w:r>
      <w:r>
        <w:rPr/>
        <w:t>日，月租金</w:t>
      </w:r>
      <w:r>
        <w:rPr>
          <w:spacing w:val="-60"/>
        </w:rPr>
        <w:t> </w:t>
      </w:r>
      <w:r>
        <w:rPr>
          <w:rFonts w:ascii="Times New Roman" w:hAnsi="Times New Roman" w:cs="Times New Roman" w:eastAsia="Times New Roman" w:hint="default"/>
        </w:rPr>
        <w:t>4383 </w:t>
      </w:r>
      <w:r>
        <w:rPr/>
        <w:t>元。</w:t>
      </w:r>
    </w:p>
    <w:p>
      <w:pPr>
        <w:pStyle w:val="BodyText"/>
        <w:spacing w:line="240" w:lineRule="auto" w:before="176"/>
        <w:ind w:left="617" w:right="0"/>
        <w:jc w:val="left"/>
      </w:pPr>
      <w:r>
        <w:rPr>
          <w:rFonts w:ascii="Times New Roman" w:hAnsi="Times New Roman" w:cs="Times New Roman" w:eastAsia="Times New Roman" w:hint="default"/>
        </w:rPr>
        <w:t>15</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日，公司与李兰英签订了《房屋租赁合同</w:t>
      </w:r>
      <w:r>
        <w:rPr>
          <w:spacing w:val="-120"/>
        </w:rPr>
        <w:t>》</w:t>
      </w:r>
      <w:r>
        <w:rPr/>
        <w:t>，约定公司租赁其位于</w:t>
      </w:r>
    </w:p>
    <w:p>
      <w:pPr>
        <w:pStyle w:val="BodyText"/>
        <w:spacing w:line="240" w:lineRule="auto" w:before="135"/>
        <w:ind w:right="229"/>
        <w:jc w:val="left"/>
      </w:pPr>
      <w:r>
        <w:rPr/>
        <w:t>兰州市城关区张掖路</w:t>
      </w:r>
      <w:r>
        <w:rPr>
          <w:spacing w:val="-61"/>
        </w:rPr>
        <w:t> </w:t>
      </w:r>
      <w:r>
        <w:rPr>
          <w:rFonts w:ascii="Times New Roman" w:hAnsi="Times New Roman" w:cs="Times New Roman" w:eastAsia="Times New Roman" w:hint="default"/>
        </w:rPr>
        <w:t>67 </w:t>
      </w:r>
      <w:r>
        <w:rPr/>
        <w:t>号中环广场</w:t>
      </w:r>
      <w:r>
        <w:rPr>
          <w:spacing w:val="-60"/>
        </w:rPr>
        <w:t> </w:t>
      </w:r>
      <w:r>
        <w:rPr>
          <w:rFonts w:ascii="Times New Roman" w:hAnsi="Times New Roman" w:cs="Times New Roman" w:eastAsia="Times New Roman" w:hint="default"/>
        </w:rPr>
        <w:t>C </w:t>
      </w:r>
      <w:r>
        <w:rPr/>
        <w:t>塔</w:t>
      </w:r>
      <w:r>
        <w:rPr>
          <w:spacing w:val="-60"/>
        </w:rPr>
        <w:t> </w:t>
      </w:r>
      <w:r>
        <w:rPr>
          <w:rFonts w:ascii="Times New Roman" w:hAnsi="Times New Roman" w:cs="Times New Roman" w:eastAsia="Times New Roman" w:hint="default"/>
        </w:rPr>
        <w:t>1902 </w:t>
      </w:r>
      <w:r>
        <w:rPr/>
        <w:t>室的房屋，租赁期限</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日至</w:t>
      </w:r>
    </w:p>
    <w:p>
      <w:pPr>
        <w:pStyle w:val="BodyText"/>
        <w:spacing w:line="240" w:lineRule="auto" w:before="135"/>
        <w:ind w:right="229"/>
        <w:jc w:val="left"/>
      </w:pP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w:t>
      </w:r>
      <w:r>
        <w:rPr>
          <w:spacing w:val="-60"/>
        </w:rPr>
        <w:t> </w:t>
      </w:r>
      <w:r>
        <w:rPr>
          <w:rFonts w:ascii="Times New Roman" w:hAnsi="Times New Roman" w:cs="Times New Roman" w:eastAsia="Times New Roman" w:hint="default"/>
          <w:spacing w:val="-3"/>
        </w:rPr>
        <w:t>5311</w:t>
      </w:r>
      <w:r>
        <w:rPr>
          <w:rFonts w:ascii="Times New Roman" w:hAnsi="Times New Roman" w:cs="Times New Roman" w:eastAsia="Times New Roman" w:hint="default"/>
        </w:rPr>
        <w:t> </w:t>
      </w:r>
      <w:r>
        <w:rPr/>
        <w:t>元。</w:t>
      </w:r>
    </w:p>
    <w:p>
      <w:pPr>
        <w:pStyle w:val="BodyText"/>
        <w:spacing w:line="240" w:lineRule="auto" w:before="176"/>
        <w:ind w:left="617" w:right="0"/>
        <w:jc w:val="left"/>
      </w:pPr>
      <w:r>
        <w:rPr>
          <w:rFonts w:ascii="Times New Roman" w:hAnsi="Times New Roman" w:cs="Times New Roman" w:eastAsia="Times New Roman" w:hint="default"/>
        </w:rPr>
        <w:t>16</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t>日，公司与吕丹签订了《房屋租赁合同</w:t>
      </w:r>
      <w:r>
        <w:rPr>
          <w:spacing w:val="-120"/>
        </w:rPr>
        <w:t>》</w:t>
      </w:r>
      <w:r>
        <w:rPr/>
        <w:t>，约定公司租赁其位于南</w:t>
      </w:r>
    </w:p>
    <w:p>
      <w:pPr>
        <w:pStyle w:val="BodyText"/>
        <w:spacing w:line="240" w:lineRule="auto" w:before="136"/>
        <w:ind w:right="229"/>
        <w:jc w:val="left"/>
      </w:pPr>
      <w:r>
        <w:rPr/>
        <w:t>宁市青秀区金湖路</w:t>
      </w:r>
      <w:r>
        <w:rPr>
          <w:spacing w:val="-61"/>
        </w:rPr>
        <w:t> </w:t>
      </w:r>
      <w:r>
        <w:rPr>
          <w:rFonts w:ascii="Times New Roman" w:hAnsi="Times New Roman" w:cs="Times New Roman" w:eastAsia="Times New Roman" w:hint="default"/>
        </w:rPr>
        <w:t>61 </w:t>
      </w:r>
      <w:r>
        <w:rPr/>
        <w:t>号佳得鑫水晶城</w:t>
      </w:r>
      <w:r>
        <w:rPr>
          <w:spacing w:val="-60"/>
        </w:rPr>
        <w:t> </w:t>
      </w:r>
      <w:r>
        <w:rPr>
          <w:rFonts w:ascii="Times New Roman" w:hAnsi="Times New Roman" w:cs="Times New Roman" w:eastAsia="Times New Roman" w:hint="default"/>
        </w:rPr>
        <w:t>C </w:t>
      </w:r>
      <w:r>
        <w:rPr/>
        <w:t>座</w:t>
      </w:r>
      <w:r>
        <w:rPr>
          <w:spacing w:val="-60"/>
        </w:rPr>
        <w:t> </w:t>
      </w:r>
      <w:r>
        <w:rPr>
          <w:rFonts w:ascii="Times New Roman" w:hAnsi="Times New Roman" w:cs="Times New Roman" w:eastAsia="Times New Roman" w:hint="default"/>
        </w:rPr>
        <w:t>0705 </w:t>
      </w:r>
      <w:r>
        <w:rPr/>
        <w:t>号的房屋，租赁期限为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w:t>
      </w:r>
    </w:p>
    <w:p>
      <w:pPr>
        <w:pStyle w:val="BodyText"/>
        <w:spacing w:line="240" w:lineRule="auto" w:before="135"/>
        <w:ind w:right="229"/>
        <w:jc w:val="left"/>
      </w:pPr>
      <w:r>
        <w:rPr/>
        <w:t>至</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w:t>
      </w:r>
      <w:r>
        <w:rPr>
          <w:spacing w:val="-60"/>
        </w:rPr>
        <w:t> </w:t>
      </w:r>
      <w:r>
        <w:rPr>
          <w:rFonts w:ascii="Times New Roman" w:hAnsi="Times New Roman" w:cs="Times New Roman" w:eastAsia="Times New Roman" w:hint="default"/>
        </w:rPr>
        <w:t>7300 </w:t>
      </w:r>
      <w:r>
        <w:rPr/>
        <w:t>元。</w:t>
      </w:r>
    </w:p>
    <w:p>
      <w:pPr>
        <w:pStyle w:val="BodyText"/>
        <w:spacing w:line="240" w:lineRule="auto" w:before="174"/>
        <w:ind w:left="617" w:right="0"/>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日，公司与海南京润珍珠生物技术股份有限公司签订了《房屋租赁</w:t>
      </w:r>
    </w:p>
    <w:p>
      <w:pPr>
        <w:pStyle w:val="BodyText"/>
        <w:spacing w:line="240" w:lineRule="auto" w:before="135"/>
        <w:ind w:right="0"/>
        <w:jc w:val="left"/>
      </w:pPr>
      <w:r>
        <w:rPr/>
        <w:t>合同</w:t>
      </w:r>
      <w:r>
        <w:rPr>
          <w:spacing w:val="-120"/>
        </w:rPr>
        <w:t>》</w:t>
      </w:r>
      <w:r>
        <w:rPr/>
        <w:t>，约定公司租赁其位于沈阳市沈河区市府大路</w:t>
      </w:r>
      <w:r>
        <w:rPr>
          <w:spacing w:val="-60"/>
        </w:rPr>
        <w:t> </w:t>
      </w:r>
      <w:r>
        <w:rPr>
          <w:rFonts w:ascii="Times New Roman" w:hAnsi="Times New Roman" w:cs="Times New Roman" w:eastAsia="Times New Roman" w:hint="default"/>
        </w:rPr>
        <w:t>262 </w:t>
      </w:r>
      <w:r>
        <w:rPr/>
        <w:t>号甲新华科技大厦</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层</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105 </w:t>
      </w:r>
      <w:r>
        <w:rPr/>
        <w:t>的房</w:t>
      </w:r>
    </w:p>
    <w:p>
      <w:pPr>
        <w:pStyle w:val="BodyText"/>
        <w:spacing w:line="240" w:lineRule="auto" w:before="135"/>
        <w:ind w:right="229"/>
        <w:jc w:val="left"/>
      </w:pPr>
      <w:r>
        <w:rPr/>
        <w:t>屋，租赁期限为</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日，月租金</w:t>
      </w:r>
      <w:r>
        <w:rPr>
          <w:spacing w:val="-60"/>
        </w:rPr>
        <w:t> </w:t>
      </w:r>
      <w:r>
        <w:rPr>
          <w:rFonts w:ascii="Times New Roman" w:hAnsi="Times New Roman" w:cs="Times New Roman" w:eastAsia="Times New Roman" w:hint="default"/>
        </w:rPr>
        <w:t>10833 </w:t>
      </w:r>
      <w:r>
        <w:rPr/>
        <w:t>元。</w:t>
      </w:r>
    </w:p>
    <w:p>
      <w:pPr>
        <w:pStyle w:val="BodyText"/>
        <w:spacing w:line="240" w:lineRule="auto" w:before="176"/>
        <w:ind w:left="617" w:right="0"/>
        <w:jc w:val="left"/>
      </w:pPr>
      <w:r>
        <w:rPr>
          <w:rFonts w:ascii="Times New Roman" w:hAnsi="Times New Roman" w:cs="Times New Roman" w:eastAsia="Times New Roman" w:hint="default"/>
        </w:rPr>
        <w:t>18</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16 </w:t>
      </w:r>
      <w:r>
        <w:rPr/>
        <w:t>日，公司与杨莹签订了《房屋租赁合同</w:t>
      </w:r>
      <w:r>
        <w:rPr>
          <w:spacing w:val="-120"/>
        </w:rPr>
        <w:t>》</w:t>
      </w:r>
      <w:r>
        <w:rPr/>
        <w:t>，约定公司租赁其位于北</w:t>
      </w:r>
    </w:p>
    <w:p>
      <w:pPr>
        <w:pStyle w:val="BodyText"/>
        <w:spacing w:line="240" w:lineRule="auto" w:before="135"/>
        <w:ind w:right="229"/>
        <w:jc w:val="left"/>
      </w:pPr>
      <w:r>
        <w:rPr/>
        <w:t>京市京旺家园三区的房屋，租赁期限为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28 </w:t>
      </w:r>
      <w:r>
        <w:rPr/>
        <w:t>日，月租金</w:t>
      </w:r>
    </w:p>
    <w:p>
      <w:pPr>
        <w:spacing w:after="0" w:line="240" w:lineRule="auto"/>
        <w:jc w:val="left"/>
        <w:sectPr>
          <w:footerReference w:type="default" r:id="rId26"/>
          <w:pgSz w:w="11910" w:h="16840"/>
          <w:pgMar w:footer="1085" w:header="877" w:top="1220" w:bottom="1280" w:left="1140" w:right="980"/>
          <w:pgNumType w:start="65"/>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rFonts w:ascii="Times New Roman" w:hAnsi="Times New Roman" w:cs="Times New Roman" w:eastAsia="Times New Roman" w:hint="default"/>
        </w:rPr>
        <w:t>3800 </w:t>
      </w:r>
      <w:r>
        <w:rPr/>
        <w:t>元。</w:t>
      </w:r>
    </w:p>
    <w:p>
      <w:pPr>
        <w:pStyle w:val="BodyText"/>
        <w:spacing w:line="240" w:lineRule="auto" w:before="176"/>
        <w:ind w:left="617" w:right="0"/>
        <w:jc w:val="left"/>
      </w:pPr>
      <w:r>
        <w:rPr>
          <w:rFonts w:ascii="Times New Roman" w:hAnsi="Times New Roman" w:cs="Times New Roman" w:eastAsia="Times New Roman" w:hint="default"/>
        </w:rPr>
        <w:t>19</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日，公司与李建国签订了《房屋租赁合同</w:t>
      </w:r>
      <w:r>
        <w:rPr>
          <w:spacing w:val="-120"/>
        </w:rPr>
        <w:t>》</w:t>
      </w:r>
      <w:r>
        <w:rPr/>
        <w:t>，约定公司租赁其位于</w:t>
      </w:r>
    </w:p>
    <w:p>
      <w:pPr>
        <w:pStyle w:val="BodyText"/>
        <w:spacing w:line="240" w:lineRule="auto" w:before="135"/>
        <w:ind w:right="229"/>
        <w:jc w:val="left"/>
      </w:pPr>
      <w:r>
        <w:rPr/>
        <w:t>乌鲁木齐友好路地矿家属北园</w:t>
      </w:r>
      <w:r>
        <w:rPr>
          <w:spacing w:val="-60"/>
        </w:rPr>
        <w:t> </w:t>
      </w:r>
      <w:r>
        <w:rPr>
          <w:rFonts w:ascii="Times New Roman" w:hAnsi="Times New Roman" w:cs="Times New Roman" w:eastAsia="Times New Roman" w:hint="default"/>
        </w:rPr>
        <w:t>3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1506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w:t>
      </w:r>
    </w:p>
    <w:p>
      <w:pPr>
        <w:pStyle w:val="BodyText"/>
        <w:spacing w:line="240" w:lineRule="auto" w:before="135"/>
        <w:ind w:right="229"/>
        <w:jc w:val="left"/>
      </w:pPr>
      <w:r>
        <w:rPr/>
        <w:t>至</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w:t>
      </w:r>
      <w:r>
        <w:rPr>
          <w:spacing w:val="-60"/>
        </w:rPr>
        <w:t> </w:t>
      </w:r>
      <w:r>
        <w:rPr>
          <w:rFonts w:ascii="Times New Roman" w:hAnsi="Times New Roman" w:cs="Times New Roman" w:eastAsia="Times New Roman" w:hint="default"/>
        </w:rPr>
        <w:t>3300 </w:t>
      </w:r>
      <w:r>
        <w:rPr/>
        <w:t>元。</w:t>
      </w:r>
    </w:p>
    <w:p>
      <w:pPr>
        <w:pStyle w:val="BodyText"/>
        <w:spacing w:line="240" w:lineRule="auto" w:before="174"/>
        <w:ind w:left="617" w:right="0"/>
        <w:jc w:val="left"/>
      </w:pPr>
      <w:r>
        <w:rPr>
          <w:rFonts w:ascii="Times New Roman" w:hAnsi="Times New Roman" w:cs="Times New Roman" w:eastAsia="Times New Roman" w:hint="default"/>
        </w:rPr>
        <w:t>20</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24 </w:t>
      </w:r>
      <w:r>
        <w:rPr/>
        <w:t>日，公司与高虎军签订了《房屋租赁合同</w:t>
      </w:r>
      <w:r>
        <w:rPr>
          <w:spacing w:val="-120"/>
        </w:rPr>
        <w:t>》</w:t>
      </w:r>
      <w:r>
        <w:rPr/>
        <w:t>，约定公司租赁其位于</w:t>
      </w:r>
    </w:p>
    <w:p>
      <w:pPr>
        <w:pStyle w:val="BodyText"/>
        <w:spacing w:line="240" w:lineRule="auto" w:before="135"/>
        <w:ind w:right="0"/>
        <w:jc w:val="left"/>
        <w:rPr>
          <w:rFonts w:ascii="Times New Roman" w:hAnsi="Times New Roman" w:cs="Times New Roman" w:eastAsia="Times New Roman" w:hint="default"/>
        </w:rPr>
      </w:pPr>
      <w:r>
        <w:rPr/>
        <w:t>西安高新区新区唐延南都市之门</w:t>
      </w:r>
      <w:r>
        <w:rPr>
          <w:spacing w:val="-60"/>
        </w:rPr>
        <w:t> </w:t>
      </w:r>
      <w:r>
        <w:rPr>
          <w:rFonts w:ascii="Times New Roman" w:hAnsi="Times New Roman" w:cs="Times New Roman" w:eastAsia="Times New Roman" w:hint="default"/>
        </w:rPr>
        <w:t>C </w:t>
      </w:r>
      <w:r>
        <w:rPr/>
        <w:t>座</w:t>
      </w:r>
      <w:r>
        <w:rPr>
          <w:spacing w:val="-60"/>
        </w:rPr>
        <w:t> </w:t>
      </w:r>
      <w:r>
        <w:rPr>
          <w:rFonts w:ascii="Times New Roman" w:hAnsi="Times New Roman" w:cs="Times New Roman" w:eastAsia="Times New Roman" w:hint="default"/>
        </w:rPr>
        <w:t>10708 </w:t>
      </w:r>
      <w:r>
        <w:rPr/>
        <w:t>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20 </w:t>
      </w:r>
      <w:r>
        <w:rPr/>
        <w:t>日至</w:t>
      </w:r>
      <w:r>
        <w:rPr>
          <w:spacing w:val="-60"/>
        </w:rPr>
        <w:t> </w:t>
      </w:r>
      <w:r>
        <w:rPr>
          <w:rFonts w:ascii="Times New Roman" w:hAnsi="Times New Roman" w:cs="Times New Roman" w:eastAsia="Times New Roman" w:hint="default"/>
        </w:rPr>
        <w:t>2015</w:t>
      </w:r>
    </w:p>
    <w:p>
      <w:pPr>
        <w:pStyle w:val="BodyText"/>
        <w:spacing w:line="240" w:lineRule="auto" w:before="135"/>
        <w:ind w:right="229"/>
        <w:jc w:val="left"/>
      </w:pPr>
      <w:r>
        <w:rPr/>
        <w:t>年</w:t>
      </w:r>
      <w:r>
        <w:rPr>
          <w:spacing w:val="-60"/>
        </w:rPr>
        <w:t> </w:t>
      </w:r>
      <w:r>
        <w:rPr>
          <w:rFonts w:ascii="Times New Roman" w:hAnsi="Times New Roman" w:cs="Times New Roman" w:eastAsia="Times New Roman" w:hint="default"/>
        </w:rPr>
        <w:t>9 </w:t>
      </w:r>
      <w:r>
        <w:rPr/>
        <w:t>月</w:t>
      </w:r>
      <w:r>
        <w:rPr>
          <w:spacing w:val="-61"/>
        </w:rPr>
        <w:t> </w:t>
      </w:r>
      <w:r>
        <w:rPr>
          <w:rFonts w:ascii="Times New Roman" w:hAnsi="Times New Roman" w:cs="Times New Roman" w:eastAsia="Times New Roman" w:hint="default"/>
        </w:rPr>
        <w:t>20 </w:t>
      </w:r>
      <w:r>
        <w:rPr/>
        <w:t>日，月租金</w:t>
      </w:r>
      <w:r>
        <w:rPr>
          <w:spacing w:val="-60"/>
        </w:rPr>
        <w:t> </w:t>
      </w:r>
      <w:r>
        <w:rPr>
          <w:rFonts w:ascii="Times New Roman" w:hAnsi="Times New Roman" w:cs="Times New Roman" w:eastAsia="Times New Roman" w:hint="default"/>
        </w:rPr>
        <w:t>52084.8 </w:t>
      </w:r>
      <w:r>
        <w:rPr/>
        <w:t>元。</w:t>
      </w:r>
    </w:p>
    <w:p>
      <w:pPr>
        <w:pStyle w:val="BodyText"/>
        <w:spacing w:line="338" w:lineRule="auto" w:before="177"/>
        <w:ind w:right="236" w:firstLine="480"/>
        <w:jc w:val="both"/>
      </w:pPr>
      <w:r>
        <w:rPr>
          <w:rFonts w:ascii="Times New Roman" w:hAnsi="Times New Roman" w:cs="Times New Roman" w:eastAsia="Times New Roman" w:hint="default"/>
          <w:spacing w:val="-1"/>
        </w:rPr>
        <w:t>21</w:t>
      </w:r>
      <w:r>
        <w:rPr>
          <w:spacing w:val="-1"/>
        </w:rPr>
        <w:t>）</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spacing w:val="-5"/>
        </w:rPr>
        <w:t>日，公司与潍坊软件园发展中心签订了《房屋租赁合同》，约定公</w:t>
      </w:r>
      <w:r>
        <w:rPr/>
        <w:t> 司租赁其位于潍坊市健康东街</w:t>
      </w:r>
      <w:r>
        <w:rPr>
          <w:spacing w:val="-60"/>
        </w:rPr>
        <w:t> </w:t>
      </w:r>
      <w:r>
        <w:rPr>
          <w:rFonts w:ascii="Times New Roman" w:hAnsi="Times New Roman" w:cs="Times New Roman" w:eastAsia="Times New Roman" w:hint="default"/>
        </w:rPr>
        <w:t>10179 </w:t>
      </w:r>
      <w:r>
        <w:rPr/>
        <w:t>号潍坊软件园</w:t>
      </w:r>
      <w:r>
        <w:rPr>
          <w:spacing w:val="-60"/>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座</w:t>
      </w:r>
      <w:r>
        <w:rPr>
          <w:spacing w:val="-60"/>
        </w:rPr>
        <w:t> </w:t>
      </w:r>
      <w:r>
        <w:rPr>
          <w:rFonts w:ascii="Times New Roman" w:hAnsi="Times New Roman" w:cs="Times New Roman" w:eastAsia="Times New Roman" w:hint="default"/>
        </w:rPr>
        <w:t>19 </w:t>
      </w:r>
      <w:r>
        <w:rPr/>
        <w:t>层</w:t>
      </w:r>
      <w:r>
        <w:rPr>
          <w:spacing w:val="-60"/>
        </w:rPr>
        <w:t> </w:t>
      </w:r>
      <w:r>
        <w:rPr>
          <w:rFonts w:ascii="Times New Roman" w:hAnsi="Times New Roman" w:cs="Times New Roman" w:eastAsia="Times New Roman" w:hint="default"/>
        </w:rPr>
        <w:t>1901</w:t>
      </w:r>
      <w:r>
        <w:rPr/>
        <w:t>、</w:t>
      </w:r>
      <w:r>
        <w:rPr>
          <w:rFonts w:ascii="Times New Roman" w:hAnsi="Times New Roman" w:cs="Times New Roman" w:eastAsia="Times New Roman" w:hint="default"/>
        </w:rPr>
        <w:t>1902 </w:t>
      </w:r>
      <w:r>
        <w:rPr/>
        <w:t>的房屋，租赁期 限为</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日，月租金</w:t>
      </w:r>
      <w:r>
        <w:rPr>
          <w:spacing w:val="-60"/>
        </w:rPr>
        <w:t> </w:t>
      </w:r>
      <w:r>
        <w:rPr>
          <w:rFonts w:ascii="Times New Roman" w:hAnsi="Times New Roman" w:cs="Times New Roman" w:eastAsia="Times New Roman" w:hint="default"/>
        </w:rPr>
        <w:t>3318 </w:t>
      </w:r>
      <w:r>
        <w:rPr/>
        <w:t>元。</w:t>
      </w:r>
    </w:p>
    <w:p>
      <w:pPr>
        <w:pStyle w:val="BodyText"/>
        <w:spacing w:line="240" w:lineRule="auto" w:before="67"/>
        <w:ind w:left="617" w:right="229"/>
        <w:jc w:val="left"/>
      </w:pPr>
      <w:r>
        <w:rPr>
          <w:rFonts w:ascii="Times New Roman" w:hAnsi="Times New Roman" w:cs="Times New Roman" w:eastAsia="Times New Roman" w:hint="default"/>
        </w:rPr>
        <w:t>22</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 </w:t>
      </w:r>
      <w:r>
        <w:rPr/>
        <w:t>日，公司与陈勇签订了《房屋租赁合同</w:t>
      </w:r>
      <w:r>
        <w:rPr>
          <w:spacing w:val="-120"/>
        </w:rPr>
        <w:t>》</w:t>
      </w:r>
      <w:r>
        <w:rPr/>
        <w:t>，约定公司租赁其位于南</w:t>
      </w:r>
    </w:p>
    <w:p>
      <w:pPr>
        <w:pStyle w:val="BodyText"/>
        <w:spacing w:line="240" w:lineRule="auto" w:before="135"/>
        <w:ind w:right="229"/>
        <w:jc w:val="left"/>
      </w:pPr>
      <w:r>
        <w:rPr/>
        <w:t>昌市红谷滩新区滨江豪园</w:t>
      </w:r>
      <w:r>
        <w:rPr>
          <w:spacing w:val="-60"/>
        </w:rPr>
        <w:t> </w:t>
      </w:r>
      <w:r>
        <w:rPr>
          <w:rFonts w:ascii="Times New Roman" w:hAnsi="Times New Roman" w:cs="Times New Roman" w:eastAsia="Times New Roman" w:hint="default"/>
        </w:rPr>
        <w:t>16 </w:t>
      </w:r>
      <w:r>
        <w:rPr/>
        <w:t>栋</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602 </w:t>
      </w:r>
      <w:r>
        <w:rPr/>
        <w:t>室的房屋，月租金</w:t>
      </w:r>
      <w:r>
        <w:rPr>
          <w:spacing w:val="-60"/>
        </w:rPr>
        <w:t> </w:t>
      </w:r>
      <w:r>
        <w:rPr>
          <w:rFonts w:ascii="Times New Roman" w:hAnsi="Times New Roman" w:cs="Times New Roman" w:eastAsia="Times New Roman" w:hint="default"/>
        </w:rPr>
        <w:t>3000 </w:t>
      </w:r>
      <w:r>
        <w:rPr/>
        <w:t>元。</w:t>
      </w:r>
    </w:p>
    <w:p>
      <w:pPr>
        <w:pStyle w:val="BodyText"/>
        <w:spacing w:line="240" w:lineRule="auto" w:before="174"/>
        <w:ind w:left="617" w:right="0"/>
        <w:jc w:val="left"/>
      </w:pPr>
      <w:r>
        <w:rPr>
          <w:rFonts w:ascii="Times New Roman" w:hAnsi="Times New Roman" w:cs="Times New Roman" w:eastAsia="Times New Roman" w:hint="default"/>
        </w:rPr>
        <w:t>23</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20 </w:t>
      </w:r>
      <w:r>
        <w:rPr/>
        <w:t>日，公司与任凯钢签订了《房屋租赁合同</w:t>
      </w:r>
      <w:r>
        <w:rPr>
          <w:spacing w:val="-120"/>
        </w:rPr>
        <w:t>》</w:t>
      </w:r>
      <w:r>
        <w:rPr/>
        <w:t>，约定公司租赁其位于</w:t>
      </w:r>
    </w:p>
    <w:p>
      <w:pPr>
        <w:pStyle w:val="BodyText"/>
        <w:spacing w:line="240" w:lineRule="auto" w:before="135"/>
        <w:ind w:right="229"/>
        <w:jc w:val="left"/>
      </w:pPr>
      <w:r>
        <w:rPr/>
        <w:t>贵阳市南明区观水路</w:t>
      </w:r>
      <w:r>
        <w:rPr>
          <w:spacing w:val="-61"/>
        </w:rPr>
        <w:t> </w:t>
      </w:r>
      <w:r>
        <w:rPr>
          <w:rFonts w:ascii="Times New Roman" w:hAnsi="Times New Roman" w:cs="Times New Roman" w:eastAsia="Times New Roman" w:hint="default"/>
        </w:rPr>
        <w:t>43 </w:t>
      </w:r>
      <w:r>
        <w:rPr/>
        <w:t>号双栋</w:t>
      </w:r>
      <w:r>
        <w:rPr>
          <w:spacing w:val="-60"/>
        </w:rPr>
        <w:t> </w:t>
      </w:r>
      <w:r>
        <w:rPr>
          <w:rFonts w:ascii="Times New Roman" w:hAnsi="Times New Roman" w:cs="Times New Roman" w:eastAsia="Times New Roman" w:hint="default"/>
        </w:rPr>
        <w:t>3 </w:t>
      </w:r>
      <w:r>
        <w:rPr/>
        <w:t>单元</w:t>
      </w:r>
      <w:r>
        <w:rPr>
          <w:spacing w:val="-60"/>
        </w:rPr>
        <w:t> </w:t>
      </w:r>
      <w:r>
        <w:rPr>
          <w:rFonts w:ascii="Times New Roman" w:hAnsi="Times New Roman" w:cs="Times New Roman" w:eastAsia="Times New Roman" w:hint="default"/>
        </w:rPr>
        <w:t>601 </w:t>
      </w:r>
      <w:r>
        <w:rPr/>
        <w:t>号的房屋，租赁期限为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20 </w:t>
      </w:r>
      <w:r>
        <w:rPr/>
        <w:t>日至</w:t>
      </w:r>
    </w:p>
    <w:p>
      <w:pPr>
        <w:pStyle w:val="BodyText"/>
        <w:spacing w:line="240" w:lineRule="auto" w:before="135"/>
        <w:ind w:right="229"/>
        <w:jc w:val="left"/>
      </w:pP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19 </w:t>
      </w:r>
      <w:r>
        <w:rPr/>
        <w:t>日，月租金</w:t>
      </w:r>
      <w:r>
        <w:rPr>
          <w:spacing w:val="-60"/>
        </w:rPr>
        <w:t> </w:t>
      </w:r>
      <w:r>
        <w:rPr>
          <w:rFonts w:ascii="Times New Roman" w:hAnsi="Times New Roman" w:cs="Times New Roman" w:eastAsia="Times New Roman" w:hint="default"/>
        </w:rPr>
        <w:t>1300 </w:t>
      </w:r>
      <w:r>
        <w:rPr/>
        <w:t>元。</w:t>
      </w:r>
    </w:p>
    <w:p>
      <w:pPr>
        <w:pStyle w:val="BodyText"/>
        <w:spacing w:line="240" w:lineRule="auto" w:before="177"/>
        <w:ind w:left="617" w:right="0"/>
        <w:jc w:val="left"/>
      </w:pPr>
      <w:r>
        <w:rPr>
          <w:rFonts w:ascii="Times New Roman" w:hAnsi="Times New Roman" w:cs="Times New Roman" w:eastAsia="Times New Roman" w:hint="default"/>
        </w:rPr>
        <w:t>24</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 </w:t>
      </w:r>
      <w:r>
        <w:rPr/>
        <w:t>日，公司与李建民签订了《房屋租赁合同</w:t>
      </w:r>
      <w:r>
        <w:rPr>
          <w:spacing w:val="-120"/>
        </w:rPr>
        <w:t>》</w:t>
      </w:r>
      <w:r>
        <w:rPr/>
        <w:t>，租赁其位于山东省潍</w:t>
      </w:r>
    </w:p>
    <w:p>
      <w:pPr>
        <w:pStyle w:val="BodyText"/>
        <w:spacing w:line="240" w:lineRule="auto" w:before="135"/>
        <w:ind w:right="0"/>
        <w:jc w:val="left"/>
        <w:rPr>
          <w:rFonts w:ascii="Times New Roman" w:hAnsi="Times New Roman" w:cs="Times New Roman" w:eastAsia="Times New Roman" w:hint="default"/>
        </w:rPr>
      </w:pPr>
      <w:r>
        <w:rPr/>
        <w:t>坊市高新区金福苑小区</w:t>
      </w:r>
      <w:r>
        <w:rPr>
          <w:spacing w:val="-60"/>
        </w:rPr>
        <w:t> </w:t>
      </w:r>
      <w:r>
        <w:rPr>
          <w:rFonts w:ascii="Times New Roman" w:hAnsi="Times New Roman" w:cs="Times New Roman" w:eastAsia="Times New Roman" w:hint="default"/>
        </w:rPr>
        <w:t>7 </w:t>
      </w:r>
      <w:r>
        <w:rPr/>
        <w:t>号楼</w:t>
      </w:r>
      <w:r>
        <w:rPr>
          <w:spacing w:val="-60"/>
        </w:rPr>
        <w:t> </w:t>
      </w:r>
      <w:r>
        <w:rPr>
          <w:rFonts w:ascii="Times New Roman" w:hAnsi="Times New Roman" w:cs="Times New Roman" w:eastAsia="Times New Roman" w:hint="default"/>
        </w:rPr>
        <w:t>2 </w:t>
      </w:r>
      <w:r>
        <w:rPr/>
        <w:t>单元</w:t>
      </w:r>
      <w:r>
        <w:rPr>
          <w:spacing w:val="-60"/>
        </w:rPr>
        <w:t> </w:t>
      </w:r>
      <w:r>
        <w:rPr>
          <w:rFonts w:ascii="Times New Roman" w:hAnsi="Times New Roman" w:cs="Times New Roman" w:eastAsia="Times New Roman" w:hint="default"/>
        </w:rPr>
        <w:t>302 </w:t>
      </w:r>
      <w:r>
        <w:rPr/>
        <w:t>室的房屋，租赁期限为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31 </w:t>
      </w:r>
      <w:r>
        <w:rPr/>
        <w:t>日至</w:t>
      </w:r>
      <w:r>
        <w:rPr>
          <w:spacing w:val="-60"/>
        </w:rPr>
        <w:t> </w:t>
      </w:r>
      <w:r>
        <w:rPr>
          <w:rFonts w:ascii="Times New Roman" w:hAnsi="Times New Roman" w:cs="Times New Roman" w:eastAsia="Times New Roman" w:hint="default"/>
        </w:rPr>
        <w:t>2016</w:t>
      </w:r>
    </w:p>
    <w:p>
      <w:pPr>
        <w:pStyle w:val="BodyText"/>
        <w:spacing w:line="240" w:lineRule="auto" w:before="135"/>
        <w:ind w:right="229"/>
        <w:jc w:val="left"/>
      </w:pPr>
      <w:r>
        <w:rPr/>
        <w:t>年</w:t>
      </w:r>
      <w:r>
        <w:rPr>
          <w:spacing w:val="-60"/>
        </w:rPr>
        <w:t> </w:t>
      </w:r>
      <w:r>
        <w:rPr>
          <w:rFonts w:ascii="Times New Roman" w:hAnsi="Times New Roman" w:cs="Times New Roman" w:eastAsia="Times New Roman" w:hint="default"/>
        </w:rPr>
        <w:t>3 </w:t>
      </w:r>
      <w:r>
        <w:rPr/>
        <w:t>月</w:t>
      </w:r>
      <w:r>
        <w:rPr>
          <w:spacing w:val="-61"/>
        </w:rPr>
        <w:t> </w:t>
      </w:r>
      <w:r>
        <w:rPr>
          <w:rFonts w:ascii="Times New Roman" w:hAnsi="Times New Roman" w:cs="Times New Roman" w:eastAsia="Times New Roman" w:hint="default"/>
        </w:rPr>
        <w:t>1 </w:t>
      </w:r>
      <w:r>
        <w:rPr/>
        <w:t>日，月租金</w:t>
      </w:r>
      <w:r>
        <w:rPr>
          <w:spacing w:val="-60"/>
        </w:rPr>
        <w:t> </w:t>
      </w:r>
      <w:r>
        <w:rPr>
          <w:rFonts w:ascii="Times New Roman" w:hAnsi="Times New Roman" w:cs="Times New Roman" w:eastAsia="Times New Roman" w:hint="default"/>
        </w:rPr>
        <w:t>3500 </w:t>
      </w:r>
      <w:r>
        <w:rPr/>
        <w:t>元。</w:t>
      </w:r>
    </w:p>
    <w:p>
      <w:pPr>
        <w:pStyle w:val="BodyText"/>
        <w:spacing w:line="240" w:lineRule="auto" w:before="176"/>
        <w:ind w:left="617" w:right="0"/>
        <w:jc w:val="left"/>
      </w:pPr>
      <w:r>
        <w:rPr>
          <w:rFonts w:ascii="Times New Roman" w:hAnsi="Times New Roman" w:cs="Times New Roman" w:eastAsia="Times New Roman" w:hint="default"/>
        </w:rPr>
        <w:t>25</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 </w:t>
      </w:r>
      <w:r>
        <w:rPr/>
        <w:t>日，公司与王秀英签订了《房屋租赁合同</w:t>
      </w:r>
      <w:r>
        <w:rPr>
          <w:spacing w:val="-120"/>
        </w:rPr>
        <w:t>》</w:t>
      </w:r>
      <w:r>
        <w:rPr/>
        <w:t>，约</w:t>
      </w:r>
      <w:r>
        <w:rPr>
          <w:spacing w:val="1"/>
        </w:rPr>
        <w:t>定</w:t>
      </w:r>
      <w:r>
        <w:rPr/>
        <w:t>公司租赁其位于</w:t>
      </w:r>
    </w:p>
    <w:p>
      <w:pPr>
        <w:pStyle w:val="BodyText"/>
        <w:spacing w:line="240" w:lineRule="auto" w:before="135"/>
        <w:ind w:right="229"/>
        <w:jc w:val="left"/>
        <w:rPr>
          <w:rFonts w:ascii="Times New Roman" w:hAnsi="Times New Roman" w:cs="Times New Roman" w:eastAsia="Times New Roman" w:hint="default"/>
        </w:rPr>
      </w:pPr>
      <w:r>
        <w:rPr/>
        <w:t>太原市长风西街一号丽华苑小区</w:t>
      </w:r>
      <w:r>
        <w:rPr>
          <w:spacing w:val="-60"/>
        </w:rPr>
        <w:t> </w:t>
      </w:r>
      <w:r>
        <w:rPr>
          <w:rFonts w:ascii="Times New Roman" w:hAnsi="Times New Roman" w:cs="Times New Roman" w:eastAsia="Times New Roman" w:hint="default"/>
        </w:rPr>
        <w:t>10 </w:t>
      </w:r>
      <w:r>
        <w:rPr/>
        <w:t>号楼二单元</w:t>
      </w:r>
      <w:r>
        <w:rPr>
          <w:spacing w:val="-60"/>
        </w:rPr>
        <w:t> </w:t>
      </w:r>
      <w:r>
        <w:rPr>
          <w:rFonts w:ascii="Times New Roman" w:hAnsi="Times New Roman" w:cs="Times New Roman" w:eastAsia="Times New Roman" w:hint="default"/>
        </w:rPr>
        <w:t>16 </w:t>
      </w:r>
      <w:r>
        <w:rPr/>
        <w:t>号的房屋，租赁期限为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w:t>
      </w:r>
    </w:p>
    <w:p>
      <w:pPr>
        <w:pStyle w:val="BodyText"/>
        <w:spacing w:line="240" w:lineRule="auto" w:before="135"/>
        <w:ind w:right="229"/>
        <w:jc w:val="left"/>
      </w:pPr>
      <w:r>
        <w:rPr/>
        <w:t>日至</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30 </w:t>
      </w:r>
      <w:r>
        <w:rPr/>
        <w:t>日，月租金</w:t>
      </w:r>
      <w:r>
        <w:rPr>
          <w:spacing w:val="-60"/>
        </w:rPr>
        <w:t> </w:t>
      </w:r>
      <w:r>
        <w:rPr>
          <w:rFonts w:ascii="Times New Roman" w:hAnsi="Times New Roman" w:cs="Times New Roman" w:eastAsia="Times New Roman" w:hint="default"/>
        </w:rPr>
        <w:t>3600 </w:t>
      </w:r>
      <w:r>
        <w:rPr/>
        <w:t>元。</w:t>
      </w:r>
    </w:p>
    <w:p>
      <w:pPr>
        <w:pStyle w:val="BodyText"/>
        <w:spacing w:line="240" w:lineRule="auto" w:before="174"/>
        <w:ind w:left="617" w:right="229"/>
        <w:jc w:val="left"/>
      </w:pPr>
      <w:r>
        <w:rPr>
          <w:rFonts w:ascii="Times New Roman" w:hAnsi="Times New Roman" w:cs="Times New Roman" w:eastAsia="Times New Roman" w:hint="default"/>
        </w:rPr>
        <w:t>26</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10 </w:t>
      </w:r>
      <w:r>
        <w:rPr/>
        <w:t>日，公司与曹永杰签订了《房屋租赁合同</w:t>
      </w:r>
      <w:r>
        <w:rPr>
          <w:spacing w:val="-120"/>
        </w:rPr>
        <w:t>》</w:t>
      </w:r>
      <w:r>
        <w:rPr/>
        <w:t>，约定公司租赁其位</w:t>
      </w:r>
    </w:p>
    <w:p>
      <w:pPr>
        <w:pStyle w:val="BodyText"/>
        <w:spacing w:line="240" w:lineRule="auto" w:before="136"/>
        <w:ind w:right="229"/>
        <w:jc w:val="left"/>
      </w:pPr>
      <w:r>
        <w:rPr/>
        <w:t>于安徽省芜湖市三潭音悦</w:t>
      </w:r>
      <w:r>
        <w:rPr>
          <w:spacing w:val="-60"/>
        </w:rPr>
        <w:t> </w:t>
      </w:r>
      <w:r>
        <w:rPr>
          <w:rFonts w:ascii="Times New Roman" w:hAnsi="Times New Roman" w:cs="Times New Roman" w:eastAsia="Times New Roman" w:hint="default"/>
        </w:rPr>
        <w:t>5-2-604 </w:t>
      </w:r>
      <w:r>
        <w:rPr/>
        <w:t>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10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p>
    <w:p>
      <w:pPr>
        <w:pStyle w:val="BodyText"/>
        <w:spacing w:line="240" w:lineRule="auto" w:before="135"/>
        <w:ind w:right="229"/>
        <w:jc w:val="left"/>
      </w:pPr>
      <w:r>
        <w:rPr>
          <w:rFonts w:ascii="Times New Roman" w:hAnsi="Times New Roman" w:cs="Times New Roman" w:eastAsia="Times New Roman" w:hint="default"/>
        </w:rPr>
        <w:t>10 </w:t>
      </w:r>
      <w:r>
        <w:rPr/>
        <w:t>日，月租金</w:t>
      </w:r>
      <w:r>
        <w:rPr>
          <w:spacing w:val="-61"/>
        </w:rPr>
        <w:t> </w:t>
      </w:r>
      <w:r>
        <w:rPr>
          <w:rFonts w:ascii="Times New Roman" w:hAnsi="Times New Roman" w:cs="Times New Roman" w:eastAsia="Times New Roman" w:hint="default"/>
        </w:rPr>
        <w:t>2200 </w:t>
      </w:r>
      <w:r>
        <w:rPr/>
        <w:t>元。</w:t>
      </w:r>
    </w:p>
    <w:p>
      <w:pPr>
        <w:pStyle w:val="BodyText"/>
        <w:spacing w:line="240" w:lineRule="auto" w:before="176"/>
        <w:ind w:left="617" w:right="229"/>
        <w:jc w:val="left"/>
      </w:pPr>
      <w:r>
        <w:rPr>
          <w:rFonts w:ascii="Times New Roman" w:hAnsi="Times New Roman" w:cs="Times New Roman" w:eastAsia="Times New Roman" w:hint="default"/>
        </w:rPr>
        <w:t>27</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25 </w:t>
      </w:r>
      <w:r>
        <w:rPr/>
        <w:t>日，公司与弓居成签订了《房屋租赁合同</w:t>
      </w:r>
      <w:r>
        <w:rPr>
          <w:spacing w:val="-120"/>
        </w:rPr>
        <w:t>》</w:t>
      </w:r>
      <w:r>
        <w:rPr/>
        <w:t>，约定公司租赁其位</w:t>
      </w:r>
    </w:p>
    <w:p>
      <w:pPr>
        <w:pStyle w:val="BodyText"/>
        <w:spacing w:line="240" w:lineRule="auto" w:before="135"/>
        <w:ind w:right="229"/>
        <w:jc w:val="left"/>
      </w:pPr>
      <w:r>
        <w:rPr/>
        <w:t>于郑州市中原区陇海路豫都学府</w:t>
      </w:r>
      <w:r>
        <w:rPr>
          <w:spacing w:val="-60"/>
        </w:rPr>
        <w:t> </w:t>
      </w:r>
      <w:r>
        <w:rPr>
          <w:rFonts w:ascii="Times New Roman" w:hAnsi="Times New Roman" w:cs="Times New Roman" w:eastAsia="Times New Roman" w:hint="default"/>
        </w:rPr>
        <w:t>1 </w:t>
      </w:r>
      <w:r>
        <w:rPr/>
        <w:t>号楼</w:t>
      </w:r>
      <w:r>
        <w:rPr>
          <w:spacing w:val="-60"/>
        </w:rPr>
        <w:t> </w:t>
      </w:r>
      <w:r>
        <w:rPr>
          <w:rFonts w:ascii="Times New Roman" w:hAnsi="Times New Roman" w:cs="Times New Roman" w:eastAsia="Times New Roman" w:hint="default"/>
        </w:rPr>
        <w:t>2404 </w:t>
      </w:r>
      <w:r>
        <w:rPr/>
        <w:t>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25 </w:t>
      </w:r>
      <w:r>
        <w:rPr/>
        <w:t>日至</w:t>
      </w:r>
    </w:p>
    <w:p>
      <w:pPr>
        <w:pStyle w:val="BodyText"/>
        <w:spacing w:line="240" w:lineRule="auto" w:before="135"/>
        <w:ind w:right="229"/>
        <w:jc w:val="left"/>
      </w:pPr>
      <w:r>
        <w:rPr>
          <w:rFonts w:ascii="Times New Roman" w:hAnsi="Times New Roman" w:cs="Times New Roman" w:eastAsia="Times New Roman" w:hint="default"/>
        </w:rPr>
        <w:t>2016 </w:t>
      </w:r>
      <w:r>
        <w:rPr/>
        <w:t>年</w:t>
      </w:r>
      <w:r>
        <w:rPr>
          <w:spacing w:val="-61"/>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24 </w:t>
      </w:r>
      <w:r>
        <w:rPr/>
        <w:t>日，月租金</w:t>
      </w:r>
      <w:r>
        <w:rPr>
          <w:spacing w:val="-60"/>
        </w:rPr>
        <w:t> </w:t>
      </w:r>
      <w:r>
        <w:rPr>
          <w:rFonts w:ascii="Times New Roman" w:hAnsi="Times New Roman" w:cs="Times New Roman" w:eastAsia="Times New Roman" w:hint="default"/>
        </w:rPr>
        <w:t>4000 </w:t>
      </w:r>
      <w:r>
        <w:rPr/>
        <w:t>元。</w:t>
      </w:r>
    </w:p>
    <w:p>
      <w:pPr>
        <w:pStyle w:val="BodyText"/>
        <w:spacing w:line="240" w:lineRule="auto" w:before="176"/>
        <w:ind w:left="617" w:right="0"/>
        <w:jc w:val="left"/>
      </w:pPr>
      <w:r>
        <w:rPr>
          <w:rFonts w:ascii="Times New Roman" w:hAnsi="Times New Roman" w:cs="Times New Roman" w:eastAsia="Times New Roman" w:hint="default"/>
        </w:rPr>
        <w:t>28</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25 </w:t>
      </w:r>
      <w:r>
        <w:rPr/>
        <w:t>日，公司与李新文签订了《房屋租赁合同</w:t>
      </w:r>
      <w:r>
        <w:rPr>
          <w:spacing w:val="-120"/>
        </w:rPr>
        <w:t>》</w:t>
      </w:r>
      <w:r>
        <w:rPr/>
        <w:t>，约定公司租赁其位于</w:t>
      </w:r>
    </w:p>
    <w:p>
      <w:pPr>
        <w:pStyle w:val="BodyText"/>
        <w:spacing w:line="240" w:lineRule="auto" w:before="135"/>
        <w:ind w:right="229"/>
        <w:jc w:val="left"/>
      </w:pPr>
      <w:r>
        <w:rPr/>
        <w:t>昆明市同德广场上北区</w:t>
      </w:r>
      <w:r>
        <w:rPr>
          <w:spacing w:val="-60"/>
        </w:rPr>
        <w:t> </w:t>
      </w:r>
      <w:r>
        <w:rPr>
          <w:rFonts w:ascii="Times New Roman" w:hAnsi="Times New Roman" w:cs="Times New Roman" w:eastAsia="Times New Roman" w:hint="default"/>
        </w:rPr>
        <w:t>2 </w:t>
      </w:r>
      <w:r>
        <w:rPr/>
        <w:t>栋</w:t>
      </w:r>
      <w:r>
        <w:rPr>
          <w:spacing w:val="-60"/>
        </w:rPr>
        <w:t> </w:t>
      </w:r>
      <w:r>
        <w:rPr>
          <w:rFonts w:ascii="Times New Roman" w:hAnsi="Times New Roman" w:cs="Times New Roman" w:eastAsia="Times New Roman" w:hint="default"/>
        </w:rPr>
        <w:t>805 </w:t>
      </w:r>
      <w:r>
        <w:rPr/>
        <w:t>号的房屋，租赁期限为</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25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5 </w:t>
      </w:r>
      <w:r>
        <w:rPr/>
        <w:t>月</w:t>
      </w:r>
    </w:p>
    <w:p>
      <w:pPr>
        <w:spacing w:after="0" w:line="240" w:lineRule="auto"/>
        <w:jc w:val="left"/>
        <w:sectPr>
          <w:footerReference w:type="default" r:id="rId27"/>
          <w:pgSz w:w="11910" w:h="16840"/>
          <w:pgMar w:footer="1085" w:header="877" w:top="1220" w:bottom="1280" w:left="1140" w:right="980"/>
          <w:pgNumType w:start="66"/>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rFonts w:ascii="Times New Roman" w:hAnsi="Times New Roman" w:cs="Times New Roman" w:eastAsia="Times New Roman" w:hint="default"/>
        </w:rPr>
        <w:t>26 </w:t>
      </w:r>
      <w:r>
        <w:rPr/>
        <w:t>日，月租金</w:t>
      </w:r>
      <w:r>
        <w:rPr>
          <w:spacing w:val="-61"/>
        </w:rPr>
        <w:t> </w:t>
      </w:r>
      <w:r>
        <w:rPr>
          <w:rFonts w:ascii="Times New Roman" w:hAnsi="Times New Roman" w:cs="Times New Roman" w:eastAsia="Times New Roman" w:hint="default"/>
        </w:rPr>
        <w:t>3250 </w:t>
      </w:r>
      <w:r>
        <w:rPr/>
        <w:t>元。</w:t>
      </w:r>
    </w:p>
    <w:p>
      <w:pPr>
        <w:pStyle w:val="BodyText"/>
        <w:spacing w:line="240" w:lineRule="auto" w:before="176"/>
        <w:ind w:left="617" w:right="229"/>
        <w:jc w:val="left"/>
      </w:pPr>
      <w:r>
        <w:rPr>
          <w:rFonts w:ascii="Times New Roman" w:hAnsi="Times New Roman" w:cs="Times New Roman" w:eastAsia="Times New Roman" w:hint="default"/>
        </w:rPr>
        <w:t>30</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t>日，公司与王康签订了《房屋租赁合同</w:t>
      </w:r>
      <w:r>
        <w:rPr>
          <w:spacing w:val="-120"/>
        </w:rPr>
        <w:t>》</w:t>
      </w:r>
      <w:r>
        <w:rPr/>
        <w:t>，约定公司租赁其位于</w:t>
      </w:r>
    </w:p>
    <w:p>
      <w:pPr>
        <w:pStyle w:val="BodyText"/>
        <w:spacing w:line="240" w:lineRule="auto" w:before="135"/>
        <w:ind w:right="229"/>
        <w:jc w:val="left"/>
      </w:pPr>
      <w:r>
        <w:rPr/>
        <w:t>成都市成华区一环路东三段新鸿南路</w:t>
      </w:r>
      <w:r>
        <w:rPr>
          <w:spacing w:val="-60"/>
        </w:rPr>
        <w:t> </w:t>
      </w:r>
      <w:r>
        <w:rPr>
          <w:rFonts w:ascii="Times New Roman" w:hAnsi="Times New Roman" w:cs="Times New Roman" w:eastAsia="Times New Roman" w:hint="default"/>
        </w:rPr>
        <w:t>86 </w:t>
      </w:r>
      <w:r>
        <w:rPr/>
        <w:t>号新鸿二区</w:t>
      </w:r>
      <w:r>
        <w:rPr>
          <w:spacing w:val="-60"/>
        </w:rPr>
        <w:t> </w:t>
      </w:r>
      <w:r>
        <w:rPr>
          <w:rFonts w:ascii="Times New Roman" w:hAnsi="Times New Roman" w:cs="Times New Roman" w:eastAsia="Times New Roman" w:hint="default"/>
        </w:rPr>
        <w:t>34 </w:t>
      </w:r>
      <w:r>
        <w:rPr/>
        <w:t>栋</w:t>
      </w:r>
      <w:r>
        <w:rPr>
          <w:spacing w:val="-60"/>
        </w:rPr>
        <w:t> </w:t>
      </w:r>
      <w:r>
        <w:rPr>
          <w:rFonts w:ascii="Times New Roman" w:hAnsi="Times New Roman" w:cs="Times New Roman" w:eastAsia="Times New Roman" w:hint="default"/>
        </w:rPr>
        <w:t>6 </w:t>
      </w:r>
      <w:r>
        <w:rPr/>
        <w:t>楼</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号的房屋，租赁期限为</w:t>
      </w:r>
    </w:p>
    <w:p>
      <w:pPr>
        <w:pStyle w:val="BodyText"/>
        <w:spacing w:line="240" w:lineRule="auto" w:before="135"/>
        <w:ind w:right="229"/>
        <w:jc w:val="left"/>
      </w:pPr>
      <w:r>
        <w:rPr>
          <w:rFonts w:ascii="Times New Roman" w:hAnsi="Times New Roman" w:cs="Times New Roman" w:eastAsia="Times New Roman" w:hint="default"/>
        </w:rPr>
        <w:t>2015 </w:t>
      </w:r>
      <w:r>
        <w:rPr/>
        <w:t>年</w:t>
      </w:r>
      <w:r>
        <w:rPr>
          <w:spacing w:val="-61"/>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15 </w:t>
      </w:r>
      <w:r>
        <w:rPr/>
        <w:t>日，月租金</w:t>
      </w:r>
      <w:r>
        <w:rPr>
          <w:spacing w:val="-60"/>
        </w:rPr>
        <w:t> </w:t>
      </w:r>
      <w:r>
        <w:rPr>
          <w:rFonts w:ascii="Times New Roman" w:hAnsi="Times New Roman" w:cs="Times New Roman" w:eastAsia="Times New Roman" w:hint="default"/>
        </w:rPr>
        <w:t>2000 </w:t>
      </w:r>
      <w:r>
        <w:rPr/>
        <w:t>元。</w:t>
      </w:r>
    </w:p>
    <w:p>
      <w:pPr>
        <w:pStyle w:val="Heading2"/>
        <w:spacing w:line="240" w:lineRule="auto" w:before="98"/>
        <w:ind w:left="1039" w:right="229"/>
        <w:jc w:val="left"/>
        <w:rPr>
          <w:b w:val="0"/>
          <w:bCs w:val="0"/>
        </w:rPr>
      </w:pPr>
      <w:r>
        <w:rPr>
          <w:rFonts w:ascii="Wingdings" w:hAnsi="Wingdings" w:cs="Wingdings" w:eastAsia="Wingdings" w:hint="default"/>
          <w:b w:val="0"/>
          <w:bCs w:val="0"/>
        </w:rPr>
        <w:t></w:t>
      </w:r>
      <w:r>
        <w:rPr>
          <w:rFonts w:ascii="Wingdings" w:hAnsi="Wingdings" w:cs="Wingdings" w:eastAsia="Wingdings" w:hint="default"/>
          <w:b w:val="0"/>
          <w:bCs w:val="0"/>
          <w:spacing w:val="-48"/>
        </w:rPr>
        <w:t></w:t>
      </w:r>
      <w:r>
        <w:rPr>
          <w:rFonts w:ascii="Times New Roman" w:hAnsi="Times New Roman" w:cs="Times New Roman" w:eastAsia="Times New Roman" w:hint="default"/>
          <w:b w:val="0"/>
          <w:bCs w:val="0"/>
          <w:spacing w:val="-48"/>
        </w:rPr>
      </w:r>
      <w:r>
        <w:rPr/>
        <w:t>公司将闲置办公用房租赁给第三方的事项</w:t>
      </w:r>
      <w:r>
        <w:rPr>
          <w:b w:val="0"/>
          <w:bCs w:val="0"/>
        </w:rPr>
      </w:r>
    </w:p>
    <w:p>
      <w:pPr>
        <w:pStyle w:val="BodyText"/>
        <w:spacing w:line="240" w:lineRule="auto" w:before="167"/>
        <w:ind w:left="617" w:right="229"/>
        <w:jc w:val="left"/>
      </w:pPr>
      <w:r>
        <w:rPr>
          <w:rFonts w:ascii="Times New Roman" w:hAnsi="Times New Roman" w:cs="Times New Roman" w:eastAsia="Times New Roman" w:hint="default"/>
          <w:w w:val="99"/>
        </w:rPr>
        <w:t>1)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2013 </w:t>
      </w:r>
      <w:r>
        <w:rPr>
          <w:w w:val="99"/>
        </w:rPr>
        <w:t>年</w:t>
      </w:r>
      <w:r>
        <w:rPr>
          <w:spacing w:val="-60"/>
          <w:w w:val="99"/>
        </w:rPr>
        <w:t> </w:t>
      </w:r>
      <w:r>
        <w:rPr>
          <w:rFonts w:ascii="Times New Roman" w:hAnsi="Times New Roman" w:cs="Times New Roman" w:eastAsia="Times New Roman" w:hint="default"/>
          <w:w w:val="99"/>
        </w:rPr>
        <w:t>5 </w:t>
      </w:r>
      <w:r>
        <w:rPr>
          <w:w w:val="99"/>
        </w:rPr>
        <w:t>月</w:t>
      </w:r>
      <w:r>
        <w:rPr>
          <w:spacing w:val="-60"/>
          <w:w w:val="99"/>
        </w:rPr>
        <w:t> </w:t>
      </w:r>
      <w:r>
        <w:rPr>
          <w:rFonts w:ascii="Times New Roman" w:hAnsi="Times New Roman" w:cs="Times New Roman" w:eastAsia="Times New Roman" w:hint="default"/>
          <w:w w:val="99"/>
        </w:rPr>
        <w:t>27 </w:t>
      </w:r>
      <w:r>
        <w:rPr>
          <w:w w:val="99"/>
        </w:rPr>
        <w:t>日，公司与光威和通能源科技有限公司签订了《房屋租赁合同</w:t>
      </w:r>
      <w:r>
        <w:rPr>
          <w:spacing w:val="-120"/>
          <w:w w:val="99"/>
        </w:rPr>
        <w:t>》</w:t>
      </w:r>
      <w:r>
        <w:rPr>
          <w:w w:val="99"/>
        </w:rPr>
        <w:t>，</w:t>
      </w:r>
      <w:r>
        <w:rPr/>
      </w:r>
    </w:p>
    <w:p>
      <w:pPr>
        <w:pStyle w:val="BodyText"/>
        <w:spacing w:line="240" w:lineRule="auto" w:before="135"/>
        <w:ind w:right="0"/>
        <w:jc w:val="left"/>
      </w:pPr>
      <w:r>
        <w:rPr/>
        <w:t>约定公司将位于北京市朝阳区酒仙桥北路甲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107 </w:t>
      </w:r>
      <w:r>
        <w:rPr/>
        <w:t>楼二层部分房屋出租给该公司，租</w:t>
      </w:r>
    </w:p>
    <w:p>
      <w:pPr>
        <w:pStyle w:val="BodyText"/>
        <w:spacing w:line="338" w:lineRule="auto" w:before="136"/>
        <w:ind w:right="330"/>
        <w:jc w:val="left"/>
      </w:pPr>
      <w:r>
        <w:rPr/>
        <w:t>赁期限为</w:t>
      </w:r>
      <w:r>
        <w:rPr>
          <w:spacing w:val="-61"/>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30 </w:t>
      </w:r>
      <w:r>
        <w:rPr/>
        <w:t>日，年租金为</w:t>
      </w:r>
      <w:r>
        <w:rPr>
          <w:spacing w:val="-60"/>
        </w:rPr>
        <w:t> </w:t>
      </w:r>
      <w:r>
        <w:rPr>
          <w:rFonts w:ascii="Times New Roman" w:hAnsi="Times New Roman" w:cs="Times New Roman" w:eastAsia="Times New Roman" w:hint="default"/>
        </w:rPr>
        <w:t>45.68 </w:t>
      </w:r>
      <w:r>
        <w:rPr/>
        <w:t>万元。报告期内，该合 同继续执行；</w:t>
      </w:r>
    </w:p>
    <w:p>
      <w:pPr>
        <w:pStyle w:val="BodyText"/>
        <w:spacing w:line="240" w:lineRule="auto" w:before="96"/>
        <w:ind w:left="617" w:right="0"/>
        <w:jc w:val="left"/>
      </w:pPr>
      <w:r>
        <w:rPr>
          <w:rFonts w:ascii="Times New Roman" w:hAnsi="Times New Roman" w:cs="Times New Roman" w:eastAsia="Times New Roman" w:hint="default"/>
          <w:w w:val="99"/>
        </w:rPr>
        <w:t>2)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2013 </w:t>
      </w:r>
      <w:r>
        <w:rPr>
          <w:w w:val="99"/>
        </w:rPr>
        <w:t>年</w:t>
      </w:r>
      <w:r>
        <w:rPr>
          <w:spacing w:val="-60"/>
          <w:w w:val="99"/>
        </w:rPr>
        <w:t> </w:t>
      </w:r>
      <w:r>
        <w:rPr>
          <w:rFonts w:ascii="Times New Roman" w:hAnsi="Times New Roman" w:cs="Times New Roman" w:eastAsia="Times New Roman" w:hint="default"/>
          <w:w w:val="99"/>
        </w:rPr>
        <w:t>12 </w:t>
      </w:r>
      <w:r>
        <w:rPr>
          <w:w w:val="99"/>
        </w:rPr>
        <w:t>月</w:t>
      </w:r>
      <w:r>
        <w:rPr>
          <w:spacing w:val="-60"/>
          <w:w w:val="99"/>
        </w:rPr>
        <w:t> </w:t>
      </w:r>
      <w:r>
        <w:rPr>
          <w:rFonts w:ascii="Times New Roman" w:hAnsi="Times New Roman" w:cs="Times New Roman" w:eastAsia="Times New Roman" w:hint="default"/>
          <w:w w:val="99"/>
        </w:rPr>
        <w:t>12 </w:t>
      </w:r>
      <w:r>
        <w:rPr>
          <w:w w:val="99"/>
        </w:rPr>
        <w:t>日，公司与北京千贺信息技术有限公司签订了《房屋租赁合同</w:t>
      </w:r>
      <w:r>
        <w:rPr>
          <w:spacing w:val="-120"/>
          <w:w w:val="99"/>
        </w:rPr>
        <w:t>》</w:t>
      </w:r>
      <w:r>
        <w:rPr>
          <w:w w:val="99"/>
        </w:rPr>
        <w:t>，</w:t>
      </w:r>
      <w:r>
        <w:rPr/>
      </w:r>
    </w:p>
    <w:p>
      <w:pPr>
        <w:pStyle w:val="BodyText"/>
        <w:spacing w:line="240" w:lineRule="auto" w:before="135"/>
        <w:ind w:right="0"/>
        <w:jc w:val="left"/>
      </w:pPr>
      <w:r>
        <w:rPr/>
        <w:t>约定公司将位于北京市朝阳区酒仙桥北路甲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201 </w:t>
      </w:r>
      <w:r>
        <w:rPr/>
        <w:t>号楼三层部分房屋出租给该公司，</w:t>
      </w:r>
    </w:p>
    <w:p>
      <w:pPr>
        <w:pStyle w:val="BodyText"/>
        <w:spacing w:line="240" w:lineRule="auto" w:before="135"/>
        <w:ind w:right="0"/>
        <w:jc w:val="left"/>
      </w:pPr>
      <w:r>
        <w:rPr/>
        <w:t>租赁期限为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24 </w:t>
      </w:r>
      <w:r>
        <w:rPr/>
        <w:t>日，年租金为</w:t>
      </w:r>
      <w:r>
        <w:rPr>
          <w:spacing w:val="-60"/>
        </w:rPr>
        <w:t> </w:t>
      </w:r>
      <w:r>
        <w:rPr>
          <w:rFonts w:ascii="Times New Roman" w:hAnsi="Times New Roman" w:cs="Times New Roman" w:eastAsia="Times New Roman" w:hint="default"/>
        </w:rPr>
        <w:t>204.31 </w:t>
      </w:r>
      <w:r>
        <w:rPr/>
        <w:t>万元。报告期内，该</w:t>
      </w:r>
    </w:p>
    <w:p>
      <w:pPr>
        <w:pStyle w:val="BodyText"/>
        <w:spacing w:line="240" w:lineRule="auto" w:before="135"/>
        <w:ind w:right="229"/>
        <w:jc w:val="left"/>
      </w:pPr>
      <w:r>
        <w:rPr/>
        <w:t>合同于</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25 </w:t>
      </w:r>
      <w:r>
        <w:rPr/>
        <w:t>日提前终止；</w:t>
      </w:r>
    </w:p>
    <w:p>
      <w:pPr>
        <w:pStyle w:val="BodyText"/>
        <w:spacing w:line="240" w:lineRule="auto" w:before="174"/>
        <w:ind w:left="617" w:right="0"/>
        <w:jc w:val="left"/>
      </w:pPr>
      <w:r>
        <w:rPr>
          <w:rFonts w:ascii="Times New Roman" w:hAnsi="Times New Roman" w:cs="Times New Roman" w:eastAsia="Times New Roman" w:hint="default"/>
          <w:w w:val="99"/>
        </w:rPr>
        <w:t>3)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2013 </w:t>
      </w:r>
      <w:r>
        <w:rPr>
          <w:w w:val="99"/>
        </w:rPr>
        <w:t>年</w:t>
      </w:r>
      <w:r>
        <w:rPr>
          <w:spacing w:val="-60"/>
          <w:w w:val="99"/>
        </w:rPr>
        <w:t> </w:t>
      </w:r>
      <w:r>
        <w:rPr>
          <w:rFonts w:ascii="Times New Roman" w:hAnsi="Times New Roman" w:cs="Times New Roman" w:eastAsia="Times New Roman" w:hint="default"/>
          <w:w w:val="99"/>
        </w:rPr>
        <w:t>10 </w:t>
      </w:r>
      <w:r>
        <w:rPr>
          <w:w w:val="99"/>
        </w:rPr>
        <w:t>月</w:t>
      </w:r>
      <w:r>
        <w:rPr>
          <w:spacing w:val="-60"/>
          <w:w w:val="99"/>
        </w:rPr>
        <w:t> </w:t>
      </w:r>
      <w:r>
        <w:rPr>
          <w:rFonts w:ascii="Times New Roman" w:hAnsi="Times New Roman" w:cs="Times New Roman" w:eastAsia="Times New Roman" w:hint="default"/>
          <w:w w:val="99"/>
        </w:rPr>
        <w:t>15 </w:t>
      </w:r>
      <w:r>
        <w:rPr>
          <w:w w:val="99"/>
        </w:rPr>
        <w:t>日，公司与北京宇信易诚科技有限公司签订了《房屋租赁合同</w:t>
      </w:r>
      <w:r>
        <w:rPr>
          <w:spacing w:val="-120"/>
          <w:w w:val="99"/>
        </w:rPr>
        <w:t>》</w:t>
      </w:r>
      <w:r>
        <w:rPr>
          <w:w w:val="99"/>
        </w:rPr>
        <w:t>，</w:t>
      </w:r>
      <w:r>
        <w:rPr/>
      </w:r>
    </w:p>
    <w:p>
      <w:pPr>
        <w:pStyle w:val="BodyText"/>
        <w:spacing w:line="240" w:lineRule="auto" w:before="135"/>
        <w:ind w:right="0"/>
        <w:jc w:val="left"/>
      </w:pPr>
      <w:r>
        <w:rPr/>
        <w:t>约定公司将位于北京市朝阳区酒仙桥北路甲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201 </w:t>
      </w:r>
      <w:r>
        <w:rPr/>
        <w:t>号楼四层部分房屋出租给该公司，</w:t>
      </w:r>
    </w:p>
    <w:p>
      <w:pPr>
        <w:pStyle w:val="BodyText"/>
        <w:spacing w:line="240" w:lineRule="auto" w:before="136"/>
        <w:ind w:right="229"/>
        <w:jc w:val="left"/>
      </w:pPr>
      <w:r>
        <w:rPr/>
        <w:t>租赁期限为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t>日，年租金为</w:t>
      </w:r>
      <w:r>
        <w:rPr>
          <w:spacing w:val="-60"/>
        </w:rPr>
        <w:t> </w:t>
      </w:r>
      <w:r>
        <w:rPr>
          <w:rFonts w:ascii="Times New Roman" w:hAnsi="Times New Roman" w:cs="Times New Roman" w:eastAsia="Times New Roman" w:hint="default"/>
        </w:rPr>
        <w:t>382.20 </w:t>
      </w:r>
      <w:r>
        <w:rPr/>
        <w:t>万元。报告期内，该</w:t>
      </w:r>
    </w:p>
    <w:p>
      <w:pPr>
        <w:pStyle w:val="BodyText"/>
        <w:spacing w:line="240" w:lineRule="auto" w:before="135"/>
        <w:ind w:right="229"/>
        <w:jc w:val="left"/>
      </w:pPr>
      <w:r>
        <w:rPr/>
        <w:t>合同于</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日提前终止；</w:t>
      </w:r>
    </w:p>
    <w:p>
      <w:pPr>
        <w:pStyle w:val="BodyText"/>
        <w:spacing w:line="240" w:lineRule="auto" w:before="176"/>
        <w:ind w:left="617" w:right="0"/>
        <w:jc w:val="left"/>
      </w:pPr>
      <w:r>
        <w:rPr>
          <w:rFonts w:ascii="Times New Roman" w:hAnsi="Times New Roman" w:cs="Times New Roman" w:eastAsia="Times New Roman" w:hint="default"/>
          <w:w w:val="99"/>
        </w:rPr>
        <w:t>4)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2013 </w:t>
      </w:r>
      <w:r>
        <w:rPr>
          <w:w w:val="99"/>
        </w:rPr>
        <w:t>年</w:t>
      </w:r>
      <w:r>
        <w:rPr>
          <w:spacing w:val="-60"/>
          <w:w w:val="99"/>
        </w:rPr>
        <w:t> </w:t>
      </w:r>
      <w:r>
        <w:rPr>
          <w:rFonts w:ascii="Times New Roman" w:hAnsi="Times New Roman" w:cs="Times New Roman" w:eastAsia="Times New Roman" w:hint="default"/>
          <w:w w:val="99"/>
        </w:rPr>
        <w:t>10 </w:t>
      </w:r>
      <w:r>
        <w:rPr>
          <w:w w:val="99"/>
        </w:rPr>
        <w:t>月</w:t>
      </w:r>
      <w:r>
        <w:rPr>
          <w:spacing w:val="-60"/>
          <w:w w:val="99"/>
        </w:rPr>
        <w:t> </w:t>
      </w:r>
      <w:r>
        <w:rPr>
          <w:rFonts w:ascii="Times New Roman" w:hAnsi="Times New Roman" w:cs="Times New Roman" w:eastAsia="Times New Roman" w:hint="default"/>
          <w:w w:val="99"/>
        </w:rPr>
        <w:t>15 </w:t>
      </w:r>
      <w:r>
        <w:rPr>
          <w:w w:val="99"/>
        </w:rPr>
        <w:t>日，公司与北京东方园林股份有限公司签订了《房屋租赁合同</w:t>
      </w:r>
      <w:r>
        <w:rPr>
          <w:spacing w:val="-120"/>
          <w:w w:val="99"/>
        </w:rPr>
        <w:t>》</w:t>
      </w:r>
      <w:r>
        <w:rPr>
          <w:w w:val="99"/>
        </w:rPr>
        <w:t>，</w:t>
      </w:r>
      <w:r>
        <w:rPr/>
      </w:r>
    </w:p>
    <w:p>
      <w:pPr>
        <w:pStyle w:val="BodyText"/>
        <w:spacing w:line="240" w:lineRule="auto" w:before="135"/>
        <w:ind w:right="0"/>
        <w:jc w:val="left"/>
      </w:pPr>
      <w:r>
        <w:rPr/>
        <w:t>约定公司将位于北京市朝阳区酒仙桥北路甲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107 </w:t>
      </w:r>
      <w:r>
        <w:rPr/>
        <w:t>楼三层部分房屋出租给该公司，租</w:t>
      </w:r>
    </w:p>
    <w:p>
      <w:pPr>
        <w:pStyle w:val="BodyText"/>
        <w:spacing w:line="338" w:lineRule="auto" w:before="135"/>
        <w:ind w:right="330"/>
        <w:jc w:val="left"/>
      </w:pPr>
      <w:r>
        <w:rPr/>
        <w:t>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31 </w:t>
      </w:r>
      <w:r>
        <w:rPr/>
        <w:t>日，年租金为</w:t>
      </w:r>
      <w:r>
        <w:rPr>
          <w:spacing w:val="-60"/>
        </w:rPr>
        <w:t> </w:t>
      </w:r>
      <w:r>
        <w:rPr>
          <w:rFonts w:ascii="Times New Roman" w:hAnsi="Times New Roman" w:cs="Times New Roman" w:eastAsia="Times New Roman" w:hint="default"/>
        </w:rPr>
        <w:t>290.76 </w:t>
      </w:r>
      <w:r>
        <w:rPr/>
        <w:t>万元。报告期内，该合 同继续执行；</w:t>
      </w:r>
    </w:p>
    <w:p>
      <w:pPr>
        <w:pStyle w:val="BodyText"/>
        <w:spacing w:line="240" w:lineRule="auto" w:before="96"/>
        <w:ind w:left="617" w:right="229"/>
        <w:jc w:val="left"/>
      </w:pPr>
      <w:r>
        <w:rPr>
          <w:rFonts w:ascii="Times New Roman" w:hAnsi="Times New Roman" w:cs="Times New Roman" w:eastAsia="Times New Roman" w:hint="default"/>
          <w:w w:val="99"/>
        </w:rPr>
        <w:t>5)  </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w w:val="99"/>
        </w:rPr>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17 </w:t>
      </w:r>
      <w:r>
        <w:rPr>
          <w:w w:val="99"/>
        </w:rPr>
        <w:t>日，公司与北京东方园林股份有限公司签订了《房屋租赁合同</w:t>
      </w:r>
      <w:r>
        <w:rPr>
          <w:spacing w:val="-120"/>
          <w:w w:val="99"/>
        </w:rPr>
        <w:t>》</w:t>
      </w:r>
      <w:r>
        <w:rPr>
          <w:w w:val="99"/>
        </w:rPr>
        <w:t>，</w:t>
      </w:r>
      <w:r>
        <w:rPr/>
      </w:r>
    </w:p>
    <w:p>
      <w:pPr>
        <w:pStyle w:val="BodyText"/>
        <w:spacing w:line="240" w:lineRule="auto" w:before="136"/>
        <w:ind w:right="0"/>
        <w:jc w:val="left"/>
      </w:pPr>
      <w:r>
        <w:rPr/>
        <w:t>约定公司将位于北京市朝阳区酒仙桥北路甲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107 </w:t>
      </w:r>
      <w:r>
        <w:rPr/>
        <w:t>楼四层部分房屋出租给该公司，租</w:t>
      </w:r>
    </w:p>
    <w:p>
      <w:pPr>
        <w:pStyle w:val="BodyText"/>
        <w:spacing w:line="338" w:lineRule="auto" w:before="135"/>
        <w:ind w:right="330"/>
        <w:jc w:val="left"/>
      </w:pPr>
      <w:r>
        <w:rPr/>
        <w:t>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日，年租金为</w:t>
      </w:r>
      <w:r>
        <w:rPr>
          <w:spacing w:val="-60"/>
        </w:rPr>
        <w:t> </w:t>
      </w:r>
      <w:r>
        <w:rPr>
          <w:rFonts w:ascii="Times New Roman" w:hAnsi="Times New Roman" w:cs="Times New Roman" w:eastAsia="Times New Roman" w:hint="default"/>
        </w:rPr>
        <w:t>290.76 </w:t>
      </w:r>
      <w:r>
        <w:rPr/>
        <w:t>万元。报告期内，该合 同继续执行；</w:t>
      </w:r>
    </w:p>
    <w:p>
      <w:pPr>
        <w:pStyle w:val="BodyText"/>
        <w:spacing w:line="345" w:lineRule="auto" w:before="94"/>
        <w:ind w:right="149" w:firstLine="48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12 </w:t>
      </w:r>
      <w:r>
        <w:rPr/>
        <w:t>日，公司分别与北京立思辰新技术有限公司、北京立思辰通信技术</w:t>
      </w:r>
      <w:r>
        <w:rPr>
          <w:w w:val="99"/>
        </w:rPr>
        <w:t> </w:t>
      </w:r>
      <w:r>
        <w:rPr>
          <w:spacing w:val="-3"/>
          <w:w w:val="99"/>
        </w:rPr>
        <w:t>有限公司、北京祥网瑞数字技术有限公司签订了《房屋租赁合同》，约定公司将位于北京市</w:t>
      </w:r>
      <w:r>
        <w:rPr>
          <w:w w:val="99"/>
        </w:rPr>
        <w:t> </w:t>
      </w:r>
      <w:r>
        <w:rPr/>
        <w:t>海淀区学清路</w:t>
      </w:r>
      <w:r>
        <w:rPr>
          <w:spacing w:val="-61"/>
        </w:rPr>
        <w:t> </w:t>
      </w:r>
      <w:r>
        <w:rPr>
          <w:rFonts w:ascii="Times New Roman" w:hAnsi="Times New Roman" w:cs="Times New Roman" w:eastAsia="Times New Roman" w:hint="default"/>
        </w:rPr>
        <w:t>8 </w:t>
      </w:r>
      <w:r>
        <w:rPr/>
        <w:t>号科技财富中心</w:t>
      </w:r>
      <w:r>
        <w:rPr>
          <w:spacing w:val="-60"/>
        </w:rPr>
        <w:t> </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座</w:t>
      </w:r>
      <w:r>
        <w:rPr>
          <w:spacing w:val="-60"/>
        </w:rPr>
        <w:t> </w:t>
      </w:r>
      <w:r>
        <w:rPr>
          <w:rFonts w:ascii="Times New Roman" w:hAnsi="Times New Roman" w:cs="Times New Roman" w:eastAsia="Times New Roman" w:hint="default"/>
        </w:rPr>
        <w:t>702</w:t>
      </w:r>
      <w:r>
        <w:rPr/>
        <w:t>、</w:t>
      </w:r>
      <w:r>
        <w:rPr>
          <w:rFonts w:ascii="Times New Roman" w:hAnsi="Times New Roman" w:cs="Times New Roman" w:eastAsia="Times New Roman" w:hint="default"/>
        </w:rPr>
        <w:t>703</w:t>
      </w:r>
      <w:r>
        <w:rPr/>
        <w:t>、</w:t>
      </w:r>
      <w:r>
        <w:rPr>
          <w:rFonts w:ascii="Times New Roman" w:hAnsi="Times New Roman" w:cs="Times New Roman" w:eastAsia="Times New Roman" w:hint="default"/>
        </w:rPr>
        <w:t>704 </w:t>
      </w:r>
      <w:r>
        <w:rPr/>
        <w:t>号房屋出租给该公司，租赁期限为</w:t>
      </w:r>
      <w:r>
        <w:rPr>
          <w:w w:val="99"/>
        </w:rPr>
        <w:t> </w:t>
      </w:r>
      <w:r>
        <w:rPr>
          <w:rFonts w:ascii="Times New Roman" w:hAnsi="Times New Roman" w:cs="Times New Roman" w:eastAsia="Times New Roman" w:hint="default"/>
        </w:rPr>
        <w:t>2014 </w:t>
      </w:r>
      <w:r>
        <w:rPr/>
        <w:t>年</w:t>
      </w:r>
      <w:r>
        <w:rPr>
          <w:spacing w:val="-61"/>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30</w:t>
      </w:r>
      <w:r>
        <w:rPr/>
        <w:t>，年租金合计为</w:t>
      </w:r>
      <w:r>
        <w:rPr>
          <w:spacing w:val="-60"/>
        </w:rPr>
        <w:t> </w:t>
      </w:r>
      <w:r>
        <w:rPr>
          <w:rFonts w:ascii="Times New Roman" w:hAnsi="Times New Roman" w:cs="Times New Roman" w:eastAsia="Times New Roman" w:hint="default"/>
        </w:rPr>
        <w:t>233.92 </w:t>
      </w:r>
      <w:r>
        <w:rPr/>
        <w:t>万元。报告期内，该合同继续执</w:t>
      </w:r>
    </w:p>
    <w:p>
      <w:pPr>
        <w:spacing w:after="0" w:line="345" w:lineRule="auto"/>
        <w:jc w:val="left"/>
        <w:sectPr>
          <w:footerReference w:type="default" r:id="rId28"/>
          <w:pgSz w:w="11910" w:h="16840"/>
          <w:pgMar w:footer="1085" w:header="877" w:top="1220" w:bottom="1280" w:left="1140" w:right="980"/>
          <w:pgNumType w:start="67"/>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t>行。</w:t>
      </w:r>
    </w:p>
    <w:p>
      <w:pPr>
        <w:pStyle w:val="BodyText"/>
        <w:spacing w:line="338" w:lineRule="auto" w:before="194"/>
        <w:ind w:right="226" w:firstLine="480"/>
        <w:jc w:val="both"/>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 </w:t>
      </w:r>
      <w:r>
        <w:rPr>
          <w:spacing w:val="-4"/>
        </w:rPr>
        <w:t>日，公司与北京瑞华康源科技有限公司签订了《房屋租赁合同》，约</w:t>
      </w:r>
      <w:r>
        <w:rPr/>
        <w:t> 定将公司位于北京市朝阳区酒仙桥北路甲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107 </w:t>
      </w:r>
      <w:r>
        <w:rPr/>
        <w:t>楼</w:t>
      </w:r>
      <w:r>
        <w:rPr>
          <w:spacing w:val="-6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 </w:t>
      </w:r>
      <w:r>
        <w:rPr/>
        <w:t>层部分房间出租该公司，租 赁期限为</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日，年租金为</w:t>
      </w:r>
      <w:r>
        <w:rPr>
          <w:spacing w:val="-60"/>
        </w:rPr>
        <w:t> </w:t>
      </w:r>
      <w:r>
        <w:rPr>
          <w:rFonts w:ascii="Times New Roman" w:hAnsi="Times New Roman" w:cs="Times New Roman" w:eastAsia="Times New Roman" w:hint="default"/>
        </w:rPr>
        <w:t>185.6 </w:t>
      </w:r>
      <w:r>
        <w:rPr/>
        <w:t>万元。</w:t>
      </w:r>
    </w:p>
    <w:p>
      <w:pPr>
        <w:pStyle w:val="BodyText"/>
        <w:spacing w:line="338" w:lineRule="auto" w:before="27"/>
        <w:ind w:right="214" w:firstLine="48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日，公司与书易嘉艺术设计（北京）有限公司签订了《房屋租赁合 </w:t>
      </w:r>
      <w:r>
        <w:rPr>
          <w:spacing w:val="-6"/>
        </w:rPr>
        <w:t>同》，约定将公司位于北京市朝阳区酒仙桥北路甲</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号院</w:t>
      </w:r>
      <w:r>
        <w:rPr>
          <w:spacing w:val="-59"/>
        </w:rPr>
        <w:t> </w:t>
      </w:r>
      <w:r>
        <w:rPr>
          <w:rFonts w:ascii="Times New Roman" w:hAnsi="Times New Roman" w:cs="Times New Roman" w:eastAsia="Times New Roman" w:hint="default"/>
        </w:rPr>
        <w:t>107</w:t>
      </w:r>
      <w:r>
        <w:rPr>
          <w:rFonts w:ascii="Times New Roman" w:hAnsi="Times New Roman" w:cs="Times New Roman" w:eastAsia="Times New Roman" w:hint="default"/>
          <w:spacing w:val="1"/>
        </w:rPr>
        <w:t> </w:t>
      </w:r>
      <w:r>
        <w:rPr/>
        <w:t>楼二层</w:t>
      </w:r>
      <w:r>
        <w:rPr>
          <w:spacing w:val="-59"/>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区房间出租该公</w:t>
      </w:r>
      <w:r>
        <w:rPr>
          <w:spacing w:val="-115"/>
        </w:rPr>
        <w:t> </w:t>
      </w:r>
      <w:r>
        <w:rPr/>
        <w:t>司，租赁期限为</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日，年租金为</w:t>
      </w:r>
      <w:r>
        <w:rPr>
          <w:spacing w:val="-60"/>
        </w:rPr>
        <w:t> </w:t>
      </w:r>
      <w:r>
        <w:rPr>
          <w:rFonts w:ascii="Times New Roman" w:hAnsi="Times New Roman" w:cs="Times New Roman" w:eastAsia="Times New Roman" w:hint="default"/>
        </w:rPr>
        <w:t>48 </w:t>
      </w:r>
      <w:r>
        <w:rPr/>
        <w:t>万元。</w:t>
      </w:r>
    </w:p>
    <w:p>
      <w:pPr>
        <w:pStyle w:val="BodyText"/>
        <w:spacing w:line="240" w:lineRule="auto" w:before="27"/>
        <w:ind w:left="617" w:right="229"/>
        <w:jc w:val="left"/>
      </w:pPr>
      <w:r>
        <w:rPr>
          <w:rFonts w:ascii="Times New Roman" w:hAnsi="Times New Roman" w:cs="Times New Roman" w:eastAsia="Times New Roman" w:hint="default"/>
        </w:rPr>
        <w:t>9</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20 </w:t>
      </w:r>
      <w:r>
        <w:rPr/>
        <w:t>日，公司与神州优车股份有限公司签订了《房屋租赁合同</w:t>
      </w:r>
      <w:r>
        <w:rPr>
          <w:spacing w:val="-120"/>
        </w:rPr>
        <w:t>》</w:t>
      </w:r>
      <w:r>
        <w:rPr/>
        <w:t>，约定</w:t>
      </w:r>
    </w:p>
    <w:p>
      <w:pPr>
        <w:pStyle w:val="BodyText"/>
        <w:spacing w:line="240" w:lineRule="auto" w:before="135"/>
        <w:ind w:right="229"/>
        <w:jc w:val="left"/>
      </w:pPr>
      <w:r>
        <w:rPr/>
        <w:t>将公司位于北京市朝阳区酒仙桥北路甲</w:t>
      </w:r>
      <w:r>
        <w:rPr>
          <w:spacing w:val="-60"/>
        </w:rPr>
        <w:t> </w:t>
      </w:r>
      <w:r>
        <w:rPr>
          <w:rFonts w:ascii="Times New Roman" w:hAnsi="Times New Roman" w:cs="Times New Roman" w:eastAsia="Times New Roman" w:hint="default"/>
        </w:rPr>
        <w:t>10 </w:t>
      </w:r>
      <w:r>
        <w:rPr/>
        <w:t>号院</w:t>
      </w:r>
      <w:r>
        <w:rPr>
          <w:spacing w:val="-60"/>
        </w:rPr>
        <w:t> </w:t>
      </w:r>
      <w:r>
        <w:rPr>
          <w:rFonts w:ascii="Times New Roman" w:hAnsi="Times New Roman" w:cs="Times New Roman" w:eastAsia="Times New Roman" w:hint="default"/>
        </w:rPr>
        <w:t>201 </w:t>
      </w:r>
      <w:r>
        <w:rPr/>
        <w:t>楼三层</w:t>
      </w:r>
      <w:r>
        <w:rPr>
          <w:spacing w:val="-60"/>
        </w:rPr>
        <w:t> </w:t>
      </w:r>
      <w:r>
        <w:rPr>
          <w:rFonts w:ascii="Times New Roman" w:hAnsi="Times New Roman" w:cs="Times New Roman" w:eastAsia="Times New Roman" w:hint="default"/>
        </w:rPr>
        <w:t>3C 304 </w:t>
      </w:r>
      <w:r>
        <w:rPr/>
        <w:t>房间房屋出租该公司，</w:t>
      </w:r>
    </w:p>
    <w:p>
      <w:pPr>
        <w:pStyle w:val="BodyText"/>
        <w:spacing w:line="240" w:lineRule="auto" w:before="135"/>
        <w:ind w:right="229"/>
        <w:jc w:val="left"/>
      </w:pPr>
      <w:r>
        <w:rPr/>
        <w:t>租赁期限为</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 </w:t>
      </w:r>
      <w:r>
        <w:rPr/>
        <w:t>日，年租金为</w:t>
      </w:r>
      <w:r>
        <w:rPr>
          <w:spacing w:val="-60"/>
        </w:rPr>
        <w:t> </w:t>
      </w:r>
      <w:r>
        <w:rPr>
          <w:rFonts w:ascii="Times New Roman" w:hAnsi="Times New Roman" w:cs="Times New Roman" w:eastAsia="Times New Roman" w:hint="default"/>
        </w:rPr>
        <w:t>256.7 </w:t>
      </w:r>
      <w:r>
        <w:rPr/>
        <w:t>万元。</w:t>
      </w:r>
    </w:p>
    <w:p>
      <w:pPr>
        <w:pStyle w:val="BodyText"/>
        <w:spacing w:line="240" w:lineRule="auto" w:before="135"/>
        <w:ind w:left="617" w:right="229"/>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w:t>
      </w:r>
      <w:r>
        <w:rPr>
          <w:rFonts w:ascii="宋体" w:hAnsi="宋体" w:cs="宋体" w:eastAsia="宋体" w:hint="default"/>
        </w:rPr>
        <w:t>015</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日，公司与北京壹代家庭服务有限公司签订了《房屋租赁合</w:t>
      </w:r>
    </w:p>
    <w:p>
      <w:pPr>
        <w:pStyle w:val="BodyText"/>
        <w:spacing w:line="240" w:lineRule="auto" w:before="135"/>
        <w:ind w:right="229"/>
        <w:jc w:val="left"/>
      </w:pPr>
      <w:r>
        <w:rPr/>
        <w:t>同</w:t>
      </w:r>
      <w:r>
        <w:rPr>
          <w:spacing w:val="-120"/>
        </w:rPr>
        <w:t>》</w:t>
      </w:r>
      <w:r>
        <w:rPr/>
        <w:t>，约定将公司位于北京市朝阳区酒仙桥北路甲</w:t>
      </w:r>
      <w:r>
        <w:rPr>
          <w:spacing w:val="-60"/>
        </w:rPr>
        <w:t> </w:t>
      </w:r>
      <w:r>
        <w:rPr>
          <w:rFonts w:ascii="宋体" w:hAnsi="宋体" w:cs="宋体" w:eastAsia="宋体" w:hint="default"/>
        </w:rPr>
        <w:t>10</w:t>
      </w:r>
      <w:r>
        <w:rPr>
          <w:rFonts w:ascii="宋体" w:hAnsi="宋体" w:cs="宋体" w:eastAsia="宋体" w:hint="default"/>
          <w:spacing w:val="-60"/>
        </w:rPr>
        <w:t> </w:t>
      </w:r>
      <w:r>
        <w:rPr/>
        <w:t>号院</w:t>
      </w:r>
      <w:r>
        <w:rPr>
          <w:spacing w:val="-60"/>
        </w:rPr>
        <w:t> </w:t>
      </w:r>
      <w:r>
        <w:rPr>
          <w:rFonts w:ascii="宋体" w:hAnsi="宋体" w:cs="宋体" w:eastAsia="宋体" w:hint="default"/>
        </w:rPr>
        <w:t>201</w:t>
      </w:r>
      <w:r>
        <w:rPr>
          <w:rFonts w:ascii="宋体" w:hAnsi="宋体" w:cs="宋体" w:eastAsia="宋体" w:hint="default"/>
          <w:spacing w:val="-60"/>
        </w:rPr>
        <w:t> </w:t>
      </w:r>
      <w:r>
        <w:rPr/>
        <w:t>楼四层</w:t>
      </w:r>
      <w:r>
        <w:rPr>
          <w:spacing w:val="-60"/>
        </w:rPr>
        <w:t> </w:t>
      </w:r>
      <w:r>
        <w:rPr>
          <w:rFonts w:ascii="宋体" w:hAnsi="宋体" w:cs="宋体" w:eastAsia="宋体" w:hint="default"/>
        </w:rPr>
        <w:t>405</w:t>
      </w:r>
      <w:r>
        <w:rPr>
          <w:rFonts w:ascii="宋体" w:hAnsi="宋体" w:cs="宋体" w:eastAsia="宋体" w:hint="default"/>
          <w:spacing w:val="-60"/>
        </w:rPr>
        <w:t> </w:t>
      </w:r>
      <w:r>
        <w:rPr/>
        <w:t>房间房屋出租该</w:t>
      </w:r>
    </w:p>
    <w:p>
      <w:pPr>
        <w:pStyle w:val="BodyText"/>
        <w:spacing w:line="357" w:lineRule="auto" w:before="154"/>
        <w:ind w:left="617" w:right="990" w:hanging="480"/>
        <w:jc w:val="left"/>
      </w:pPr>
      <w:r>
        <w:rPr/>
        <w:t>公司，租赁期限为</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日至</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日，季度租金为</w:t>
      </w:r>
      <w:r>
        <w:rPr>
          <w:spacing w:val="-60"/>
        </w:rPr>
        <w:t> </w:t>
      </w:r>
      <w:r>
        <w:rPr>
          <w:rFonts w:ascii="宋体" w:hAnsi="宋体" w:cs="宋体" w:eastAsia="宋体" w:hint="default"/>
        </w:rPr>
        <w:t>30</w:t>
      </w:r>
      <w:r>
        <w:rPr>
          <w:rFonts w:ascii="宋体" w:hAnsi="宋体" w:cs="宋体" w:eastAsia="宋体" w:hint="default"/>
          <w:spacing w:val="-60"/>
        </w:rPr>
        <w:t> </w:t>
      </w:r>
      <w:r>
        <w:rPr/>
        <w:t>万元。 为公司带来的损益达到公司报告期利润总额</w:t>
      </w:r>
      <w:r>
        <w:rPr>
          <w:spacing w:val="-62"/>
        </w:rPr>
        <w:t> </w:t>
      </w:r>
      <w:r>
        <w:rPr>
          <w:rFonts w:ascii="Calibri" w:hAnsi="Calibri" w:cs="Calibri" w:eastAsia="Calibri" w:hint="default"/>
        </w:rPr>
        <w:t>10%</w:t>
      </w:r>
      <w:r>
        <w:rPr/>
        <w:t>以上的项目</w:t>
      </w:r>
    </w:p>
    <w:p>
      <w:pPr>
        <w:pStyle w:val="BodyText"/>
        <w:spacing w:line="324" w:lineRule="exact" w:before="0"/>
        <w:ind w:left="617" w:right="229"/>
        <w:jc w:val="left"/>
      </w:pPr>
      <w:r>
        <w:rPr>
          <w:rFonts w:ascii="Calibri" w:hAnsi="Calibri" w:cs="Calibri" w:eastAsia="Calibri" w:hint="default"/>
        </w:rPr>
        <w:t>□</w:t>
      </w:r>
      <w:r>
        <w:rPr/>
        <w:t>适用</w:t>
      </w:r>
      <w:r>
        <w:rPr>
          <w:spacing w:val="-2"/>
        </w:rPr>
        <w:t> </w:t>
      </w:r>
      <w:r>
        <w:rPr>
          <w:rFonts w:ascii="Calibri" w:hAnsi="Calibri" w:cs="Calibri" w:eastAsia="Calibri" w:hint="default"/>
        </w:rPr>
        <w:t>√</w:t>
      </w:r>
      <w:r>
        <w:rPr/>
        <w:t>不适用</w:t>
      </w:r>
    </w:p>
    <w:p>
      <w:pPr>
        <w:spacing w:line="240" w:lineRule="auto" w:before="7"/>
        <w:rPr>
          <w:rFonts w:ascii="宋体" w:hAnsi="宋体" w:cs="宋体" w:eastAsia="宋体" w:hint="default"/>
          <w:sz w:val="26"/>
          <w:szCs w:val="26"/>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602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公司报告期不存在担保情况。</w:t>
      </w:r>
    </w:p>
    <w:p>
      <w:pPr>
        <w:spacing w:line="240" w:lineRule="auto" w:before="3"/>
        <w:rPr>
          <w:rFonts w:ascii="宋体" w:hAnsi="宋体" w:cs="宋体" w:eastAsia="宋体" w:hint="default"/>
          <w:sz w:val="22"/>
          <w:szCs w:val="22"/>
        </w:rPr>
      </w:pPr>
    </w:p>
    <w:p>
      <w:pPr>
        <w:pStyle w:val="Heading2"/>
        <w:spacing w:line="240" w:lineRule="auto"/>
        <w:ind w:left="137" w:right="229"/>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before="0"/>
        <w:ind w:left="137" w:right="22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）委托理财情况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24"/>
          <w:szCs w:val="24"/>
        </w:rPr>
      </w:pPr>
    </w:p>
    <w:p>
      <w:pPr>
        <w:pStyle w:val="BodyText"/>
        <w:spacing w:line="326" w:lineRule="auto" w:before="0"/>
        <w:ind w:left="617" w:right="602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公司报告期不存在委托理财。</w:t>
      </w:r>
    </w:p>
    <w:p>
      <w:pPr>
        <w:spacing w:line="240" w:lineRule="auto" w:before="3"/>
        <w:rPr>
          <w:rFonts w:ascii="宋体" w:hAnsi="宋体" w:cs="宋体" w:eastAsia="宋体" w:hint="default"/>
          <w:sz w:val="22"/>
          <w:szCs w:val="22"/>
        </w:rPr>
      </w:pPr>
    </w:p>
    <w:p>
      <w:pPr>
        <w:pStyle w:val="Heading2"/>
        <w:spacing w:line="240" w:lineRule="auto"/>
        <w:ind w:left="137" w:right="229"/>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602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公司报告期不存在委托贷款。</w:t>
      </w:r>
    </w:p>
    <w:p>
      <w:pPr>
        <w:spacing w:after="0" w:line="326"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26" w:lineRule="auto" w:before="0"/>
        <w:ind w:left="617" w:right="55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公司报告期不存在其他重大合同。</w:t>
      </w:r>
    </w:p>
    <w:p>
      <w:pPr>
        <w:pStyle w:val="Heading2"/>
        <w:spacing w:line="240" w:lineRule="auto" w:before="214"/>
        <w:ind w:left="137" w:right="229"/>
        <w:jc w:val="left"/>
        <w:rPr>
          <w:b w:val="0"/>
          <w:bCs w:val="0"/>
        </w:rPr>
      </w:pPr>
      <w:bookmarkStart w:name="_bookmark42" w:id="43"/>
      <w:bookmarkEnd w:id="43"/>
      <w:r>
        <w:rPr>
          <w:b w:val="0"/>
          <w:bCs w:val="0"/>
        </w:rPr>
      </w:r>
      <w:r>
        <w:rPr/>
        <w:t>十七、其他重大事项的说明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before="0"/>
        <w:ind w:left="617" w:right="43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公司报告期不存在需要说明的其他重大事项。</w:t>
      </w:r>
    </w:p>
    <w:p>
      <w:pPr>
        <w:pStyle w:val="Heading2"/>
        <w:spacing w:line="240" w:lineRule="auto" w:before="215"/>
        <w:ind w:left="137" w:right="229"/>
        <w:jc w:val="left"/>
        <w:rPr>
          <w:b w:val="0"/>
          <w:bCs w:val="0"/>
        </w:rPr>
      </w:pPr>
      <w:bookmarkStart w:name="_bookmark43" w:id="44"/>
      <w:bookmarkEnd w:id="44"/>
      <w:r>
        <w:rPr>
          <w:b w:val="0"/>
          <w:bCs w:val="0"/>
        </w:rPr>
      </w:r>
      <w:r>
        <w:rPr/>
        <w:t>十八、公司子公司重大事项</w:t>
      </w:r>
      <w:r>
        <w:rPr>
          <w:b w:val="0"/>
          <w:bCs w:val="0"/>
        </w:rPr>
      </w:r>
    </w:p>
    <w:p>
      <w:pPr>
        <w:spacing w:line="240" w:lineRule="auto" w:before="17"/>
        <w:rPr>
          <w:rFonts w:ascii="Microsoft JhengHei" w:hAnsi="Microsoft JhengHei" w:cs="Microsoft JhengHei" w:eastAsia="Microsoft JhengHei" w:hint="default"/>
          <w:b/>
          <w:bCs/>
          <w:sz w:val="19"/>
          <w:szCs w:val="19"/>
        </w:rPr>
      </w:pPr>
    </w:p>
    <w:p>
      <w:pPr>
        <w:spacing w:line="427" w:lineRule="auto" w:before="0"/>
        <w:ind w:left="137" w:right="650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0"/>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44" w:id="45"/>
      <w:bookmarkEnd w:id="45"/>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十九、社会责任情况</w:t>
      </w:r>
      <w:r>
        <w:rPr>
          <w:rFonts w:ascii="Microsoft JhengHei" w:hAnsi="Microsoft JhengHei" w:cs="Microsoft JhengHei" w:eastAsia="Microsoft JhengHei" w:hint="default"/>
          <w:sz w:val="24"/>
          <w:szCs w:val="24"/>
        </w:rPr>
      </w:r>
    </w:p>
    <w:p>
      <w:pPr>
        <w:pStyle w:val="BodyText"/>
        <w:tabs>
          <w:tab w:pos="1457" w:val="left" w:leader="none"/>
        </w:tabs>
        <w:spacing w:line="326" w:lineRule="auto" w:before="101"/>
        <w:ind w:left="617" w:right="526"/>
        <w:jc w:val="left"/>
      </w:pPr>
      <w:r>
        <w:rPr>
          <w:rFonts w:ascii="Calibri" w:hAnsi="Calibri" w:cs="Calibri" w:eastAsia="Calibri" w:hint="default"/>
          <w:w w:val="95"/>
        </w:rPr>
        <w:t>√</w:t>
      </w:r>
      <w:r>
        <w:rPr>
          <w:w w:val="95"/>
        </w:rPr>
        <w:t>适用</w:t>
        <w:tab/>
      </w:r>
      <w:r>
        <w:rPr>
          <w:rFonts w:ascii="Calibri" w:hAnsi="Calibri" w:cs="Calibri" w:eastAsia="Calibri" w:hint="default"/>
        </w:rPr>
        <w:t>□</w:t>
      </w:r>
      <w:r>
        <w:rPr/>
        <w:t>不适用</w:t>
      </w:r>
      <w:r>
        <w:rPr>
          <w:w w:val="99"/>
        </w:rPr>
        <w:t> </w:t>
      </w:r>
      <w:r>
        <w:rPr/>
        <w:t>公司立足于可持续发展战略，秉承“诚信”的经营理念，在与产业链上各方的合作</w:t>
      </w:r>
    </w:p>
    <w:p>
      <w:pPr>
        <w:pStyle w:val="BodyText"/>
        <w:spacing w:line="357" w:lineRule="auto" w:before="68"/>
        <w:ind w:right="226"/>
        <w:jc w:val="left"/>
      </w:pPr>
      <w:r>
        <w:rPr/>
        <w:t>中，充分尊重对方的知识产权、企业信息、个人隐私等合法权益，公平、公正的开展交 易，严格按照约定忠实履行合同，恪守商业信用，遇到问题及时反馈、沟通，使得各方的 合法利益得到保障，形成共赢的局面。</w:t>
      </w:r>
      <w:r>
        <w:rPr>
          <w:rFonts w:ascii="宋体" w:hAnsi="宋体" w:cs="宋体" w:eastAsia="宋体" w:hint="default"/>
        </w:rPr>
        <w:t>2015</w:t>
      </w:r>
      <w:r>
        <w:rPr>
          <w:rFonts w:ascii="宋体" w:hAnsi="宋体" w:cs="宋体" w:eastAsia="宋体" w:hint="default"/>
          <w:spacing w:val="-60"/>
        </w:rPr>
        <w:t> </w:t>
      </w:r>
      <w:r>
        <w:rPr/>
        <w:t>年公司被评为</w:t>
      </w:r>
      <w:r>
        <w:rPr>
          <w:spacing w:val="-60"/>
        </w:rPr>
        <w:t> </w:t>
      </w:r>
      <w:r>
        <w:rPr>
          <w:rFonts w:ascii="宋体" w:hAnsi="宋体" w:cs="宋体" w:eastAsia="宋体" w:hint="default"/>
        </w:rPr>
        <w:t>AAA</w:t>
      </w:r>
      <w:r>
        <w:rPr>
          <w:rFonts w:ascii="宋体" w:hAnsi="宋体" w:cs="宋体" w:eastAsia="宋体" w:hint="default"/>
          <w:spacing w:val="-60"/>
        </w:rPr>
        <w:t> </w:t>
      </w:r>
      <w:r>
        <w:rPr/>
        <w:t>重合同守信用企业、中关村 信用培育双百工程</w:t>
      </w:r>
      <w:r>
        <w:rPr>
          <w:rFonts w:ascii="宋体" w:hAnsi="宋体" w:cs="宋体" w:eastAsia="宋体" w:hint="default"/>
        </w:rPr>
        <w:t>-</w:t>
      </w:r>
      <w:r>
        <w:rPr/>
        <w:t>百家最具影响力信用企业。</w:t>
      </w:r>
    </w:p>
    <w:p>
      <w:pPr>
        <w:pStyle w:val="BodyText"/>
        <w:spacing w:line="357" w:lineRule="auto"/>
        <w:ind w:right="209" w:firstLine="480"/>
        <w:jc w:val="left"/>
      </w:pPr>
      <w:r>
        <w:rPr/>
        <w:t>公司实行持续、稳定的利润分配政策，重视对投资者的合理投资回报。</w:t>
      </w:r>
      <w:r>
        <w:rPr>
          <w:rFonts w:ascii="宋体" w:hAnsi="宋体" w:cs="宋体" w:eastAsia="宋体" w:hint="default"/>
        </w:rPr>
        <w:t>2015</w:t>
      </w:r>
      <w:r>
        <w:rPr>
          <w:rFonts w:ascii="宋体" w:hAnsi="宋体" w:cs="宋体" w:eastAsia="宋体" w:hint="default"/>
          <w:spacing w:val="-60"/>
        </w:rPr>
        <w:t> </w:t>
      </w:r>
      <w:r>
        <w:rPr/>
        <w:t>年公司实 施了</w:t>
      </w:r>
      <w:r>
        <w:rPr>
          <w:spacing w:val="-60"/>
        </w:rPr>
        <w:t> </w:t>
      </w:r>
      <w:r>
        <w:rPr>
          <w:rFonts w:ascii="宋体" w:hAnsi="宋体" w:cs="宋体" w:eastAsia="宋体" w:hint="default"/>
        </w:rPr>
        <w:t>2014</w:t>
      </w:r>
      <w:r>
        <w:rPr>
          <w:rFonts w:ascii="宋体" w:hAnsi="宋体" w:cs="宋体" w:eastAsia="宋体" w:hint="default"/>
          <w:spacing w:val="-61"/>
        </w:rPr>
        <w:t> </w:t>
      </w:r>
      <w:r>
        <w:rPr/>
        <w:t>年度利润分配，以截至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日公司总股本为基数，以未分配利润向</w:t>
      </w:r>
    </w:p>
    <w:p>
      <w:pPr>
        <w:pStyle w:val="BodyText"/>
        <w:spacing w:line="240" w:lineRule="auto"/>
        <w:ind w:right="229"/>
        <w:jc w:val="left"/>
        <w:rPr>
          <w:rFonts w:ascii="宋体" w:hAnsi="宋体" w:cs="宋体" w:eastAsia="宋体" w:hint="default"/>
        </w:rPr>
      </w:pPr>
      <w:r>
        <w:rPr/>
        <w:t>全体股东每</w:t>
      </w:r>
      <w:r>
        <w:rPr>
          <w:spacing w:val="-61"/>
        </w:rPr>
        <w:t> </w:t>
      </w:r>
      <w:r>
        <w:rPr>
          <w:rFonts w:ascii="宋体" w:hAnsi="宋体" w:cs="宋体" w:eastAsia="宋体" w:hint="default"/>
        </w:rPr>
        <w:t>10</w:t>
      </w:r>
      <w:r>
        <w:rPr>
          <w:rFonts w:ascii="宋体" w:hAnsi="宋体" w:cs="宋体" w:eastAsia="宋体" w:hint="default"/>
          <w:spacing w:val="-60"/>
        </w:rPr>
        <w:t> </w:t>
      </w:r>
      <w:r>
        <w:rPr/>
        <w:t>股派发现金股利人民币</w:t>
      </w:r>
      <w:r>
        <w:rPr>
          <w:spacing w:val="-60"/>
        </w:rPr>
        <w:t> </w:t>
      </w:r>
      <w:r>
        <w:rPr>
          <w:rFonts w:ascii="宋体" w:hAnsi="宋体" w:cs="宋体" w:eastAsia="宋体" w:hint="default"/>
        </w:rPr>
        <w:t>1.00 </w:t>
      </w:r>
      <w:r>
        <w:rPr/>
        <w:t>元（含税）并以资本公积金向全体股东每</w:t>
      </w:r>
      <w:r>
        <w:rPr>
          <w:spacing w:val="-60"/>
        </w:rPr>
        <w:t> </w:t>
      </w:r>
      <w:r>
        <w:rPr>
          <w:rFonts w:ascii="宋体" w:hAnsi="宋体" w:cs="宋体" w:eastAsia="宋体" w:hint="default"/>
        </w:rPr>
        <w:t>10</w:t>
      </w:r>
    </w:p>
    <w:p>
      <w:pPr>
        <w:pStyle w:val="BodyText"/>
        <w:spacing w:line="240" w:lineRule="auto" w:before="154"/>
        <w:ind w:right="229"/>
        <w:jc w:val="left"/>
      </w:pPr>
      <w:r>
        <w:rPr/>
        <w:t>股转增</w:t>
      </w:r>
      <w:r>
        <w:rPr>
          <w:spacing w:val="-61"/>
        </w:rPr>
        <w:t> </w:t>
      </w:r>
      <w:r>
        <w:rPr>
          <w:rFonts w:ascii="宋体" w:hAnsi="宋体" w:cs="宋体" w:eastAsia="宋体" w:hint="default"/>
        </w:rPr>
        <w:t>6</w:t>
      </w:r>
      <w:r>
        <w:rPr>
          <w:rFonts w:ascii="宋体" w:hAnsi="宋体" w:cs="宋体" w:eastAsia="宋体" w:hint="default"/>
          <w:spacing w:val="-60"/>
        </w:rPr>
        <w:t> </w:t>
      </w:r>
      <w:r>
        <w:rPr/>
        <w:t>股。</w:t>
      </w:r>
    </w:p>
    <w:p>
      <w:pPr>
        <w:pStyle w:val="BodyText"/>
        <w:spacing w:line="357" w:lineRule="auto" w:before="154"/>
        <w:ind w:right="150" w:firstLine="480"/>
        <w:jc w:val="left"/>
      </w:pPr>
      <w:r>
        <w:rPr/>
        <w:t>同时，公司重视履行社会责任，长期致力于重大自然灾害管理、公共突发事件应急、 生态环境监测等众多领域的信息化建设和保障技术的研究与服务</w:t>
      </w:r>
      <w:r>
        <w:rPr>
          <w:rFonts w:ascii="宋体" w:hAnsi="宋体" w:cs="宋体" w:eastAsia="宋体" w:hint="default"/>
        </w:rPr>
        <w:t>,</w:t>
      </w:r>
      <w:r>
        <w:rPr/>
        <w:t>先后多次为南方特大暴 雨、雾霾监测、中国人民抗日战争暨世界反法西斯战争胜利</w:t>
      </w:r>
      <w:r>
        <w:rPr>
          <w:spacing w:val="-60"/>
        </w:rPr>
        <w:t> </w:t>
      </w:r>
      <w:r>
        <w:rPr>
          <w:rFonts w:ascii="宋体" w:hAnsi="宋体" w:cs="宋体" w:eastAsia="宋体" w:hint="default"/>
        </w:rPr>
        <w:t>70</w:t>
      </w:r>
      <w:r>
        <w:rPr>
          <w:rFonts w:ascii="宋体" w:hAnsi="宋体" w:cs="宋体" w:eastAsia="宋体" w:hint="default"/>
          <w:spacing w:val="-61"/>
        </w:rPr>
        <w:t> </w:t>
      </w:r>
      <w:r>
        <w:rPr/>
        <w:t>周年纪念活动、上合组织峰 会等重大事件提供了快速、有效的技术援助与服务，获得了国家气候中心、公安部、京津 冀环境气象预警预报中心的表彰。</w:t>
      </w:r>
    </w:p>
    <w:p>
      <w:pPr>
        <w:pStyle w:val="BodyText"/>
        <w:spacing w:line="357" w:lineRule="auto"/>
        <w:ind w:right="332" w:firstLine="480"/>
        <w:jc w:val="left"/>
      </w:pPr>
      <w:r>
        <w:rPr/>
        <w:t>此外，公司高度重视地理信息科普教育和公益活动，连续</w:t>
      </w:r>
      <w:r>
        <w:rPr>
          <w:spacing w:val="-60"/>
        </w:rPr>
        <w:t> </w:t>
      </w:r>
      <w:r>
        <w:rPr>
          <w:rFonts w:ascii="宋体" w:hAnsi="宋体" w:cs="宋体" w:eastAsia="宋体" w:hint="default"/>
        </w:rPr>
        <w:t>13</w:t>
      </w:r>
      <w:r>
        <w:rPr>
          <w:rFonts w:ascii="宋体" w:hAnsi="宋体" w:cs="宋体" w:eastAsia="宋体" w:hint="default"/>
          <w:spacing w:val="-60"/>
        </w:rPr>
        <w:t> </w:t>
      </w:r>
      <w:r>
        <w:rPr/>
        <w:t>年举办全国高校</w:t>
      </w:r>
      <w:r>
        <w:rPr>
          <w:spacing w:val="-60"/>
        </w:rPr>
        <w:t> </w:t>
      </w:r>
      <w:r>
        <w:rPr>
          <w:rFonts w:ascii="宋体" w:hAnsi="宋体" w:cs="宋体" w:eastAsia="宋体" w:hint="default"/>
        </w:rPr>
        <w:t>GIS</w:t>
      </w:r>
      <w:r>
        <w:rPr>
          <w:rFonts w:ascii="宋体" w:hAnsi="宋体" w:cs="宋体" w:eastAsia="宋体" w:hint="default"/>
          <w:spacing w:val="-60"/>
        </w:rPr>
        <w:t> </w:t>
      </w:r>
      <w:r>
        <w:rPr/>
        <w:t>大 赛，同时携手各高校、科研单位、</w:t>
      </w:r>
      <w:r>
        <w:rPr>
          <w:rFonts w:ascii="宋体" w:hAnsi="宋体" w:cs="宋体" w:eastAsia="宋体" w:hint="default"/>
        </w:rPr>
        <w:t>GIS</w:t>
      </w:r>
      <w:r>
        <w:rPr>
          <w:rFonts w:ascii="宋体" w:hAnsi="宋体" w:cs="宋体" w:eastAsia="宋体" w:hint="default"/>
          <w:spacing w:val="-61"/>
        </w:rPr>
        <w:t> </w:t>
      </w:r>
      <w:r>
        <w:rPr/>
        <w:t>企业成功举办第八届</w:t>
      </w:r>
      <w:r>
        <w:rPr>
          <w:spacing w:val="-61"/>
        </w:rPr>
        <w:t> </w:t>
      </w:r>
      <w:r>
        <w:rPr>
          <w:rFonts w:ascii="宋体" w:hAnsi="宋体" w:cs="宋体" w:eastAsia="宋体" w:hint="default"/>
        </w:rPr>
        <w:t>GIS</w:t>
      </w:r>
      <w:r>
        <w:rPr>
          <w:rFonts w:ascii="宋体" w:hAnsi="宋体" w:cs="宋体" w:eastAsia="宋体" w:hint="default"/>
          <w:spacing w:val="-61"/>
        </w:rPr>
        <w:t> </w:t>
      </w:r>
      <w:r>
        <w:rPr/>
        <w:t>节，成功举行“第七届全</w:t>
      </w:r>
    </w:p>
    <w:p>
      <w:pPr>
        <w:spacing w:after="0" w:line="357"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right="150"/>
        <w:jc w:val="left"/>
      </w:pPr>
      <w:r>
        <w:rPr/>
        <w:t>国高校教师</w:t>
      </w:r>
      <w:r>
        <w:rPr>
          <w:spacing w:val="-55"/>
        </w:rPr>
        <w:t> </w:t>
      </w:r>
      <w:r>
        <w:rPr>
          <w:rFonts w:ascii="宋体" w:hAnsi="宋体" w:cs="宋体" w:eastAsia="宋体" w:hint="default"/>
        </w:rPr>
        <w:t>GIS</w:t>
      </w:r>
      <w:r>
        <w:rPr>
          <w:rFonts w:ascii="宋体" w:hAnsi="宋体" w:cs="宋体" w:eastAsia="宋体" w:hint="default"/>
          <w:spacing w:val="-54"/>
        </w:rPr>
        <w:t> </w:t>
      </w:r>
      <w:r>
        <w:rPr>
          <w:spacing w:val="-4"/>
        </w:rPr>
        <w:t>技术研讨班”，通过科普展览、知识竞赛、讲座报告、趣味游戏、研讨班等</w:t>
      </w:r>
      <w:r>
        <w:rPr/>
        <w:t> 各种形式，宣传</w:t>
      </w:r>
      <w:r>
        <w:rPr>
          <w:spacing w:val="-61"/>
        </w:rPr>
        <w:t> </w:t>
      </w:r>
      <w:r>
        <w:rPr>
          <w:rFonts w:ascii="宋体" w:hAnsi="宋体" w:cs="宋体" w:eastAsia="宋体" w:hint="default"/>
        </w:rPr>
        <w:t>GIS</w:t>
      </w:r>
      <w:r>
        <w:rPr>
          <w:rFonts w:ascii="宋体" w:hAnsi="宋体" w:cs="宋体" w:eastAsia="宋体" w:hint="default"/>
          <w:spacing w:val="-60"/>
        </w:rPr>
        <w:t> </w:t>
      </w:r>
      <w:r>
        <w:rPr/>
        <w:t>知识，普及</w:t>
      </w:r>
      <w:r>
        <w:rPr>
          <w:spacing w:val="-60"/>
        </w:rPr>
        <w:t> </w:t>
      </w:r>
      <w:r>
        <w:rPr>
          <w:rFonts w:ascii="宋体" w:hAnsi="宋体" w:cs="宋体" w:eastAsia="宋体" w:hint="default"/>
        </w:rPr>
        <w:t>GIS</w:t>
      </w:r>
      <w:r>
        <w:rPr>
          <w:rFonts w:ascii="宋体" w:hAnsi="宋体" w:cs="宋体" w:eastAsia="宋体" w:hint="default"/>
          <w:spacing w:val="-60"/>
        </w:rPr>
        <w:t> </w:t>
      </w:r>
      <w:r>
        <w:rPr/>
        <w:t>技术，传播地理信息知识，帮助与促进</w:t>
      </w:r>
      <w:r>
        <w:rPr>
          <w:spacing w:val="-59"/>
        </w:rPr>
        <w:t> </w:t>
      </w:r>
      <w:r>
        <w:rPr>
          <w:rFonts w:ascii="宋体" w:hAnsi="宋体" w:cs="宋体" w:eastAsia="宋体" w:hint="default"/>
        </w:rPr>
        <w:t>GIS</w:t>
      </w:r>
      <w:r>
        <w:rPr>
          <w:rFonts w:ascii="宋体" w:hAnsi="宋体" w:cs="宋体" w:eastAsia="宋体" w:hint="default"/>
          <w:spacing w:val="-60"/>
        </w:rPr>
        <w:t> </w:t>
      </w:r>
      <w:r>
        <w:rPr/>
        <w:t>学子的成 长和专业建设。</w:t>
      </w:r>
    </w:p>
    <w:p>
      <w:pPr>
        <w:pStyle w:val="BodyText"/>
        <w:spacing w:line="357" w:lineRule="auto"/>
        <w:ind w:right="212" w:firstLine="480"/>
        <w:jc w:val="left"/>
      </w:pPr>
      <w:r>
        <w:rPr/>
        <w:t>公司积极参与公益事业，</w:t>
      </w:r>
      <w:r>
        <w:rPr>
          <w:rFonts w:ascii="宋体" w:hAnsi="宋体" w:cs="宋体" w:eastAsia="宋体" w:hint="default"/>
        </w:rPr>
        <w:t>2015</w:t>
      </w:r>
      <w:r>
        <w:rPr>
          <w:rFonts w:ascii="宋体" w:hAnsi="宋体" w:cs="宋体" w:eastAsia="宋体" w:hint="default"/>
          <w:spacing w:val="-61"/>
        </w:rPr>
        <w:t> </w:t>
      </w:r>
      <w:r>
        <w:rPr/>
        <w:t>年公司捐赠北京师范大学李小文教育基金</w:t>
      </w:r>
      <w:r>
        <w:rPr>
          <w:spacing w:val="-61"/>
        </w:rPr>
        <w:t> </w:t>
      </w:r>
      <w:r>
        <w:rPr>
          <w:rFonts w:ascii="宋体" w:hAnsi="宋体" w:cs="宋体" w:eastAsia="宋体" w:hint="default"/>
        </w:rPr>
        <w:t>100</w:t>
      </w:r>
      <w:r>
        <w:rPr>
          <w:rFonts w:ascii="宋体" w:hAnsi="宋体" w:cs="宋体" w:eastAsia="宋体" w:hint="default"/>
          <w:spacing w:val="-61"/>
        </w:rPr>
        <w:t> </w:t>
      </w:r>
      <w:r>
        <w:rPr/>
        <w:t>万元，推 动地理学与遥感科学的学科建设和人才培养。此外公司每年派出精锐队员组成“超图行 者”挑战队参加善行者大会，通过百公里徒步筹款募捐，为贵州威宁的贫困儿童对口扶贫 助学，建设标准化爱心厨房，让孩子们吃饱穿暖，践行公益理念。</w:t>
      </w:r>
    </w:p>
    <w:p>
      <w:pPr>
        <w:pStyle w:val="BodyText"/>
        <w:spacing w:line="240" w:lineRule="auto"/>
        <w:ind w:left="617" w:right="229"/>
        <w:jc w:val="left"/>
      </w:pPr>
      <w:r>
        <w:rPr/>
        <w:t>上市公司及其子公司是否属于国家环境保护部门支付宝的重污染企业</w:t>
      </w:r>
    </w:p>
    <w:p>
      <w:pPr>
        <w:pStyle w:val="BodyText"/>
        <w:tabs>
          <w:tab w:pos="1361" w:val="left" w:leader="none"/>
          <w:tab w:pos="1961" w:val="left" w:leader="none"/>
        </w:tabs>
        <w:spacing w:line="326" w:lineRule="auto" w:before="154"/>
        <w:ind w:left="617" w:right="6767"/>
        <w:jc w:val="left"/>
      </w:pPr>
      <w:r>
        <w:rPr>
          <w:rFonts w:ascii="Calibri" w:hAnsi="Calibri" w:cs="Calibri" w:eastAsia="Calibri" w:hint="default"/>
        </w:rPr>
        <w:t>□ </w:t>
      </w:r>
      <w:r>
        <w:rPr>
          <w:rFonts w:ascii="Calibri" w:hAnsi="Calibri" w:cs="Calibri" w:eastAsia="Calibri" w:hint="default"/>
          <w:spacing w:val="10"/>
        </w:rPr>
        <w:t> </w:t>
      </w:r>
      <w:r>
        <w:rPr/>
        <w:t>是</w:t>
        <w:tab/>
      </w:r>
      <w:r>
        <w:rPr>
          <w:rFonts w:ascii="Calibri" w:hAnsi="Calibri" w:cs="Calibri" w:eastAsia="Calibri" w:hint="default"/>
        </w:rPr>
        <w:t>√</w:t>
      </w:r>
      <w:r>
        <w:rPr/>
        <w:t>否</w:t>
        <w:tab/>
      </w:r>
      <w:r>
        <w:rPr>
          <w:rFonts w:ascii="Calibri" w:hAnsi="Calibri" w:cs="Calibri" w:eastAsia="Calibri" w:hint="default"/>
        </w:rPr>
        <w:t>□</w:t>
      </w:r>
      <w:r>
        <w:rPr/>
        <w:t>不适用</w:t>
      </w:r>
      <w:r>
        <w:rPr>
          <w:w w:val="99"/>
        </w:rPr>
        <w:t> </w:t>
      </w:r>
      <w:r>
        <w:rPr/>
        <w:t>是否发布社会责任报告</w:t>
      </w:r>
    </w:p>
    <w:p>
      <w:pPr>
        <w:spacing w:line="427" w:lineRule="auto" w:before="67"/>
        <w:ind w:left="137" w:right="698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45" w:id="46"/>
      <w:bookmarkEnd w:id="46"/>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二十、公司债券相关情况</w:t>
      </w:r>
      <w:r>
        <w:rPr>
          <w:rFonts w:ascii="Microsoft JhengHei" w:hAnsi="Microsoft JhengHei" w:cs="Microsoft JhengHei" w:eastAsia="Microsoft JhengHei" w:hint="default"/>
          <w:sz w:val="24"/>
          <w:szCs w:val="24"/>
        </w:rPr>
      </w:r>
    </w:p>
    <w:p>
      <w:pPr>
        <w:pStyle w:val="BodyText"/>
        <w:spacing w:line="357" w:lineRule="auto" w:before="101"/>
        <w:ind w:right="269" w:firstLine="480"/>
        <w:jc w:val="left"/>
      </w:pPr>
      <w:r>
        <w:rPr/>
        <w:t>公司不存在公开发行并在证券交易所上市，且在年度报告批准报出日未到期或到期未 能全额兑付的公司债券。</w:t>
      </w:r>
    </w:p>
    <w:p>
      <w:pPr>
        <w:spacing w:line="240" w:lineRule="auto" w:before="2"/>
        <w:rPr>
          <w:rFonts w:ascii="宋体" w:hAnsi="宋体" w:cs="宋体" w:eastAsia="宋体" w:hint="default"/>
          <w:sz w:val="19"/>
          <w:szCs w:val="19"/>
        </w:rPr>
      </w:pPr>
    </w:p>
    <w:tbl>
      <w:tblPr>
        <w:tblW w:w="0" w:type="auto"/>
        <w:jc w:val="left"/>
        <w:tblInd w:w="137" w:type="dxa"/>
        <w:tblLayout w:type="fixed"/>
        <w:tblCellMar>
          <w:top w:w="0" w:type="dxa"/>
          <w:left w:w="0" w:type="dxa"/>
          <w:bottom w:w="0" w:type="dxa"/>
          <w:right w:w="0" w:type="dxa"/>
        </w:tblCellMar>
        <w:tblLook w:val="01E0"/>
      </w:tblPr>
      <w:tblGrid>
        <w:gridCol w:w="1819"/>
        <w:gridCol w:w="956"/>
        <w:gridCol w:w="686"/>
        <w:gridCol w:w="598"/>
        <w:gridCol w:w="598"/>
        <w:gridCol w:w="994"/>
        <w:gridCol w:w="1034"/>
        <w:gridCol w:w="1076"/>
        <w:gridCol w:w="1224"/>
        <w:gridCol w:w="504"/>
      </w:tblGrid>
      <w:tr>
        <w:trPr>
          <w:trHeight w:val="323" w:hRule="exact"/>
        </w:trPr>
        <w:tc>
          <w:tcPr>
            <w:tcW w:w="1819" w:type="dxa"/>
            <w:vMerge w:val="restart"/>
            <w:tcBorders>
              <w:top w:val="single" w:sz="4" w:space="0" w:color="000000"/>
              <w:left w:val="single" w:sz="4" w:space="0" w:color="000000"/>
              <w:right w:val="single" w:sz="4" w:space="0" w:color="000000"/>
            </w:tcBorders>
            <w:shd w:val="clear" w:color="auto" w:fill="D2D2D2"/>
          </w:tcPr>
          <w:p>
            <w:pP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本次变动前</w:t>
            </w:r>
            <w:r>
              <w:rPr>
                <w:rFonts w:ascii="Microsoft JhengHei" w:hAnsi="Microsoft JhengHei" w:cs="Microsoft JhengHei" w:eastAsia="Microsoft JhengHei" w:hint="default"/>
                <w:sz w:val="18"/>
                <w:szCs w:val="18"/>
              </w:rPr>
            </w:r>
          </w:p>
        </w:tc>
        <w:tc>
          <w:tcPr>
            <w:tcW w:w="429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本次变动增减（＋，－）</w:t>
            </w:r>
            <w:r>
              <w:rPr>
                <w:rFonts w:ascii="Microsoft JhengHei" w:hAnsi="Microsoft JhengHei" w:cs="Microsoft JhengHei" w:eastAsia="Microsoft JhengHei" w:hint="default"/>
                <w:sz w:val="18"/>
                <w:szCs w:val="18"/>
              </w:rPr>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本次变动后</w:t>
            </w:r>
            <w:r>
              <w:rPr>
                <w:rFonts w:ascii="Microsoft JhengHei" w:hAnsi="Microsoft JhengHei" w:cs="Microsoft JhengHei" w:eastAsia="Microsoft JhengHei" w:hint="default"/>
                <w:sz w:val="18"/>
                <w:szCs w:val="18"/>
              </w:rPr>
            </w:r>
          </w:p>
        </w:tc>
      </w:tr>
      <w:tr>
        <w:trPr>
          <w:trHeight w:val="946" w:hRule="exact"/>
        </w:trPr>
        <w:tc>
          <w:tcPr>
            <w:tcW w:w="1819"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3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w:t>
            </w:r>
            <w:r>
              <w:rPr>
                <w:rFonts w:ascii="Microsoft JhengHei" w:hAnsi="Microsoft JhengHei" w:cs="Microsoft JhengHei" w:eastAsia="Microsoft JhengHei" w:hint="default"/>
                <w:sz w:val="18"/>
                <w:szCs w:val="18"/>
              </w:rPr>
            </w:r>
          </w:p>
          <w:p>
            <w:pPr>
              <w:pStyle w:val="TableParagraph"/>
              <w:spacing w:line="240" w:lineRule="auto"/>
              <w:ind w:left="110" w:right="11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发行 新股</w:t>
            </w:r>
            <w:r>
              <w:rPr>
                <w:rFonts w:ascii="Microsoft JhengHei" w:hAnsi="Microsoft JhengHei" w:cs="Microsoft JhengHei" w:eastAsia="Microsoft JhengHei"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10" w:right="24" w:firstLine="27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送 送股</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公积金转股</w:t>
            </w:r>
            <w:r>
              <w:rPr>
                <w:rFonts w:ascii="Microsoft JhengHei" w:hAnsi="Microsoft JhengHei" w:cs="Microsoft JhengHei" w:eastAsia="Microsoft JhengHei" w:hint="default"/>
                <w:sz w:val="18"/>
                <w:szCs w:val="18"/>
              </w:rPr>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4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0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p>
            <w:pPr>
              <w:pStyle w:val="TableParagraph"/>
              <w:spacing w:line="240" w:lineRule="auto" w:before="103"/>
              <w:ind w:left="96"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32,907,944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26.88</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19,744,766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-8,360,919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11,383,847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44,291,791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22.62</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32,907,944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26.88</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19,744,766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-8,360,919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11,383,847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44,291,791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22.62</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32,907,944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26.88</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19,744,766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-8,360,919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11,383,847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44,291,791</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22.62</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89,526,736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73.12</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53,716,042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8,287,101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62,003,143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151,529,879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77.38</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center"/>
              <w:rPr>
                <w:rFonts w:ascii="Times New Roman" w:hAnsi="Times New Roman" w:cs="Times New Roman" w:eastAsia="Times New Roman" w:hint="default"/>
                <w:sz w:val="18"/>
                <w:szCs w:val="18"/>
              </w:rPr>
            </w:pPr>
            <w:r>
              <w:rPr>
                <w:rFonts w:ascii="Times New Roman"/>
                <w:sz w:val="18"/>
              </w:rPr>
              <w:t>89,526,736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73.12</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53,716,042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8,287,101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62,003,143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151,529,879</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 w:right="0"/>
              <w:jc w:val="center"/>
              <w:rPr>
                <w:rFonts w:ascii="Times New Roman" w:hAnsi="Times New Roman" w:cs="Times New Roman" w:eastAsia="Times New Roman" w:hint="default"/>
                <w:sz w:val="18"/>
                <w:szCs w:val="18"/>
              </w:rPr>
            </w:pPr>
            <w:r>
              <w:rPr>
                <w:rFonts w:ascii="Times New Roman"/>
                <w:sz w:val="18"/>
              </w:rPr>
              <w:t>77.38</w:t>
            </w:r>
          </w:p>
        </w:tc>
      </w:tr>
      <w:tr>
        <w:trPr>
          <w:trHeight w:val="636"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1" w:right="7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7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5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1085" w:header="877" w:top="1220" w:bottom="1280" w:left="1140" w:right="98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1818"/>
        <w:gridCol w:w="957"/>
        <w:gridCol w:w="686"/>
        <w:gridCol w:w="598"/>
        <w:gridCol w:w="598"/>
        <w:gridCol w:w="994"/>
        <w:gridCol w:w="1034"/>
        <w:gridCol w:w="1076"/>
        <w:gridCol w:w="1224"/>
        <w:gridCol w:w="504"/>
      </w:tblGrid>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5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83"/>
              <w:jc w:val="center"/>
              <w:rPr>
                <w:rFonts w:ascii="宋体" w:hAnsi="宋体" w:cs="宋体" w:eastAsia="宋体" w:hint="default"/>
                <w:sz w:val="18"/>
                <w:szCs w:val="18"/>
              </w:rPr>
            </w:pPr>
            <w:r>
              <w:rPr>
                <w:rFonts w:ascii="宋体" w:hAnsi="宋体" w:cs="宋体" w:eastAsia="宋体" w:hint="default"/>
                <w:sz w:val="18"/>
                <w:szCs w:val="18"/>
              </w:rPr>
              <w:t>三、股份总数</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122,434,680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Times New Roman"/>
                <w:sz w:val="18"/>
              </w:rPr>
              <w:t>100</w:t>
            </w:r>
          </w:p>
        </w:tc>
        <w:tc>
          <w:tcPr>
            <w:tcW w:w="59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 w:right="0"/>
              <w:jc w:val="left"/>
              <w:rPr>
                <w:rFonts w:ascii="Times New Roman" w:hAnsi="Times New Roman" w:cs="Times New Roman" w:eastAsia="Times New Roman" w:hint="default"/>
                <w:sz w:val="18"/>
                <w:szCs w:val="18"/>
              </w:rPr>
            </w:pPr>
            <w:r>
              <w:rPr>
                <w:rFonts w:ascii="Times New Roman"/>
                <w:sz w:val="18"/>
              </w:rPr>
              <w:t>73,460,808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6" w:right="0"/>
              <w:jc w:val="left"/>
              <w:rPr>
                <w:rFonts w:ascii="Times New Roman" w:hAnsi="Times New Roman" w:cs="Times New Roman" w:eastAsia="Times New Roman" w:hint="default"/>
                <w:sz w:val="18"/>
                <w:szCs w:val="18"/>
              </w:rPr>
            </w:pPr>
            <w:r>
              <w:rPr>
                <w:rFonts w:ascii="Times New Roman"/>
                <w:sz w:val="18"/>
              </w:rPr>
              <w:t>-73,818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73,386,990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195,821,670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sz w:val="29"/>
          <w:szCs w:val="29"/>
        </w:rPr>
      </w:pPr>
    </w:p>
    <w:p>
      <w:pPr>
        <w:pStyle w:val="Heading1"/>
        <w:tabs>
          <w:tab w:pos="4052" w:val="left" w:leader="none"/>
        </w:tabs>
        <w:spacing w:line="456" w:lineRule="exact"/>
        <w:ind w:left="2792" w:right="229"/>
        <w:jc w:val="left"/>
        <w:rPr>
          <w:b w:val="0"/>
          <w:bCs w:val="0"/>
        </w:rPr>
      </w:pPr>
      <w:bookmarkStart w:name="_bookmark46" w:id="47"/>
      <w:bookmarkEnd w:id="47"/>
      <w:r>
        <w:rPr>
          <w:b w:val="0"/>
          <w:bCs w:val="0"/>
        </w:rPr>
      </w:r>
      <w:r>
        <w:rPr>
          <w:spacing w:val="4"/>
          <w:w w:val="95"/>
        </w:rPr>
        <w:t>第六节</w:t>
        <w:tab/>
      </w:r>
      <w:r>
        <w:rPr>
          <w:spacing w:val="5"/>
        </w:rPr>
        <w:t>股份变动及股东情况</w:t>
      </w:r>
      <w:r>
        <w:rPr>
          <w:b w:val="0"/>
          <w:bCs w:val="0"/>
          <w:spacing w:val="5"/>
        </w:rPr>
      </w:r>
    </w:p>
    <w:p>
      <w:pPr>
        <w:spacing w:line="240" w:lineRule="auto" w:before="2"/>
        <w:rPr>
          <w:rFonts w:ascii="Microsoft JhengHei" w:hAnsi="Microsoft JhengHei" w:cs="Microsoft JhengHei" w:eastAsia="Microsoft JhengHei" w:hint="default"/>
          <w:b/>
          <w:bCs/>
          <w:sz w:val="22"/>
          <w:szCs w:val="22"/>
        </w:rPr>
      </w:pPr>
    </w:p>
    <w:p>
      <w:pPr>
        <w:pStyle w:val="Heading2"/>
        <w:spacing w:line="367" w:lineRule="exact"/>
        <w:ind w:left="137" w:right="229"/>
        <w:jc w:val="left"/>
        <w:rPr>
          <w:b w:val="0"/>
          <w:bCs w:val="0"/>
        </w:rPr>
      </w:pPr>
      <w:bookmarkStart w:name="_bookmark47" w:id="48"/>
      <w:bookmarkEnd w:id="48"/>
      <w:r>
        <w:rPr>
          <w:b w:val="0"/>
          <w:bCs w:val="0"/>
        </w:rPr>
      </w:r>
      <w:r>
        <w:rPr/>
        <w:t>一、股份变动情况</w:t>
      </w:r>
      <w:r>
        <w:rPr>
          <w:b w:val="0"/>
          <w:bCs w:val="0"/>
        </w:rPr>
      </w:r>
    </w:p>
    <w:p>
      <w:pPr>
        <w:spacing w:line="768" w:lineRule="exact" w:before="13"/>
        <w:ind w:left="617" w:right="74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、股份变动情况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股份变动的原因</w:t>
      </w:r>
    </w:p>
    <w:p>
      <w:pPr>
        <w:pStyle w:val="BodyText"/>
        <w:tabs>
          <w:tab w:pos="1589" w:val="left" w:leader="none"/>
        </w:tabs>
        <w:spacing w:line="240" w:lineRule="auto" w:before="34"/>
        <w:ind w:left="617" w:right="229"/>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t>不适用</w:t>
      </w:r>
    </w:p>
    <w:p>
      <w:pPr>
        <w:pStyle w:val="BodyText"/>
        <w:spacing w:line="240" w:lineRule="auto" w:before="135"/>
        <w:ind w:left="617" w:right="0"/>
        <w:jc w:val="left"/>
      </w:pPr>
      <w:r>
        <w:rPr>
          <w:rFonts w:ascii="Times New Roman" w:hAnsi="Times New Roman" w:cs="Times New Roman" w:eastAsia="Times New Roman" w:hint="default"/>
        </w:rPr>
        <w:t>1</w:t>
      </w:r>
      <w:r>
        <w:rPr/>
        <w:t>、报告期内，公司实施了</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年度利润分配方案，以截止</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w:t>
      </w:r>
    </w:p>
    <w:p>
      <w:pPr>
        <w:pStyle w:val="BodyText"/>
        <w:spacing w:line="240" w:lineRule="auto" w:before="135"/>
        <w:ind w:right="0"/>
        <w:jc w:val="left"/>
      </w:pPr>
      <w:r>
        <w:rPr/>
        <w:t>股本</w:t>
      </w:r>
      <w:r>
        <w:rPr>
          <w:spacing w:val="-60"/>
        </w:rPr>
        <w:t> </w:t>
      </w:r>
      <w:r>
        <w:rPr>
          <w:rFonts w:ascii="Times New Roman" w:hAnsi="Times New Roman" w:cs="Times New Roman" w:eastAsia="Times New Roman" w:hint="default"/>
        </w:rPr>
        <w:t>122,434,680</w:t>
      </w:r>
      <w:r>
        <w:rPr>
          <w:rFonts w:ascii="Times New Roman" w:hAnsi="Times New Roman" w:cs="Times New Roman" w:eastAsia="Times New Roman" w:hint="default"/>
          <w:spacing w:val="-1"/>
        </w:rPr>
        <w:t> </w:t>
      </w:r>
      <w:r>
        <w:rPr/>
        <w:t>股为基数，向全体股东以每</w:t>
      </w:r>
      <w:r>
        <w:rPr>
          <w:spacing w:val="-59"/>
        </w:rPr>
        <w:t> </w:t>
      </w:r>
      <w:r>
        <w:rPr>
          <w:rFonts w:ascii="Times New Roman" w:hAnsi="Times New Roman" w:cs="Times New Roman" w:eastAsia="Times New Roman" w:hint="default"/>
        </w:rPr>
        <w:t>10 </w:t>
      </w:r>
      <w:r>
        <w:rPr/>
        <w:t>股派人民币现金</w:t>
      </w:r>
      <w:r>
        <w:rPr>
          <w:spacing w:val="-60"/>
        </w:rPr>
        <w:t> </w:t>
      </w:r>
      <w:r>
        <w:rPr>
          <w:rFonts w:ascii="Times New Roman" w:hAnsi="Times New Roman" w:cs="Times New Roman" w:eastAsia="Times New Roman" w:hint="default"/>
        </w:rPr>
        <w:t>1 </w:t>
      </w:r>
      <w:r>
        <w:rPr/>
        <w:t>元（含税</w:t>
      </w:r>
      <w:r>
        <w:rPr>
          <w:spacing w:val="-120"/>
        </w:rPr>
        <w:t>）</w:t>
      </w:r>
      <w:r>
        <w:rPr/>
        <w:t>，共计派发现</w:t>
      </w:r>
    </w:p>
    <w:p>
      <w:pPr>
        <w:pStyle w:val="BodyText"/>
        <w:spacing w:line="338" w:lineRule="auto" w:before="135"/>
        <w:ind w:right="329"/>
        <w:jc w:val="left"/>
      </w:pPr>
      <w:r>
        <w:rPr/>
        <w:t>金</w:t>
      </w:r>
      <w:r>
        <w:rPr>
          <w:spacing w:val="-60"/>
        </w:rPr>
        <w:t> </w:t>
      </w:r>
      <w:r>
        <w:rPr>
          <w:rFonts w:ascii="Times New Roman" w:hAnsi="Times New Roman" w:cs="Times New Roman" w:eastAsia="Times New Roman" w:hint="default"/>
        </w:rPr>
        <w:t>12,243,468.00</w:t>
      </w:r>
      <w:r>
        <w:rPr>
          <w:rFonts w:ascii="Times New Roman" w:hAnsi="Times New Roman" w:cs="Times New Roman" w:eastAsia="Times New Roman" w:hint="default"/>
          <w:spacing w:val="-1"/>
        </w:rPr>
        <w:t> </w:t>
      </w:r>
      <w:r>
        <w:rPr/>
        <w:t>元，同时，以资本公积金向全体股东每</w:t>
      </w:r>
      <w:r>
        <w:rPr>
          <w:spacing w:val="-59"/>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6 </w:t>
      </w:r>
      <w:r>
        <w:rPr/>
        <w:t>股，因此公司无限售 股以及公司股本总数相应发生变动。</w:t>
      </w:r>
    </w:p>
    <w:p>
      <w:pPr>
        <w:pStyle w:val="BodyText"/>
        <w:spacing w:line="338" w:lineRule="auto" w:before="55"/>
        <w:ind w:right="310"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年初公司董事、监事和高级管理人员按照法律规定自动解锁</w:t>
      </w:r>
      <w:r>
        <w:rPr>
          <w:spacing w:val="-61"/>
        </w:rPr>
        <w:t> </w:t>
      </w:r>
      <w:r>
        <w:rPr>
          <w:rFonts w:ascii="Times New Roman" w:hAnsi="Times New Roman" w:cs="Times New Roman" w:eastAsia="Times New Roman" w:hint="default"/>
        </w:rPr>
        <w:t>25%</w:t>
      </w:r>
      <w:r>
        <w:rPr/>
        <w:t>，该部分股 份进入了无限售流通股。</w:t>
      </w:r>
    </w:p>
    <w:p>
      <w:pPr>
        <w:pStyle w:val="BodyText"/>
        <w:spacing w:line="338" w:lineRule="auto" w:before="56"/>
        <w:ind w:right="149" w:firstLine="480"/>
        <w:jc w:val="left"/>
      </w:pPr>
      <w:r>
        <w:rPr>
          <w:rFonts w:ascii="Times New Roman" w:hAnsi="Times New Roman" w:cs="Times New Roman" w:eastAsia="Times New Roman" w:hint="default"/>
        </w:rPr>
        <w:t>3</w:t>
      </w:r>
      <w:r>
        <w:rPr/>
        <w:t>、报告期内，公司股权激励计划预留部分限制性股票第一期解锁的股份上市流通，实 际上市流通数量为</w:t>
      </w:r>
      <w:r>
        <w:rPr>
          <w:spacing w:val="-61"/>
        </w:rPr>
        <w:t> </w:t>
      </w:r>
      <w:r>
        <w:rPr>
          <w:rFonts w:ascii="Times New Roman" w:hAnsi="Times New Roman" w:cs="Times New Roman" w:eastAsia="Times New Roman" w:hint="default"/>
        </w:rPr>
        <w:t>86,400 </w:t>
      </w:r>
      <w:r>
        <w:rPr/>
        <w:t>股，因此无限售股份数相应增加。</w:t>
      </w:r>
    </w:p>
    <w:p>
      <w:pPr>
        <w:pStyle w:val="BodyText"/>
        <w:spacing w:line="338" w:lineRule="auto" w:before="27"/>
        <w:ind w:right="167" w:firstLine="480"/>
        <w:jc w:val="both"/>
      </w:pPr>
      <w:r>
        <w:rPr>
          <w:rFonts w:ascii="Times New Roman" w:hAnsi="Times New Roman" w:cs="Times New Roman" w:eastAsia="Times New Roman" w:hint="default"/>
        </w:rPr>
        <w:t>4</w:t>
      </w:r>
      <w:r>
        <w:rPr/>
        <w:t>、报告期内，公司在中国证券登记结算有限责任公司深圳分公司完成了部分激励对象 已获授但尚未解锁的限制性股票回购注销手续，回购注销限制性股票的数量为</w:t>
      </w:r>
      <w:r>
        <w:rPr>
          <w:spacing w:val="-59"/>
        </w:rPr>
        <w:t> </w:t>
      </w:r>
      <w:r>
        <w:rPr>
          <w:rFonts w:ascii="Times New Roman" w:hAnsi="Times New Roman" w:cs="Times New Roman" w:eastAsia="Times New Roman" w:hint="default"/>
        </w:rPr>
        <w:t>73,818 </w:t>
      </w:r>
      <w:r>
        <w:rPr/>
        <w:t>股。 因此公司限售股以及公司股本总数相应发生变动。</w:t>
      </w:r>
    </w:p>
    <w:p>
      <w:pPr>
        <w:pStyle w:val="BodyText"/>
        <w:spacing w:line="338" w:lineRule="auto" w:before="55"/>
        <w:ind w:right="149" w:firstLine="480"/>
        <w:jc w:val="left"/>
      </w:pPr>
      <w:r>
        <w:rPr>
          <w:rFonts w:ascii="Times New Roman" w:hAnsi="Times New Roman" w:cs="Times New Roman" w:eastAsia="Times New Roman" w:hint="default"/>
        </w:rPr>
        <w:t>5</w:t>
      </w:r>
      <w:r>
        <w:rPr/>
        <w:t>、报告期内，公司董事宋关福、王康弘、杜庆娥分别从二级市场增持公司股份，增持 额度为</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万股、</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万股和</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万股，锁定其中的</w:t>
      </w:r>
      <w:r>
        <w:rPr>
          <w:spacing w:val="-61"/>
        </w:rPr>
        <w:t> </w:t>
      </w:r>
      <w:r>
        <w:rPr>
          <w:rFonts w:ascii="Times New Roman" w:hAnsi="Times New Roman" w:cs="Times New Roman" w:eastAsia="Times New Roman" w:hint="default"/>
        </w:rPr>
        <w:t>75%</w:t>
      </w:r>
      <w:r>
        <w:rPr/>
        <w:t>，限售股份数相应增加。</w:t>
      </w:r>
    </w:p>
    <w:p>
      <w:pPr>
        <w:pStyle w:val="BodyText"/>
        <w:spacing w:line="240" w:lineRule="auto" w:before="27"/>
        <w:ind w:left="617" w:right="229"/>
        <w:jc w:val="left"/>
      </w:pPr>
      <w:r>
        <w:rPr/>
        <w:t>股份变动的批准情况</w:t>
      </w:r>
    </w:p>
    <w:p>
      <w:pPr>
        <w:pStyle w:val="BodyText"/>
        <w:spacing w:line="348" w:lineRule="auto" w:before="154"/>
        <w:ind w:left="617" w:right="4589"/>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 相关股份变动已经董事会及股东大会批准。 股份变动的过户情况</w:t>
      </w:r>
    </w:p>
    <w:p>
      <w:pPr>
        <w:pStyle w:val="BodyText"/>
        <w:tabs>
          <w:tab w:pos="1469" w:val="left" w:leader="none"/>
        </w:tabs>
        <w:spacing w:line="338" w:lineRule="auto" w:before="46"/>
        <w:ind w:left="617" w:right="6047"/>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r>
        <w:rPr>
          <w:spacing w:val="-117"/>
        </w:rPr>
        <w:t> </w:t>
      </w:r>
      <w:r>
        <w:rPr/>
        <w:t>以上股份变动均已办理登记。</w:t>
      </w:r>
    </w:p>
    <w:p>
      <w:pPr>
        <w:pStyle w:val="BodyText"/>
        <w:spacing w:line="240" w:lineRule="auto" w:before="55"/>
        <w:ind w:left="617" w:right="229"/>
        <w:jc w:val="left"/>
      </w:pPr>
      <w:r>
        <w:rPr/>
        <w:t>股份变动对最近一年和最近一期基本每股收益和稀释每股收益、归属于公司普通股股</w:t>
      </w:r>
    </w:p>
    <w:p>
      <w:pPr>
        <w:spacing w:after="0" w:line="240" w:lineRule="auto"/>
        <w:jc w:val="left"/>
        <w:sectPr>
          <w:footerReference w:type="default" r:id="rId30"/>
          <w:pgSz w:w="11910" w:h="16840"/>
          <w:pgMar w:footer="1085" w:header="877" w:top="1220" w:bottom="1280" w:left="1140" w:right="980"/>
          <w:pgNumType w:start="71"/>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t>东的每股净资产等财务指标的影响</w:t>
      </w:r>
    </w:p>
    <w:p>
      <w:pPr>
        <w:pStyle w:val="BodyText"/>
        <w:tabs>
          <w:tab w:pos="1469" w:val="left" w:leader="none"/>
        </w:tabs>
        <w:spacing w:line="240" w:lineRule="auto" w:before="154"/>
        <w:ind w:left="617" w:right="229"/>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before="135"/>
        <w:ind w:right="149" w:firstLine="480"/>
        <w:jc w:val="left"/>
      </w:pPr>
      <w:r>
        <w:rPr/>
        <w:t>报告期内，公司实施了</w:t>
      </w:r>
      <w:r>
        <w:rPr>
          <w:spacing w:val="-60"/>
        </w:rPr>
        <w:t> </w:t>
      </w:r>
      <w:r>
        <w:rPr>
          <w:rFonts w:ascii="Times New Roman" w:hAnsi="Times New Roman" w:cs="Times New Roman" w:eastAsia="Times New Roman" w:hint="default"/>
        </w:rPr>
        <w:t>2014 </w:t>
      </w:r>
      <w:r>
        <w:rPr/>
        <w:t>年度利润分配方案、股权激励计划预留部分限制性股票第 一期解锁的股份上市流通以及回购注销了部分已离职人员的未解锁限制性股票，公司的总 股本从期初</w:t>
      </w:r>
      <w:r>
        <w:rPr>
          <w:spacing w:val="-61"/>
        </w:rPr>
        <w:t> </w:t>
      </w:r>
      <w:r>
        <w:rPr>
          <w:rFonts w:ascii="Times New Roman" w:hAnsi="Times New Roman" w:cs="Times New Roman" w:eastAsia="Times New Roman" w:hint="default"/>
        </w:rPr>
        <w:t>122,434,680 </w:t>
      </w:r>
      <w:r>
        <w:rPr/>
        <w:t>股变动为</w:t>
      </w:r>
      <w:r>
        <w:rPr>
          <w:spacing w:val="-60"/>
        </w:rPr>
        <w:t> </w:t>
      </w:r>
      <w:r>
        <w:rPr>
          <w:rFonts w:ascii="Times New Roman" w:hAnsi="Times New Roman" w:cs="Times New Roman" w:eastAsia="Times New Roman" w:hint="default"/>
        </w:rPr>
        <w:t>195,821,670 </w:t>
      </w:r>
      <w:r>
        <w:rPr/>
        <w:t>股，公司基本每股收益、稀释每股收益、归 属于公司普通股股东的每股净资产等财务指标相应产生变动。</w:t>
      </w:r>
    </w:p>
    <w:p>
      <w:pPr>
        <w:pStyle w:val="BodyText"/>
        <w:spacing w:line="240" w:lineRule="auto" w:before="48"/>
        <w:ind w:left="617" w:right="229"/>
        <w:jc w:val="left"/>
      </w:pPr>
      <w:r>
        <w:rPr/>
        <w:t>公司认为必要或证券监管机构要求披露的其他内容</w:t>
      </w:r>
    </w:p>
    <w:p>
      <w:pPr>
        <w:pStyle w:val="BodyText"/>
        <w:spacing w:line="240" w:lineRule="auto" w:before="154"/>
        <w:ind w:left="617" w:right="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27"/>
          <w:szCs w:val="27"/>
        </w:rPr>
      </w:pPr>
    </w:p>
    <w:p>
      <w:pPr>
        <w:pStyle w:val="Heading2"/>
        <w:spacing w:line="240" w:lineRule="auto"/>
        <w:ind w:left="137" w:right="22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Microsoft JhengHei" w:hAnsi="Microsoft JhengHei" w:cs="Microsoft JhengHei" w:eastAsia="Microsoft JhengHei" w:hint="default"/>
          <w:b/>
          <w:bCs/>
          <w:sz w:val="22"/>
          <w:szCs w:val="22"/>
        </w:rPr>
      </w:pPr>
    </w:p>
    <w:tbl>
      <w:tblPr>
        <w:tblW w:w="0" w:type="auto"/>
        <w:jc w:val="left"/>
        <w:tblInd w:w="137" w:type="dxa"/>
        <w:tblLayout w:type="fixed"/>
        <w:tblCellMar>
          <w:top w:w="0" w:type="dxa"/>
          <w:left w:w="0" w:type="dxa"/>
          <w:bottom w:w="0" w:type="dxa"/>
          <w:right w:w="0" w:type="dxa"/>
        </w:tblCellMar>
        <w:tblLook w:val="01E0"/>
      </w:tblPr>
      <w:tblGrid>
        <w:gridCol w:w="1217"/>
        <w:gridCol w:w="1225"/>
        <w:gridCol w:w="1097"/>
        <w:gridCol w:w="1164"/>
        <w:gridCol w:w="1236"/>
        <w:gridCol w:w="1234"/>
        <w:gridCol w:w="2306"/>
      </w:tblGrid>
      <w:tr>
        <w:trPr>
          <w:trHeight w:val="984" w:hRule="exact"/>
        </w:trPr>
        <w:tc>
          <w:tcPr>
            <w:tcW w:w="121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股东名称</w:t>
            </w:r>
            <w:r>
              <w:rPr>
                <w:rFonts w:ascii="Microsoft JhengHei" w:hAnsi="Microsoft JhengHei" w:cs="Microsoft JhengHei" w:eastAsia="Microsoft JhengHei" w:hint="default"/>
                <w:sz w:val="18"/>
                <w:szCs w:val="18"/>
              </w:rPr>
            </w:r>
          </w:p>
        </w:tc>
        <w:tc>
          <w:tcPr>
            <w:tcW w:w="122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1"/>
              <w:ind w:left="420" w:right="241"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期初限售 股数</w:t>
            </w:r>
            <w:r>
              <w:rPr>
                <w:rFonts w:ascii="Microsoft JhengHei" w:hAnsi="Microsoft JhengHei" w:cs="Microsoft JhengHei" w:eastAsia="Microsoft JhengHei" w:hint="default"/>
                <w:sz w:val="18"/>
                <w:szCs w:val="18"/>
              </w:rPr>
            </w:r>
          </w:p>
        </w:tc>
        <w:tc>
          <w:tcPr>
            <w:tcW w:w="109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1"/>
              <w:ind w:left="177" w:right="17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本期解除 限售股数</w:t>
            </w:r>
            <w:r>
              <w:rPr>
                <w:rFonts w:ascii="Microsoft JhengHei" w:hAnsi="Microsoft JhengHei" w:cs="Microsoft JhengHei" w:eastAsia="Microsoft JhengHei" w:hint="default"/>
                <w:sz w:val="18"/>
                <w:szCs w:val="18"/>
              </w:rPr>
            </w:r>
          </w:p>
        </w:tc>
        <w:tc>
          <w:tcPr>
            <w:tcW w:w="11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1"/>
              <w:ind w:left="300" w:right="121"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本期增加限 售股数</w:t>
            </w:r>
            <w:r>
              <w:rPr>
                <w:rFonts w:ascii="Microsoft JhengHei" w:hAnsi="Microsoft JhengHei" w:cs="Microsoft JhengHei" w:eastAsia="Microsoft JhengHei" w:hint="default"/>
                <w:sz w:val="18"/>
                <w:szCs w:val="18"/>
              </w:rPr>
            </w:r>
          </w:p>
        </w:tc>
        <w:tc>
          <w:tcPr>
            <w:tcW w:w="123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21"/>
              <w:ind w:left="516" w:right="159"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期末限售股 数</w:t>
            </w:r>
            <w:r>
              <w:rPr>
                <w:rFonts w:ascii="Microsoft JhengHei" w:hAnsi="Microsoft JhengHei" w:cs="Microsoft JhengHei" w:eastAsia="Microsoft JhengHei" w:hint="default"/>
                <w:sz w:val="18"/>
                <w:szCs w:val="18"/>
              </w:rPr>
            </w:r>
          </w:p>
        </w:tc>
        <w:tc>
          <w:tcPr>
            <w:tcW w:w="123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限售原因</w:t>
            </w:r>
            <w:r>
              <w:rPr>
                <w:rFonts w:ascii="Microsoft JhengHei" w:hAnsi="Microsoft JhengHei" w:cs="Microsoft JhengHei" w:eastAsia="Microsoft JhengHei" w:hint="default"/>
                <w:sz w:val="18"/>
                <w:szCs w:val="18"/>
              </w:rPr>
            </w:r>
          </w:p>
        </w:tc>
        <w:tc>
          <w:tcPr>
            <w:tcW w:w="230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解除限售日期</w:t>
            </w:r>
            <w:r>
              <w:rPr>
                <w:rFonts w:ascii="Microsoft JhengHei" w:hAnsi="Microsoft JhengHei" w:cs="Microsoft JhengHei" w:eastAsia="Microsoft JhengHei" w:hint="default"/>
                <w:sz w:val="18"/>
                <w:szCs w:val="18"/>
              </w:rPr>
            </w:r>
          </w:p>
        </w:tc>
      </w:tr>
      <w:tr>
        <w:trPr>
          <w:trHeight w:val="682"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钟耳顺</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13,720,800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8,232,480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21,953,280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80"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宋关福</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6,134,400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825,000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3,283,140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8,592,540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王尔琪</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2,618,400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1,571,040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4,189,440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82"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梁军</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3,440,000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3,440,000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13" w:right="159" w:hanging="360"/>
              <w:jc w:val="left"/>
              <w:rPr>
                <w:rFonts w:ascii="宋体" w:hAnsi="宋体" w:cs="宋体" w:eastAsia="宋体" w:hint="default"/>
                <w:sz w:val="18"/>
                <w:szCs w:val="18"/>
              </w:rPr>
            </w:pPr>
            <w:r>
              <w:rPr>
                <w:rFonts w:ascii="宋体" w:hAnsi="宋体" w:cs="宋体" w:eastAsia="宋体" w:hint="default"/>
                <w:sz w:val="18"/>
                <w:szCs w:val="18"/>
              </w:rPr>
              <w:t>高管离任锁 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月解除限售</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王康弘</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2,834,250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708,563</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1,305,412</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3,431,099</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杜庆娥</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1,537,500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101,250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899,250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2,335,500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82"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王继晖</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216,000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54,000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259,200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曾志明</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176,400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105,840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282,240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龚娅杰</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128,700</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77,220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205,920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592" w:right="155" w:hanging="442"/>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每年第一个交易日解锁持 股总数的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682" w:hRule="exact"/>
        </w:trPr>
        <w:tc>
          <w:tcPr>
            <w:tcW w:w="12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7"/>
              <w:ind w:left="237" w:right="146" w:hanging="89"/>
              <w:jc w:val="left"/>
              <w:rPr>
                <w:rFonts w:ascii="宋体" w:hAnsi="宋体" w:cs="宋体" w:eastAsia="宋体" w:hint="default"/>
                <w:sz w:val="18"/>
                <w:szCs w:val="18"/>
              </w:rPr>
            </w:pPr>
            <w:r>
              <w:rPr>
                <w:rFonts w:ascii="宋体" w:hAnsi="宋体" w:cs="宋体" w:eastAsia="宋体" w:hint="default"/>
                <w:sz w:val="18"/>
                <w:szCs w:val="18"/>
              </w:rPr>
              <w:t>限制性股票 激励对象</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2,001,744</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160,218</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1,201,046</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3,042,572</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限制性股票</w:t>
            </w:r>
          </w:p>
        </w:tc>
        <w:tc>
          <w:tcPr>
            <w:tcW w:w="2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分期解除限售</w:t>
            </w:r>
          </w:p>
        </w:tc>
      </w:tr>
      <w:tr>
        <w:trPr>
          <w:trHeight w:val="679" w:hRule="exact"/>
        </w:trPr>
        <w:tc>
          <w:tcPr>
            <w:tcW w:w="121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32,808,194</w:t>
            </w:r>
          </w:p>
        </w:tc>
        <w:tc>
          <w:tcPr>
            <w:tcW w:w="10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5,289,031</w:t>
            </w:r>
          </w:p>
        </w:tc>
        <w:tc>
          <w:tcPr>
            <w:tcW w:w="11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16,772,628</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44,291,791</w:t>
            </w:r>
          </w:p>
        </w:tc>
        <w:tc>
          <w:tcPr>
            <w:tcW w:w="123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230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2"/>
                <w:szCs w:val="1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85" w:top="1220" w:bottom="1280" w:left="1140" w:right="980"/>
        </w:sectPr>
      </w:pPr>
    </w:p>
    <w:p>
      <w:pPr>
        <w:spacing w:line="240" w:lineRule="auto" w:before="1"/>
        <w:rPr>
          <w:rFonts w:ascii="Microsoft JhengHei" w:hAnsi="Microsoft JhengHei" w:cs="Microsoft JhengHei" w:eastAsia="Microsoft JhengHei" w:hint="default"/>
          <w:b/>
          <w:bCs/>
          <w:sz w:val="8"/>
          <w:szCs w:val="8"/>
        </w:rPr>
      </w:pPr>
    </w:p>
    <w:p>
      <w:pPr>
        <w:pStyle w:val="Heading2"/>
        <w:spacing w:line="367" w:lineRule="exact"/>
        <w:ind w:left="537" w:right="0"/>
        <w:jc w:val="both"/>
        <w:rPr>
          <w:b w:val="0"/>
          <w:bCs w:val="0"/>
        </w:rPr>
      </w:pPr>
      <w:bookmarkStart w:name="_bookmark48" w:id="49"/>
      <w:bookmarkEnd w:id="49"/>
      <w:r>
        <w:rPr>
          <w:b w:val="0"/>
          <w:bCs w:val="0"/>
        </w:rPr>
      </w:r>
      <w:r>
        <w:rPr/>
        <w:t>二、证券发行与上市情况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537"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、报告期内证券发行情况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10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760" w:lineRule="atLeast" w:before="4"/>
        <w:ind w:left="1017" w:right="2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、公司股份总数及股东结构的变动、公司资产和负债结构的变动情况说明</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pacing w:val="-35"/>
          <w:sz w:val="24"/>
          <w:szCs w:val="24"/>
        </w:rPr>
      </w:r>
      <w:r>
        <w:rPr>
          <w:rFonts w:ascii="宋体" w:hAnsi="宋体" w:cs="宋体" w:eastAsia="宋体" w:hint="default"/>
          <w:sz w:val="24"/>
          <w:szCs w:val="24"/>
        </w:rPr>
        <w:t>报告期内，公司实施了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年度利润分配方案、股权激励计划预留部分限制性股票第</w:t>
      </w:r>
    </w:p>
    <w:p>
      <w:pPr>
        <w:pStyle w:val="BodyText"/>
        <w:spacing w:line="348" w:lineRule="auto" w:before="136"/>
        <w:ind w:left="537" w:right="366"/>
        <w:jc w:val="both"/>
      </w:pPr>
      <w:r>
        <w:rPr/>
        <w:t>一期解锁的股份上市流通以及回购注销了部分已离职人员的未解锁限制性股票，公司的总 股本从期初</w:t>
      </w:r>
      <w:r>
        <w:rPr>
          <w:spacing w:val="-61"/>
        </w:rPr>
        <w:t> </w:t>
      </w:r>
      <w:r>
        <w:rPr>
          <w:rFonts w:ascii="Times New Roman" w:hAnsi="Times New Roman" w:cs="Times New Roman" w:eastAsia="Times New Roman" w:hint="default"/>
        </w:rPr>
        <w:t>122,434,680 </w:t>
      </w:r>
      <w:r>
        <w:rPr/>
        <w:t>股变动为</w:t>
      </w:r>
      <w:r>
        <w:rPr>
          <w:spacing w:val="-60"/>
        </w:rPr>
        <w:t> </w:t>
      </w:r>
      <w:r>
        <w:rPr>
          <w:rFonts w:ascii="Times New Roman" w:hAnsi="Times New Roman" w:cs="Times New Roman" w:eastAsia="Times New Roman" w:hint="default"/>
        </w:rPr>
        <w:t>195,821,670 </w:t>
      </w:r>
      <w:r>
        <w:rPr/>
        <w:t>股，公司的股份总数及股东结构相应产生变 动。</w:t>
      </w:r>
    </w:p>
    <w:p>
      <w:pPr>
        <w:spacing w:line="240" w:lineRule="auto" w:before="8"/>
        <w:rPr>
          <w:rFonts w:ascii="宋体" w:hAnsi="宋体" w:cs="宋体" w:eastAsia="宋体" w:hint="default"/>
          <w:sz w:val="20"/>
          <w:szCs w:val="20"/>
        </w:rPr>
      </w:pPr>
    </w:p>
    <w:p>
      <w:pPr>
        <w:pStyle w:val="Heading2"/>
        <w:spacing w:line="240" w:lineRule="auto"/>
        <w:ind w:left="537"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spacing w:line="412" w:lineRule="auto" w:before="0"/>
        <w:ind w:left="537" w:right="670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49" w:id="50"/>
      <w:bookmarkEnd w:id="50"/>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、公司股东数量及持股情况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1455"/>
        <w:gridCol w:w="200"/>
        <w:gridCol w:w="932"/>
        <w:gridCol w:w="265"/>
        <w:gridCol w:w="586"/>
        <w:gridCol w:w="676"/>
        <w:gridCol w:w="601"/>
        <w:gridCol w:w="531"/>
        <w:gridCol w:w="746"/>
        <w:gridCol w:w="816"/>
        <w:gridCol w:w="317"/>
        <w:gridCol w:w="250"/>
        <w:gridCol w:w="886"/>
        <w:gridCol w:w="708"/>
        <w:gridCol w:w="674"/>
        <w:gridCol w:w="387"/>
      </w:tblGrid>
      <w:tr>
        <w:trPr>
          <w:trHeight w:val="1262" w:hRule="exact"/>
        </w:trPr>
        <w:tc>
          <w:tcPr>
            <w:tcW w:w="16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316" w:lineRule="auto"/>
              <w:ind w:left="552" w:right="100" w:hanging="45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18,588</w:t>
            </w:r>
          </w:p>
        </w:tc>
        <w:tc>
          <w:tcPr>
            <w:tcW w:w="1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4" w:right="85"/>
              <w:jc w:val="center"/>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21,728</w:t>
            </w:r>
          </w:p>
        </w:tc>
        <w:tc>
          <w:tcPr>
            <w:tcW w:w="15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55" w:right="55"/>
              <w:jc w:val="center"/>
              <w:rPr>
                <w:rFonts w:ascii="宋体" w:hAnsi="宋体" w:cs="宋体" w:eastAsia="宋体" w:hint="default"/>
                <w:sz w:val="18"/>
                <w:szCs w:val="18"/>
              </w:rPr>
            </w:pPr>
            <w:r>
              <w:rPr>
                <w:rFonts w:ascii="宋体" w:hAnsi="宋体" w:cs="宋体" w:eastAsia="宋体" w:hint="default"/>
                <w:sz w:val="18"/>
                <w:szCs w:val="18"/>
              </w:rPr>
              <w:t>报告期末表决权恢 复的优先股股东总 数（如有）</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50" w:right="46"/>
              <w:jc w:val="center"/>
              <w:rPr>
                <w:rFonts w:ascii="宋体" w:hAnsi="宋体" w:cs="宋体" w:eastAsia="宋体" w:hint="default"/>
                <w:sz w:val="18"/>
                <w:szCs w:val="18"/>
              </w:rPr>
            </w:pPr>
            <w:r>
              <w:rPr>
                <w:rFonts w:ascii="宋体" w:hAnsi="宋体" w:cs="宋体" w:eastAsia="宋体" w:hint="default"/>
                <w:sz w:val="18"/>
                <w:szCs w:val="18"/>
              </w:rPr>
              <w:t>年度报告披露日前上一月末 表决权恢复的优先股股东总 数（如有）</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318" w:hRule="exact"/>
        </w:trPr>
        <w:tc>
          <w:tcPr>
            <w:tcW w:w="10030"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2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23" w:hRule="exact"/>
        </w:trPr>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451" w:right="95"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271" w:right="94"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
              <w:ind w:left="110"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
              <w:ind w:left="110" w:right="11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6" w:right="79"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钟耳顺</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2" w:right="0"/>
              <w:jc w:val="left"/>
              <w:rPr>
                <w:rFonts w:ascii="Times New Roman" w:hAnsi="Times New Roman" w:cs="Times New Roman" w:eastAsia="Times New Roman" w:hint="default"/>
                <w:sz w:val="18"/>
                <w:szCs w:val="18"/>
              </w:rPr>
            </w:pPr>
            <w:r>
              <w:rPr>
                <w:rFonts w:ascii="Times New Roman"/>
                <w:sz w:val="18"/>
              </w:rPr>
              <w:t>14.95%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9" w:right="0"/>
              <w:jc w:val="left"/>
              <w:rPr>
                <w:rFonts w:ascii="Times New Roman" w:hAnsi="Times New Roman" w:cs="Times New Roman" w:eastAsia="Times New Roman" w:hint="default"/>
                <w:sz w:val="18"/>
                <w:szCs w:val="18"/>
              </w:rPr>
            </w:pPr>
            <w:r>
              <w:rPr>
                <w:rFonts w:ascii="Times New Roman"/>
                <w:sz w:val="18"/>
              </w:rPr>
              <w:t>29,271,040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0" w:right="0"/>
              <w:jc w:val="left"/>
              <w:rPr>
                <w:rFonts w:ascii="Times New Roman" w:hAnsi="Times New Roman" w:cs="Times New Roman" w:eastAsia="Times New Roman" w:hint="default"/>
                <w:sz w:val="18"/>
                <w:szCs w:val="18"/>
              </w:rPr>
            </w:pPr>
            <w:r>
              <w:rPr>
                <w:rFonts w:ascii="Times New Roman"/>
                <w:sz w:val="18"/>
              </w:rPr>
              <w:t>10,976,640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21,953,280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7,317,760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1,920,000</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宋关福</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5.85%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Times New Roman" w:hAnsi="Times New Roman" w:cs="Times New Roman" w:eastAsia="Times New Roman" w:hint="default"/>
                <w:sz w:val="18"/>
                <w:szCs w:val="18"/>
              </w:rPr>
            </w:pPr>
            <w:r>
              <w:rPr>
                <w:rFonts w:ascii="Times New Roman"/>
                <w:sz w:val="18"/>
              </w:rPr>
              <w:t>11,456,720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4,377,520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8,592,540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2,864,180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2,500,000</w:t>
            </w:r>
          </w:p>
        </w:tc>
      </w:tr>
      <w:tr>
        <w:trPr>
          <w:trHeight w:val="94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1" w:right="93"/>
              <w:jc w:val="center"/>
              <w:rPr>
                <w:rFonts w:ascii="宋体" w:hAnsi="宋体" w:cs="宋体" w:eastAsia="宋体" w:hint="default"/>
                <w:sz w:val="18"/>
                <w:szCs w:val="18"/>
              </w:rPr>
            </w:pPr>
            <w:r>
              <w:rPr>
                <w:rFonts w:ascii="宋体" w:hAnsi="宋体" w:cs="宋体" w:eastAsia="宋体" w:hint="default"/>
                <w:sz w:val="18"/>
                <w:szCs w:val="18"/>
              </w:rPr>
              <w:t>中国科学院地理 科学与资源研究 所</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10,370,350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3,888,881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10,370,350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王尔琪</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2.85%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0" w:right="0"/>
              <w:jc w:val="left"/>
              <w:rPr>
                <w:rFonts w:ascii="Times New Roman" w:hAnsi="Times New Roman" w:cs="Times New Roman" w:eastAsia="Times New Roman" w:hint="default"/>
                <w:sz w:val="18"/>
                <w:szCs w:val="18"/>
              </w:rPr>
            </w:pPr>
            <w:r>
              <w:rPr>
                <w:rFonts w:ascii="Times New Roman"/>
                <w:sz w:val="18"/>
              </w:rPr>
              <w:t>5,585,920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2,094,720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4,189,440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1,396,480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王康弘</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0" w:right="0"/>
              <w:jc w:val="left"/>
              <w:rPr>
                <w:rFonts w:ascii="Times New Roman" w:hAnsi="Times New Roman" w:cs="Times New Roman" w:eastAsia="Times New Roman" w:hint="default"/>
                <w:sz w:val="18"/>
                <w:szCs w:val="18"/>
              </w:rPr>
            </w:pPr>
            <w:r>
              <w:rPr>
                <w:rFonts w:ascii="Times New Roman"/>
                <w:sz w:val="18"/>
              </w:rPr>
              <w:t>2.34%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0" w:right="0"/>
              <w:jc w:val="left"/>
              <w:rPr>
                <w:rFonts w:ascii="Times New Roman" w:hAnsi="Times New Roman" w:cs="Times New Roman" w:eastAsia="Times New Roman" w:hint="default"/>
                <w:sz w:val="18"/>
                <w:szCs w:val="18"/>
              </w:rPr>
            </w:pPr>
            <w:r>
              <w:rPr>
                <w:rFonts w:ascii="Times New Roman"/>
                <w:sz w:val="18"/>
              </w:rPr>
              <w:t>4,574,800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1" w:right="0"/>
              <w:jc w:val="left"/>
              <w:rPr>
                <w:rFonts w:ascii="Times New Roman" w:hAnsi="Times New Roman" w:cs="Times New Roman" w:eastAsia="Times New Roman" w:hint="default"/>
                <w:sz w:val="18"/>
                <w:szCs w:val="18"/>
              </w:rPr>
            </w:pPr>
            <w:r>
              <w:rPr>
                <w:rFonts w:ascii="Times New Roman"/>
                <w:sz w:val="18"/>
              </w:rPr>
              <w:t>1,740,550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Times New Roman" w:hAnsi="Times New Roman" w:cs="Times New Roman" w:eastAsia="Times New Roman" w:hint="default"/>
                <w:sz w:val="18"/>
                <w:szCs w:val="18"/>
              </w:rPr>
            </w:pPr>
            <w:r>
              <w:rPr>
                <w:rFonts w:ascii="Times New Roman"/>
                <w:sz w:val="18"/>
              </w:rPr>
              <w:t>3,431,099</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Times New Roman" w:hAnsi="Times New Roman" w:cs="Times New Roman" w:eastAsia="Times New Roman" w:hint="default"/>
                <w:sz w:val="18"/>
                <w:szCs w:val="18"/>
              </w:rPr>
            </w:pPr>
            <w:r>
              <w:rPr>
                <w:rFonts w:ascii="Times New Roman"/>
                <w:sz w:val="18"/>
              </w:rPr>
              <w:t>1,143,701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梁军</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2.30%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0" w:right="0"/>
              <w:jc w:val="left"/>
              <w:rPr>
                <w:rFonts w:ascii="Times New Roman" w:hAnsi="Times New Roman" w:cs="Times New Roman" w:eastAsia="Times New Roman" w:hint="default"/>
                <w:sz w:val="18"/>
                <w:szCs w:val="18"/>
              </w:rPr>
            </w:pPr>
            <w:r>
              <w:rPr>
                <w:rFonts w:ascii="Times New Roman"/>
                <w:sz w:val="18"/>
              </w:rPr>
              <w:t>4,500,000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1,060,000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9" w:right="0"/>
              <w:jc w:val="left"/>
              <w:rPr>
                <w:rFonts w:ascii="Times New Roman" w:hAnsi="Times New Roman" w:cs="Times New Roman" w:eastAsia="Times New Roman" w:hint="default"/>
                <w:sz w:val="18"/>
                <w:szCs w:val="18"/>
              </w:rPr>
            </w:pPr>
            <w:r>
              <w:rPr>
                <w:rFonts w:ascii="Times New Roman"/>
                <w:sz w:val="18"/>
              </w:rPr>
              <w:t>4,500,000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31" w:right="93" w:hanging="541"/>
              <w:jc w:val="left"/>
              <w:rPr>
                <w:rFonts w:ascii="宋体" w:hAnsi="宋体" w:cs="宋体" w:eastAsia="宋体" w:hint="default"/>
                <w:sz w:val="18"/>
                <w:szCs w:val="18"/>
              </w:rPr>
            </w:pPr>
            <w:r>
              <w:rPr>
                <w:rFonts w:ascii="宋体" w:hAnsi="宋体" w:cs="宋体" w:eastAsia="宋体" w:hint="default"/>
                <w:sz w:val="18"/>
                <w:szCs w:val="18"/>
              </w:rPr>
              <w:t>银丰证券投资基 金</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4,499,960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4,499,960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4,499,960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085" w:top="1220" w:bottom="1280" w:left="740" w:right="900"/>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04" w:type="dxa"/>
        <w:tblLayout w:type="fixed"/>
        <w:tblCellMar>
          <w:top w:w="0" w:type="dxa"/>
          <w:left w:w="0" w:type="dxa"/>
          <w:bottom w:w="0" w:type="dxa"/>
          <w:right w:w="0" w:type="dxa"/>
        </w:tblCellMar>
        <w:tblLook w:val="01E0"/>
      </w:tblPr>
      <w:tblGrid>
        <w:gridCol w:w="1455"/>
        <w:gridCol w:w="1133"/>
        <w:gridCol w:w="850"/>
        <w:gridCol w:w="677"/>
        <w:gridCol w:w="600"/>
        <w:gridCol w:w="1277"/>
        <w:gridCol w:w="1133"/>
        <w:gridCol w:w="206"/>
        <w:gridCol w:w="929"/>
        <w:gridCol w:w="420"/>
        <w:gridCol w:w="288"/>
        <w:gridCol w:w="1061"/>
      </w:tblGrid>
      <w:tr>
        <w:trPr>
          <w:trHeight w:val="634"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62" w:right="93" w:hanging="272"/>
              <w:jc w:val="left"/>
              <w:rPr>
                <w:rFonts w:ascii="宋体" w:hAnsi="宋体" w:cs="宋体" w:eastAsia="宋体" w:hint="default"/>
                <w:sz w:val="18"/>
                <w:szCs w:val="18"/>
              </w:rPr>
            </w:pPr>
            <w:r>
              <w:rPr>
                <w:rFonts w:ascii="宋体" w:hAnsi="宋体" w:cs="宋体" w:eastAsia="宋体" w:hint="default"/>
                <w:sz w:val="18"/>
                <w:szCs w:val="18"/>
              </w:rPr>
              <w:t>全国社保基金六 零一组合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4,175,292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4,175,292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4,175,292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70"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1" w:right="93"/>
              <w:jc w:val="center"/>
              <w:rPr>
                <w:rFonts w:ascii="宋体" w:hAnsi="宋体" w:cs="宋体" w:eastAsia="宋体" w:hint="default"/>
                <w:sz w:val="18"/>
                <w:szCs w:val="18"/>
              </w:rPr>
            </w:pPr>
            <w:r>
              <w:rPr>
                <w:rFonts w:ascii="宋体" w:hAnsi="宋体" w:cs="宋体" w:eastAsia="宋体" w:hint="default"/>
                <w:sz w:val="18"/>
                <w:szCs w:val="18"/>
              </w:rPr>
              <w:t>中国工商银行股 份有限公司－招 商移动互联网产 业股票型证券投 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4,113,072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5"/>
                <w:sz w:val="18"/>
              </w:rPr>
              <w:t>4,113,072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4,113,072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宋体" w:hAnsi="宋体" w:cs="宋体" w:eastAsia="宋体" w:hint="default"/>
                <w:sz w:val="18"/>
                <w:szCs w:val="18"/>
              </w:rPr>
              <w:t>杜庆娥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7" w:right="0"/>
              <w:jc w:val="left"/>
              <w:rPr>
                <w:rFonts w:ascii="Times New Roman" w:hAnsi="Times New Roman" w:cs="Times New Roman" w:eastAsia="Times New Roman" w:hint="default"/>
                <w:sz w:val="18"/>
                <w:szCs w:val="18"/>
              </w:rPr>
            </w:pPr>
            <w:r>
              <w:rPr>
                <w:rFonts w:ascii="Times New Roman"/>
                <w:sz w:val="18"/>
              </w:rPr>
              <w:t>3,114,000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1,199,000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2,335,500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4" w:right="0"/>
              <w:jc w:val="left"/>
              <w:rPr>
                <w:rFonts w:ascii="Times New Roman" w:hAnsi="Times New Roman" w:cs="Times New Roman" w:eastAsia="Times New Roman" w:hint="default"/>
                <w:sz w:val="18"/>
                <w:szCs w:val="18"/>
              </w:rPr>
            </w:pPr>
            <w:r>
              <w:rPr>
                <w:rFonts w:ascii="Times New Roman"/>
                <w:sz w:val="18"/>
              </w:rPr>
              <w:t>778,500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r>
      <w:tr>
        <w:trPr>
          <w:trHeight w:val="948" w:hRule="exact"/>
        </w:trPr>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8" w:right="27"/>
              <w:jc w:val="center"/>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 有）</w:t>
            </w:r>
          </w:p>
        </w:tc>
        <w:tc>
          <w:tcPr>
            <w:tcW w:w="74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09" w:right="27" w:hanging="1081"/>
              <w:jc w:val="left"/>
              <w:rPr>
                <w:rFonts w:ascii="宋体" w:hAnsi="宋体" w:cs="宋体" w:eastAsia="宋体" w:hint="default"/>
                <w:sz w:val="18"/>
                <w:szCs w:val="18"/>
              </w:rPr>
            </w:pPr>
            <w:r>
              <w:rPr>
                <w:rFonts w:ascii="宋体" w:hAnsi="宋体" w:cs="宋体" w:eastAsia="宋体" w:hint="default"/>
                <w:sz w:val="18"/>
                <w:szCs w:val="18"/>
              </w:rPr>
              <w:t>上述股东关系关系或一致行动的 说明</w:t>
            </w:r>
          </w:p>
        </w:tc>
        <w:tc>
          <w:tcPr>
            <w:tcW w:w="74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2004" w:right="0"/>
              <w:jc w:val="left"/>
              <w:rPr>
                <w:rFonts w:ascii="宋体" w:hAnsi="宋体" w:cs="宋体" w:eastAsia="宋体" w:hint="default"/>
                <w:sz w:val="18"/>
                <w:szCs w:val="18"/>
              </w:rPr>
            </w:pPr>
            <w:r>
              <w:rPr>
                <w:rFonts w:ascii="宋体" w:hAnsi="宋体" w:cs="宋体" w:eastAsia="宋体" w:hint="default"/>
                <w:sz w:val="18"/>
                <w:szCs w:val="18"/>
              </w:rPr>
              <w:t>上述股东不存在关联关系也不是一致行动人</w:t>
            </w:r>
          </w:p>
        </w:tc>
      </w:tr>
      <w:tr>
        <w:trPr>
          <w:trHeight w:val="322" w:hRule="exact"/>
        </w:trPr>
        <w:tc>
          <w:tcPr>
            <w:tcW w:w="1003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22" w:hRule="exact"/>
        </w:trPr>
        <w:tc>
          <w:tcPr>
            <w:tcW w:w="411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1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4115" w:type="dxa"/>
            <w:gridSpan w:val="4"/>
            <w:vMerge/>
            <w:tcBorders>
              <w:left w:val="single" w:sz="4" w:space="0" w:color="000000"/>
              <w:bottom w:val="single" w:sz="4" w:space="0" w:color="000000"/>
              <w:right w:val="single" w:sz="4" w:space="0" w:color="000000"/>
            </w:tcBorders>
            <w:shd w:val="clear" w:color="auto" w:fill="D2D2D2"/>
          </w:tcPr>
          <w:p>
            <w:pPr/>
          </w:p>
        </w:tc>
        <w:tc>
          <w:tcPr>
            <w:tcW w:w="3216" w:type="dxa"/>
            <w:gridSpan w:val="4"/>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1" w:right="0"/>
              <w:jc w:val="left"/>
              <w:rPr>
                <w:rFonts w:ascii="宋体" w:hAnsi="宋体" w:cs="宋体" w:eastAsia="宋体" w:hint="default"/>
                <w:sz w:val="18"/>
                <w:szCs w:val="18"/>
              </w:rPr>
            </w:pPr>
            <w:r>
              <w:rPr>
                <w:rFonts w:ascii="宋体" w:hAnsi="宋体" w:cs="宋体" w:eastAsia="宋体" w:hint="default"/>
                <w:sz w:val="18"/>
                <w:szCs w:val="18"/>
              </w:rPr>
              <w:t>中国科学院地理科学与资源研究所</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10,370,350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1" w:right="0"/>
              <w:jc w:val="left"/>
              <w:rPr>
                <w:rFonts w:ascii="Times New Roman" w:hAnsi="Times New Roman" w:cs="Times New Roman" w:eastAsia="Times New Roman" w:hint="default"/>
                <w:sz w:val="18"/>
                <w:szCs w:val="18"/>
              </w:rPr>
            </w:pPr>
            <w:r>
              <w:rPr>
                <w:rFonts w:ascii="Times New Roman"/>
                <w:sz w:val="18"/>
              </w:rPr>
              <w:t>10,370,350</w:t>
            </w:r>
          </w:p>
        </w:tc>
      </w:tr>
      <w:tr>
        <w:trPr>
          <w:trHeight w:val="32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钟耳顺</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7,317,760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7" w:right="0"/>
              <w:jc w:val="left"/>
              <w:rPr>
                <w:rFonts w:ascii="Times New Roman" w:hAnsi="Times New Roman" w:cs="Times New Roman" w:eastAsia="Times New Roman" w:hint="default"/>
                <w:sz w:val="18"/>
                <w:szCs w:val="18"/>
              </w:rPr>
            </w:pPr>
            <w:r>
              <w:rPr>
                <w:rFonts w:ascii="Times New Roman"/>
                <w:sz w:val="18"/>
              </w:rPr>
              <w:t>7,317,760</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梁军</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4,500,000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4,500,000</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32" w:right="0"/>
              <w:jc w:val="left"/>
              <w:rPr>
                <w:rFonts w:ascii="宋体" w:hAnsi="宋体" w:cs="宋体" w:eastAsia="宋体" w:hint="default"/>
                <w:sz w:val="18"/>
                <w:szCs w:val="18"/>
              </w:rPr>
            </w:pPr>
            <w:r>
              <w:rPr>
                <w:rFonts w:ascii="宋体" w:hAnsi="宋体" w:cs="宋体" w:eastAsia="宋体" w:hint="default"/>
                <w:sz w:val="18"/>
                <w:szCs w:val="18"/>
              </w:rPr>
              <w:t>银丰证券投资基金</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4,499,960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4,499,960</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1" w:right="0"/>
              <w:jc w:val="left"/>
              <w:rPr>
                <w:rFonts w:ascii="宋体" w:hAnsi="宋体" w:cs="宋体" w:eastAsia="宋体" w:hint="default"/>
                <w:sz w:val="18"/>
                <w:szCs w:val="18"/>
              </w:rPr>
            </w:pPr>
            <w:r>
              <w:rPr>
                <w:rFonts w:ascii="宋体" w:hAnsi="宋体" w:cs="宋体" w:eastAsia="宋体" w:hint="default"/>
                <w:sz w:val="18"/>
                <w:szCs w:val="18"/>
              </w:rPr>
              <w:t>全国社保基金六零一组合</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4,175,292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4,175,292</w:t>
            </w:r>
          </w:p>
        </w:tc>
      </w:tr>
      <w:tr>
        <w:trPr>
          <w:trHeight w:val="63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241" w:right="72" w:hanging="1170"/>
              <w:jc w:val="left"/>
              <w:rPr>
                <w:rFonts w:ascii="宋体" w:hAnsi="宋体" w:cs="宋体" w:eastAsia="宋体" w:hint="default"/>
                <w:sz w:val="18"/>
                <w:szCs w:val="18"/>
              </w:rPr>
            </w:pPr>
            <w:r>
              <w:rPr>
                <w:rFonts w:ascii="宋体" w:hAnsi="宋体" w:cs="宋体" w:eastAsia="宋体" w:hint="default"/>
                <w:sz w:val="18"/>
                <w:szCs w:val="18"/>
              </w:rPr>
              <w:t>中国工商银行股份有限公司－招商移动互联网产业 股票型证券投资基金</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4,113,072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4,113,072</w:t>
            </w:r>
          </w:p>
        </w:tc>
      </w:tr>
      <w:tr>
        <w:trPr>
          <w:trHeight w:val="63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12" w:right="72" w:hanging="1441"/>
              <w:jc w:val="left"/>
              <w:rPr>
                <w:rFonts w:ascii="宋体" w:hAnsi="宋体" w:cs="宋体" w:eastAsia="宋体" w:hint="default"/>
                <w:sz w:val="18"/>
                <w:szCs w:val="18"/>
              </w:rPr>
            </w:pPr>
            <w:r>
              <w:rPr>
                <w:rFonts w:ascii="宋体" w:hAnsi="宋体" w:cs="宋体" w:eastAsia="宋体" w:hint="default"/>
                <w:sz w:val="18"/>
                <w:szCs w:val="18"/>
              </w:rPr>
              <w:t>中国建设银行股份有限公司－鹏华医疗保健股票型 证券投资基金</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2,999,841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2,999,841</w:t>
            </w:r>
          </w:p>
        </w:tc>
      </w:tr>
      <w:tr>
        <w:trPr>
          <w:trHeight w:val="32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宋关福</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2,864,180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7" w:right="0"/>
              <w:jc w:val="left"/>
              <w:rPr>
                <w:rFonts w:ascii="Times New Roman" w:hAnsi="Times New Roman" w:cs="Times New Roman" w:eastAsia="Times New Roman" w:hint="default"/>
                <w:sz w:val="18"/>
                <w:szCs w:val="18"/>
              </w:rPr>
            </w:pPr>
            <w:r>
              <w:rPr>
                <w:rFonts w:ascii="Times New Roman"/>
                <w:sz w:val="18"/>
              </w:rPr>
              <w:t>2,864,180</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1" w:right="0"/>
              <w:jc w:val="left"/>
              <w:rPr>
                <w:rFonts w:ascii="宋体" w:hAnsi="宋体" w:cs="宋体" w:eastAsia="宋体" w:hint="default"/>
                <w:sz w:val="18"/>
                <w:szCs w:val="18"/>
              </w:rPr>
            </w:pPr>
            <w:r>
              <w:rPr>
                <w:rFonts w:ascii="宋体" w:hAnsi="宋体" w:cs="宋体" w:eastAsia="宋体" w:hint="default"/>
                <w:sz w:val="18"/>
                <w:szCs w:val="18"/>
              </w:rPr>
              <w:t>交通银行－中海优质成长证券投资基金</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2,657,901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2,657,901</w:t>
            </w:r>
          </w:p>
        </w:tc>
      </w:tr>
      <w:tr>
        <w:trPr>
          <w:trHeight w:val="63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469" w:right="221" w:hanging="1249"/>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泰康人寿保险股份有限公司－分红－个人分红</w:t>
            </w:r>
            <w:r>
              <w:rPr>
                <w:rFonts w:ascii="Times New Roman" w:hAnsi="Times New Roman" w:cs="Times New Roman" w:eastAsia="Times New Roman" w:hint="default"/>
                <w:sz w:val="18"/>
                <w:szCs w:val="18"/>
              </w:rPr>
              <w:t>- 019L-FH002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32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2,122,157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2,122,157</w:t>
            </w:r>
          </w:p>
        </w:tc>
      </w:tr>
      <w:tr>
        <w:trPr>
          <w:trHeight w:val="946"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名无售限流通股股东之间，以及前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w:t>
            </w:r>
          </w:p>
          <w:p>
            <w:pPr>
              <w:pStyle w:val="TableParagraph"/>
              <w:spacing w:line="300" w:lineRule="auto" w:before="63"/>
              <w:ind w:left="1692" w:right="24" w:hanging="1666"/>
              <w:jc w:val="left"/>
              <w:rPr>
                <w:rFonts w:ascii="宋体" w:hAnsi="宋体" w:cs="宋体" w:eastAsia="宋体" w:hint="default"/>
                <w:sz w:val="18"/>
                <w:szCs w:val="18"/>
              </w:rPr>
            </w:pPr>
            <w:r>
              <w:rPr>
                <w:rFonts w:ascii="宋体" w:hAnsi="宋体" w:cs="宋体" w:eastAsia="宋体" w:hint="default"/>
                <w:sz w:val="18"/>
                <w:szCs w:val="18"/>
              </w:rPr>
              <w:t>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 动的说明</w:t>
            </w:r>
          </w:p>
        </w:tc>
        <w:tc>
          <w:tcPr>
            <w:tcW w:w="5915"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3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大股东之间不存在关联系 大股东之间不存在关联系</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不属于一致行 动人。公司未知前十名无限售条件股</w:t>
            </w:r>
            <w:r>
              <w:rPr>
                <w:rFonts w:ascii="宋体" w:hAnsi="宋体" w:cs="宋体" w:eastAsia="宋体" w:hint="default"/>
                <w:spacing w:val="1"/>
                <w:sz w:val="18"/>
                <w:szCs w:val="18"/>
              </w:rPr>
              <w:t> </w:t>
            </w:r>
            <w:r>
              <w:rPr>
                <w:rFonts w:ascii="宋体" w:hAnsi="宋体" w:cs="宋体" w:eastAsia="宋体" w:hint="default"/>
                <w:sz w:val="18"/>
                <w:szCs w:val="18"/>
              </w:rPr>
              <w:t>东之间是否存在关联系，也未知属于</w:t>
            </w:r>
          </w:p>
          <w:p>
            <w:pPr>
              <w:pStyle w:val="TableParagraph"/>
              <w:spacing w:line="240" w:lineRule="auto" w:before="31"/>
              <w:ind w:left="21" w:right="0"/>
              <w:jc w:val="left"/>
              <w:rPr>
                <w:rFonts w:ascii="宋体" w:hAnsi="宋体" w:cs="宋体" w:eastAsia="宋体" w:hint="default"/>
                <w:sz w:val="18"/>
                <w:szCs w:val="18"/>
              </w:rPr>
            </w:pPr>
            <w:r>
              <w:rPr>
                <w:rFonts w:ascii="宋体" w:hAnsi="宋体" w:cs="宋体" w:eastAsia="宋体" w:hint="default"/>
                <w:sz w:val="18"/>
                <w:szCs w:val="18"/>
              </w:rPr>
              <w:t>《上市公司信息披露管理办法》中规定的一致行动人。</w:t>
            </w:r>
          </w:p>
        </w:tc>
      </w:tr>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59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无此情况。</w:t>
            </w:r>
          </w:p>
        </w:tc>
      </w:tr>
    </w:tbl>
    <w:p>
      <w:pPr>
        <w:pStyle w:val="BodyText"/>
        <w:spacing w:line="326" w:lineRule="auto" w:before="39"/>
        <w:ind w:left="537" w:right="351" w:firstLine="480"/>
        <w:jc w:val="left"/>
      </w:pPr>
      <w:r>
        <w:rPr/>
        <w:t>公司前</w:t>
      </w:r>
      <w:r>
        <w:rPr>
          <w:spacing w:val="-63"/>
        </w:rPr>
        <w:t> </w:t>
      </w:r>
      <w:r>
        <w:rPr>
          <w:rFonts w:ascii="Calibri" w:hAnsi="Calibri" w:cs="Calibri" w:eastAsia="Calibri" w:hint="default"/>
        </w:rPr>
        <w:t>10</w:t>
      </w:r>
      <w:r>
        <w:rPr>
          <w:rFonts w:ascii="Calibri" w:hAnsi="Calibri" w:cs="Calibri" w:eastAsia="Calibri" w:hint="default"/>
          <w:spacing w:val="4"/>
        </w:rPr>
        <w:t> </w:t>
      </w:r>
      <w:r>
        <w:rPr/>
        <w:t>名普通股股东、前</w:t>
      </w:r>
      <w:r>
        <w:rPr>
          <w:spacing w:val="-62"/>
        </w:rPr>
        <w:t> </w:t>
      </w:r>
      <w:r>
        <w:rPr>
          <w:rFonts w:ascii="Calibri" w:hAnsi="Calibri" w:cs="Calibri" w:eastAsia="Calibri" w:hint="default"/>
        </w:rPr>
        <w:t>10</w:t>
      </w:r>
      <w:r>
        <w:rPr>
          <w:rFonts w:ascii="Calibri" w:hAnsi="Calibri" w:cs="Calibri" w:eastAsia="Calibri" w:hint="default"/>
          <w:spacing w:val="4"/>
        </w:rPr>
        <w:t> </w:t>
      </w:r>
      <w:r>
        <w:rPr/>
        <w:t>名无限售条件普通股股东在报告期内是否进行约定购 回交易</w:t>
      </w:r>
    </w:p>
    <w:p>
      <w:pPr>
        <w:pStyle w:val="BodyText"/>
        <w:spacing w:line="240" w:lineRule="auto" w:before="67"/>
        <w:ind w:left="1017" w:right="229"/>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21"/>
        </w:rPr>
        <w:t> </w:t>
      </w:r>
      <w:r>
        <w:rPr/>
        <w:t>否</w:t>
      </w:r>
    </w:p>
    <w:p>
      <w:pPr>
        <w:pStyle w:val="BodyText"/>
        <w:spacing w:line="326" w:lineRule="auto" w:before="123"/>
        <w:ind w:left="537" w:right="351" w:firstLine="480"/>
        <w:jc w:val="left"/>
      </w:pPr>
      <w:r>
        <w:rPr/>
        <w:t>公司前</w:t>
      </w:r>
      <w:r>
        <w:rPr>
          <w:spacing w:val="-63"/>
        </w:rPr>
        <w:t> </w:t>
      </w:r>
      <w:r>
        <w:rPr>
          <w:rFonts w:ascii="Calibri" w:hAnsi="Calibri" w:cs="Calibri" w:eastAsia="Calibri" w:hint="default"/>
        </w:rPr>
        <w:t>10</w:t>
      </w:r>
      <w:r>
        <w:rPr>
          <w:rFonts w:ascii="Calibri" w:hAnsi="Calibri" w:cs="Calibri" w:eastAsia="Calibri" w:hint="default"/>
          <w:spacing w:val="4"/>
        </w:rPr>
        <w:t> </w:t>
      </w:r>
      <w:r>
        <w:rPr/>
        <w:t>名普通股股东、前</w:t>
      </w:r>
      <w:r>
        <w:rPr>
          <w:spacing w:val="-62"/>
        </w:rPr>
        <w:t> </w:t>
      </w:r>
      <w:r>
        <w:rPr>
          <w:rFonts w:ascii="Calibri" w:hAnsi="Calibri" w:cs="Calibri" w:eastAsia="Calibri" w:hint="default"/>
        </w:rPr>
        <w:t>10</w:t>
      </w:r>
      <w:r>
        <w:rPr>
          <w:rFonts w:ascii="Calibri" w:hAnsi="Calibri" w:cs="Calibri" w:eastAsia="Calibri" w:hint="default"/>
          <w:spacing w:val="4"/>
        </w:rPr>
        <w:t> </w:t>
      </w:r>
      <w:r>
        <w:rPr/>
        <w:t>名无限售条件普通股股东在报告期内未进行约定购回 交易。</w:t>
      </w:r>
    </w:p>
    <w:p>
      <w:pPr>
        <w:spacing w:line="312" w:lineRule="auto" w:before="0"/>
        <w:ind w:left="1017" w:right="634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、公司控股股东情况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控股股东性质：自然人控股</w:t>
      </w:r>
    </w:p>
    <w:p>
      <w:pPr>
        <w:spacing w:after="0" w:line="312" w:lineRule="auto"/>
        <w:jc w:val="left"/>
        <w:rPr>
          <w:rFonts w:ascii="宋体" w:hAnsi="宋体" w:cs="宋体" w:eastAsia="宋体" w:hint="default"/>
          <w:sz w:val="24"/>
          <w:szCs w:val="24"/>
        </w:rPr>
        <w:sectPr>
          <w:pgSz w:w="11910" w:h="16840"/>
          <w:pgMar w:header="877" w:footer="1085" w:top="1220" w:bottom="1280" w:left="740" w:right="90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t>控股股东类型：自然人</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516"/>
        <w:gridCol w:w="1476"/>
        <w:gridCol w:w="5497"/>
      </w:tblGrid>
      <w:tr>
        <w:trPr>
          <w:trHeight w:val="322"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控股股东姓名</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54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主要职业及职务</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一直工作于北京超图软件股份有限公司，现任董事长职务</w:t>
            </w:r>
          </w:p>
        </w:tc>
      </w:tr>
      <w:tr>
        <w:trPr>
          <w:trHeight w:val="636"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07" w:right="200" w:hanging="106"/>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境内外上市公司情况</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39"/>
        <w:ind w:left="617" w:right="229"/>
        <w:jc w:val="left"/>
      </w:pPr>
      <w:r>
        <w:rPr/>
        <w:t>控股股东报告期内变更</w:t>
      </w:r>
    </w:p>
    <w:p>
      <w:pPr>
        <w:pStyle w:val="BodyText"/>
        <w:spacing w:line="326" w:lineRule="auto" w:before="154"/>
        <w:ind w:left="617" w:right="554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公司报告期控股股东未发生变更。</w:t>
      </w:r>
    </w:p>
    <w:p>
      <w:pPr>
        <w:spacing w:line="336" w:lineRule="auto" w:before="0"/>
        <w:ind w:left="617" w:right="60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、公司实际控制人情况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实际控制人性质：境内自然人 实际控制人类型：自然人</w:t>
      </w:r>
    </w:p>
    <w:tbl>
      <w:tblPr>
        <w:tblW w:w="0" w:type="auto"/>
        <w:jc w:val="left"/>
        <w:tblInd w:w="137" w:type="dxa"/>
        <w:tblLayout w:type="fixed"/>
        <w:tblCellMar>
          <w:top w:w="0" w:type="dxa"/>
          <w:left w:w="0" w:type="dxa"/>
          <w:bottom w:w="0" w:type="dxa"/>
          <w:right w:w="0" w:type="dxa"/>
        </w:tblCellMar>
        <w:tblLook w:val="01E0"/>
      </w:tblPr>
      <w:tblGrid>
        <w:gridCol w:w="2516"/>
        <w:gridCol w:w="1476"/>
        <w:gridCol w:w="5497"/>
      </w:tblGrid>
      <w:tr>
        <w:trPr>
          <w:trHeight w:val="322"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控股股东姓名</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54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主要职业及职务</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一直工作于北京超图软件股份有限公司，现任董事长职务</w:t>
            </w:r>
          </w:p>
        </w:tc>
      </w:tr>
      <w:tr>
        <w:trPr>
          <w:trHeight w:val="636"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307" w:right="200" w:hanging="106"/>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境内外上市公司情况</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58"/>
        <w:ind w:left="617" w:right="229"/>
        <w:jc w:val="left"/>
      </w:pPr>
      <w:r>
        <w:rPr/>
        <w:t>实际控制人报告期内变更</w:t>
      </w:r>
    </w:p>
    <w:p>
      <w:pPr>
        <w:pStyle w:val="BodyText"/>
        <w:spacing w:line="340" w:lineRule="auto" w:before="154"/>
        <w:ind w:left="617" w:right="38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公司报告期实际控制人未发生变更。</w:t>
      </w:r>
      <w:r>
        <w:rPr>
          <w:w w:val="99"/>
        </w:rPr>
        <w:t> </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602" w:lineRule="exact"/>
        <w:ind w:left="4147"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151.450pt;height:30.15pt;mso-position-horizontal-relative:char;mso-position-vertical-relative:line" type="#_x0000_t202" filled="true" fillcolor="#fad3b4" stroked="true" strokeweight=".72pt" strokecolor="#000000">
            <w10:anchorlock/>
            <v:textbox inset="0,0,0,0">
              <w:txbxContent>
                <w:p>
                  <w:pPr>
                    <w:spacing w:before="36"/>
                    <w:ind w:left="66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实际控制人：钟耳顺</w:t>
                  </w:r>
                  <w:r>
                    <w:rPr>
                      <w:rFonts w:ascii="Microsoft JhengHei" w:hAnsi="Microsoft JhengHei" w:cs="Microsoft JhengHei" w:eastAsia="Microsoft JhengHei" w:hint="default"/>
                      <w:sz w:val="24"/>
                      <w:szCs w:val="24"/>
                    </w:rPr>
                  </w:r>
                </w:p>
              </w:txbxContent>
            </v:textbox>
            <v:fill type="solid"/>
          </v:shape>
        </w:pict>
      </w:r>
      <w:r>
        <w:rPr>
          <w:rFonts w:ascii="宋体" w:hAnsi="宋体" w:cs="宋体" w:eastAsia="宋体" w:hint="default"/>
          <w:position w:val="-11"/>
          <w:sz w:val="20"/>
          <w:szCs w:val="20"/>
        </w:rPr>
      </w:r>
    </w:p>
    <w:p>
      <w:pPr>
        <w:spacing w:line="240" w:lineRule="auto" w:before="11"/>
        <w:rPr>
          <w:rFonts w:ascii="宋体" w:hAnsi="宋体" w:cs="宋体" w:eastAsia="宋体" w:hint="default"/>
          <w:sz w:val="21"/>
          <w:szCs w:val="21"/>
        </w:rPr>
      </w:pPr>
    </w:p>
    <w:p>
      <w:pPr>
        <w:spacing w:line="367" w:lineRule="exact" w:before="0"/>
        <w:ind w:left="6522" w:right="229" w:firstLine="0"/>
        <w:jc w:val="left"/>
        <w:rPr>
          <w:rFonts w:ascii="Microsoft JhengHei" w:hAnsi="Microsoft JhengHei" w:cs="Microsoft JhengHei" w:eastAsia="Microsoft JhengHei" w:hint="default"/>
          <w:sz w:val="24"/>
          <w:szCs w:val="24"/>
        </w:rPr>
      </w:pPr>
      <w:r>
        <w:rPr/>
        <w:pict>
          <v:group style="position:absolute;margin-left:327.359985pt;margin-top:-14.2775pt;width:8.65pt;height:55.1pt;mso-position-horizontal-relative:page;mso-position-vertical-relative:paragraph;z-index:-849256" coordorigin="6547,-286" coordsize="173,1102">
            <v:shape style="position:absolute;left:6547;top:-286;width:173;height:1102" coordorigin="6547,-286" coordsize="173,1102" path="m6720,494l6677,494,6677,-286,6590,-286,6590,494,6547,494,6634,816,6720,494xe" filled="false" stroked="true" strokeweight=".72pt" strokecolor="#000000">
              <v:path arrowok="t"/>
            </v:shape>
            <w10:wrap type="none"/>
          </v:group>
        </w:pict>
      </w:r>
      <w:r>
        <w:rPr>
          <w:rFonts w:ascii="Microsoft JhengHei" w:hAnsi="Microsoft JhengHei" w:cs="Microsoft JhengHei" w:eastAsia="Microsoft JhengHei" w:hint="default"/>
          <w:b/>
          <w:bCs/>
          <w:sz w:val="24"/>
          <w:szCs w:val="24"/>
        </w:rPr>
        <w:t>股份占比</w:t>
      </w:r>
      <w:r>
        <w:rPr>
          <w:rFonts w:ascii="Times New Roman" w:hAnsi="Times New Roman" w:cs="Times New Roman" w:eastAsia="Times New Roman" w:hint="default"/>
          <w:b/>
          <w:bCs/>
          <w:sz w:val="24"/>
          <w:szCs w:val="24"/>
        </w:rPr>
        <w:t>14.95</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25"/>
          <w:szCs w:val="25"/>
        </w:rPr>
      </w:pPr>
    </w:p>
    <w:p>
      <w:pPr>
        <w:spacing w:line="508" w:lineRule="exact"/>
        <w:ind w:left="406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shape style="width:160.6pt;height:25.45pt;mso-position-horizontal-relative:char;mso-position-vertical-relative:line" type="#_x0000_t202" filled="true" fillcolor="#fad3b4" stroked="true" strokeweight=".72pt" strokecolor="#000000">
            <w10:anchorlock/>
            <v:textbox inset="0,0,0,0">
              <w:txbxContent>
                <w:p>
                  <w:pPr>
                    <w:spacing w:before="36"/>
                    <w:ind w:left="63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北京超图软件股份有限</w:t>
                  </w:r>
                  <w:r>
                    <w:rPr>
                      <w:rFonts w:ascii="Microsoft JhengHei" w:hAnsi="Microsoft JhengHei" w:cs="Microsoft JhengHei" w:eastAsia="Microsoft JhengHei" w:hint="default"/>
                      <w:sz w:val="24"/>
                      <w:szCs w:val="24"/>
                    </w:rPr>
                  </w:r>
                </w:p>
              </w:txbxContent>
            </v:textbox>
            <v:fill type="solid"/>
          </v:shape>
        </w:pict>
      </w:r>
      <w:r>
        <w:rPr>
          <w:rFonts w:ascii="Microsoft JhengHei" w:hAnsi="Microsoft JhengHei" w:cs="Microsoft JhengHei" w:eastAsia="Microsoft JhengHei" w:hint="default"/>
          <w:position w:val="-9"/>
          <w:sz w:val="20"/>
          <w:szCs w:val="20"/>
        </w:rPr>
      </w:r>
    </w:p>
    <w:p>
      <w:pPr>
        <w:spacing w:line="240" w:lineRule="auto" w:before="2"/>
        <w:rPr>
          <w:rFonts w:ascii="Microsoft JhengHei" w:hAnsi="Microsoft JhengHei" w:cs="Microsoft JhengHei" w:eastAsia="Microsoft JhengHei" w:hint="default"/>
          <w:b/>
          <w:bCs/>
          <w:sz w:val="26"/>
          <w:szCs w:val="26"/>
        </w:rPr>
      </w:pPr>
    </w:p>
    <w:p>
      <w:pPr>
        <w:pStyle w:val="BodyText"/>
        <w:spacing w:line="240" w:lineRule="auto" w:before="26"/>
        <w:ind w:left="617" w:right="229"/>
        <w:jc w:val="left"/>
      </w:pPr>
      <w:r>
        <w:rPr/>
        <w:t>实际控制人通过信托或其他资产管理方式控制公司</w:t>
      </w:r>
    </w:p>
    <w:p>
      <w:pPr>
        <w:pStyle w:val="BodyText"/>
        <w:spacing w:line="240" w:lineRule="auto" w:before="154"/>
        <w:ind w:left="617" w:right="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760" w:lineRule="atLeast" w:before="17"/>
        <w:ind w:left="617" w:right="481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、其他持股在 </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以上的法人股东</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公司不存在持股在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w:t>
      </w:r>
    </w:p>
    <w:p>
      <w:pPr>
        <w:spacing w:after="0" w:line="760" w:lineRule="atLeast"/>
        <w:jc w:val="left"/>
        <w:rPr>
          <w:rFonts w:ascii="宋体" w:hAnsi="宋体" w:cs="宋体" w:eastAsia="宋体" w:hint="default"/>
          <w:sz w:val="24"/>
          <w:szCs w:val="24"/>
        </w:rPr>
        <w:sectPr>
          <w:footerReference w:type="default" r:id="rId31"/>
          <w:pgSz w:w="11910" w:h="16840"/>
          <w:pgMar w:footer="1085" w:header="877" w:top="1220" w:bottom="1280" w:left="1140" w:right="980"/>
          <w:pgNumType w:start="75"/>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77" w:footer="1085" w:top="1220" w:bottom="1280" w:left="1140" w:right="980"/>
        </w:sectPr>
      </w:pPr>
    </w:p>
    <w:p>
      <w:pPr>
        <w:spacing w:line="240" w:lineRule="auto" w:before="6"/>
        <w:rPr>
          <w:rFonts w:ascii="宋体" w:hAnsi="宋体" w:cs="宋体" w:eastAsia="宋体" w:hint="default"/>
          <w:sz w:val="19"/>
          <w:szCs w:val="19"/>
        </w:rPr>
      </w:pPr>
    </w:p>
    <w:p>
      <w:pPr>
        <w:pStyle w:val="Heading1"/>
        <w:tabs>
          <w:tab w:pos="1259" w:val="left" w:leader="none"/>
        </w:tabs>
        <w:spacing w:line="456" w:lineRule="exact"/>
        <w:ind w:right="20"/>
        <w:jc w:val="center"/>
        <w:rPr>
          <w:b w:val="0"/>
          <w:bCs w:val="0"/>
        </w:rPr>
      </w:pPr>
      <w:bookmarkStart w:name="_bookmark50" w:id="51"/>
      <w:bookmarkEnd w:id="51"/>
      <w:r>
        <w:rPr>
          <w:b w:val="0"/>
          <w:bCs w:val="0"/>
        </w:rPr>
      </w:r>
      <w:r>
        <w:rPr>
          <w:spacing w:val="4"/>
          <w:w w:val="95"/>
        </w:rPr>
        <w:t>第七节</w:t>
        <w:tab/>
      </w:r>
      <w:r>
        <w:rPr>
          <w:spacing w:val="5"/>
        </w:rPr>
        <w:t>优先股相关情况</w:t>
      </w:r>
      <w:r>
        <w:rPr>
          <w:b w:val="0"/>
          <w:bCs w:val="0"/>
          <w:spacing w:val="5"/>
        </w:rPr>
      </w:r>
    </w:p>
    <w:p>
      <w:pPr>
        <w:spacing w:line="240" w:lineRule="auto" w:before="16"/>
        <w:rPr>
          <w:rFonts w:ascii="Microsoft JhengHei" w:hAnsi="Microsoft JhengHei" w:cs="Microsoft JhengHei" w:eastAsia="Microsoft JhengHei" w:hint="default"/>
          <w:b/>
          <w:bCs/>
          <w:sz w:val="27"/>
          <w:szCs w:val="27"/>
        </w:rPr>
      </w:pPr>
    </w:p>
    <w:p>
      <w:pPr>
        <w:pStyle w:val="BodyText"/>
        <w:spacing w:line="326" w:lineRule="auto" w:before="0"/>
        <w:ind w:left="617" w:right="626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报告期公司不存在优先股。</w:t>
      </w:r>
    </w:p>
    <w:p>
      <w:pPr>
        <w:spacing w:line="240" w:lineRule="auto" w:before="5"/>
        <w:rPr>
          <w:rFonts w:ascii="宋体" w:hAnsi="宋体" w:cs="宋体" w:eastAsia="宋体" w:hint="default"/>
          <w:sz w:val="24"/>
          <w:szCs w:val="24"/>
        </w:rPr>
      </w:pPr>
    </w:p>
    <w:p>
      <w:pPr>
        <w:pStyle w:val="Heading1"/>
        <w:tabs>
          <w:tab w:pos="1260" w:val="left" w:leader="none"/>
        </w:tabs>
        <w:spacing w:line="240" w:lineRule="auto"/>
        <w:ind w:right="11"/>
        <w:jc w:val="center"/>
        <w:rPr>
          <w:b w:val="0"/>
          <w:bCs w:val="0"/>
        </w:rPr>
      </w:pPr>
      <w:bookmarkStart w:name="_bookmark51" w:id="52"/>
      <w:bookmarkEnd w:id="52"/>
      <w:r>
        <w:rPr>
          <w:b w:val="0"/>
          <w:bCs w:val="0"/>
        </w:rPr>
      </w:r>
      <w:r>
        <w:rPr>
          <w:spacing w:val="4"/>
          <w:w w:val="95"/>
        </w:rPr>
        <w:t>第八节</w:t>
        <w:tab/>
      </w:r>
      <w:r>
        <w:rPr>
          <w:spacing w:val="6"/>
        </w:rPr>
        <w:t>董事、监事和高级管理人员和员工情况</w:t>
      </w:r>
      <w:r>
        <w:rPr>
          <w:b w:val="0"/>
          <w:bCs w:val="0"/>
        </w:rPr>
      </w:r>
    </w:p>
    <w:p>
      <w:pPr>
        <w:spacing w:line="240" w:lineRule="auto" w:before="3"/>
        <w:rPr>
          <w:rFonts w:ascii="Microsoft JhengHei" w:hAnsi="Microsoft JhengHei" w:cs="Microsoft JhengHei" w:eastAsia="Microsoft JhengHei" w:hint="default"/>
          <w:b/>
          <w:bCs/>
          <w:sz w:val="24"/>
          <w:szCs w:val="24"/>
        </w:rPr>
      </w:pPr>
    </w:p>
    <w:p>
      <w:pPr>
        <w:spacing w:before="0"/>
        <w:ind w:left="739" w:right="229" w:firstLine="0"/>
        <w:jc w:val="left"/>
        <w:rPr>
          <w:rFonts w:ascii="Microsoft JhengHei" w:hAnsi="Microsoft JhengHei" w:cs="Microsoft JhengHei" w:eastAsia="Microsoft JhengHei" w:hint="default"/>
          <w:sz w:val="30"/>
          <w:szCs w:val="30"/>
        </w:rPr>
      </w:pPr>
      <w:bookmarkStart w:name="_bookmark52" w:id="53"/>
      <w:bookmarkEnd w:id="53"/>
      <w:r>
        <w:rPr/>
      </w:r>
      <w:r>
        <w:rPr>
          <w:rFonts w:ascii="Microsoft JhengHei" w:hAnsi="Microsoft JhengHei" w:cs="Microsoft JhengHei" w:eastAsia="Microsoft JhengHei" w:hint="default"/>
          <w:b/>
          <w:bCs/>
          <w:sz w:val="30"/>
          <w:szCs w:val="30"/>
        </w:rPr>
        <w:t>一、董事、监事和高级管理人员持股变动</w:t>
      </w:r>
      <w:r>
        <w:rPr>
          <w:rFonts w:ascii="Microsoft JhengHei" w:hAnsi="Microsoft JhengHei" w:cs="Microsoft JhengHei" w:eastAsia="Microsoft JhengHei" w:hint="default"/>
          <w:sz w:val="30"/>
          <w:szCs w:val="30"/>
        </w:rPr>
      </w:r>
    </w:p>
    <w:p>
      <w:pPr>
        <w:spacing w:line="240" w:lineRule="auto" w:before="9"/>
        <w:rPr>
          <w:rFonts w:ascii="Microsoft JhengHei" w:hAnsi="Microsoft JhengHei" w:cs="Microsoft JhengHei" w:eastAsia="Microsoft JhengHei" w:hint="default"/>
          <w:b/>
          <w:bCs/>
          <w:sz w:val="7"/>
          <w:szCs w:val="7"/>
        </w:rPr>
      </w:pPr>
    </w:p>
    <w:tbl>
      <w:tblPr>
        <w:tblW w:w="0" w:type="auto"/>
        <w:jc w:val="left"/>
        <w:tblInd w:w="137" w:type="dxa"/>
        <w:tblLayout w:type="fixed"/>
        <w:tblCellMar>
          <w:top w:w="0" w:type="dxa"/>
          <w:left w:w="0" w:type="dxa"/>
          <w:bottom w:w="0" w:type="dxa"/>
          <w:right w:w="0" w:type="dxa"/>
        </w:tblCellMar>
        <w:tblLook w:val="01E0"/>
      </w:tblPr>
      <w:tblGrid>
        <w:gridCol w:w="754"/>
        <w:gridCol w:w="691"/>
        <w:gridCol w:w="516"/>
        <w:gridCol w:w="397"/>
        <w:gridCol w:w="509"/>
        <w:gridCol w:w="982"/>
        <w:gridCol w:w="982"/>
        <w:gridCol w:w="1025"/>
        <w:gridCol w:w="802"/>
        <w:gridCol w:w="759"/>
        <w:gridCol w:w="1027"/>
        <w:gridCol w:w="1025"/>
      </w:tblGrid>
      <w:tr>
        <w:trPr>
          <w:trHeight w:val="721" w:hRule="exact"/>
        </w:trPr>
        <w:tc>
          <w:tcPr>
            <w:tcW w:w="754" w:type="dxa"/>
            <w:vMerge w:val="restart"/>
            <w:tcBorders>
              <w:top w:val="single" w:sz="12" w:space="0" w:color="000000"/>
              <w:left w:val="single" w:sz="12"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4"/>
                <w:szCs w:val="24"/>
              </w:rPr>
            </w:pPr>
          </w:p>
          <w:p>
            <w:pPr>
              <w:pStyle w:val="TableParagraph"/>
              <w:spacing w:line="240" w:lineRule="auto"/>
              <w:ind w:left="1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姓名</w:t>
            </w:r>
            <w:r>
              <w:rPr>
                <w:rFonts w:ascii="Microsoft JhengHei" w:hAnsi="Microsoft JhengHei" w:cs="Microsoft JhengHei" w:eastAsia="Microsoft JhengHei" w:hint="default"/>
                <w:sz w:val="18"/>
                <w:szCs w:val="18"/>
              </w:rPr>
            </w:r>
          </w:p>
        </w:tc>
        <w:tc>
          <w:tcPr>
            <w:tcW w:w="691" w:type="dxa"/>
            <w:vMerge w:val="restart"/>
            <w:tcBorders>
              <w:top w:val="single" w:sz="12"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4"/>
                <w:szCs w:val="24"/>
              </w:rPr>
            </w:pPr>
          </w:p>
          <w:p>
            <w:pPr>
              <w:pStyle w:val="TableParagraph"/>
              <w:spacing w:line="240" w:lineRule="auto"/>
              <w:ind w:left="1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职务</w:t>
            </w:r>
            <w:r>
              <w:rPr>
                <w:rFonts w:ascii="Microsoft JhengHei" w:hAnsi="Microsoft JhengHei" w:cs="Microsoft JhengHei" w:eastAsia="Microsoft JhengHei" w:hint="default"/>
                <w:sz w:val="18"/>
                <w:szCs w:val="18"/>
              </w:rPr>
            </w:r>
          </w:p>
        </w:tc>
        <w:tc>
          <w:tcPr>
            <w:tcW w:w="516" w:type="dxa"/>
            <w:vMerge w:val="restart"/>
            <w:tcBorders>
              <w:top w:val="single" w:sz="12" w:space="0" w:color="000000"/>
              <w:left w:val="single" w:sz="8" w:space="0" w:color="000000"/>
              <w:right w:val="single" w:sz="8" w:space="0" w:color="000000"/>
            </w:tcBorders>
          </w:tcPr>
          <w:p>
            <w:pPr>
              <w:pStyle w:val="TableParagraph"/>
              <w:spacing w:line="264" w:lineRule="exact"/>
              <w:ind w:left="155"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任</w:t>
            </w:r>
            <w:r>
              <w:rPr>
                <w:rFonts w:ascii="Microsoft JhengHei" w:hAnsi="Microsoft JhengHei" w:cs="Microsoft JhengHei" w:eastAsia="Microsoft JhengHei" w:hint="default"/>
                <w:sz w:val="18"/>
                <w:szCs w:val="18"/>
              </w:rPr>
            </w:r>
          </w:p>
          <w:p>
            <w:pPr>
              <w:pStyle w:val="TableParagraph"/>
              <w:spacing w:line="240" w:lineRule="auto"/>
              <w:ind w:left="155" w:right="15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 状 态</w:t>
            </w:r>
            <w:r>
              <w:rPr>
                <w:rFonts w:ascii="Microsoft JhengHei" w:hAnsi="Microsoft JhengHei" w:cs="Microsoft JhengHei" w:eastAsia="Microsoft JhengHei" w:hint="default"/>
                <w:sz w:val="18"/>
                <w:szCs w:val="18"/>
              </w:rPr>
            </w:r>
          </w:p>
        </w:tc>
        <w:tc>
          <w:tcPr>
            <w:tcW w:w="397"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95" w:right="9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 别</w:t>
            </w:r>
            <w:r>
              <w:rPr>
                <w:rFonts w:ascii="Microsoft JhengHei" w:hAnsi="Microsoft JhengHei" w:cs="Microsoft JhengHei" w:eastAsia="Microsoft JhengHei" w:hint="default"/>
                <w:sz w:val="18"/>
                <w:szCs w:val="18"/>
              </w:rPr>
            </w:r>
          </w:p>
        </w:tc>
        <w:tc>
          <w:tcPr>
            <w:tcW w:w="509"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153" w:right="15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龄</w:t>
            </w:r>
            <w:r>
              <w:rPr>
                <w:rFonts w:ascii="Microsoft JhengHei" w:hAnsi="Microsoft JhengHei" w:cs="Microsoft JhengHei" w:eastAsia="Microsoft JhengHei" w:hint="default"/>
                <w:sz w:val="18"/>
                <w:szCs w:val="18"/>
              </w:rPr>
            </w:r>
          </w:p>
        </w:tc>
        <w:tc>
          <w:tcPr>
            <w:tcW w:w="982"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96" w:right="14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任职起始 日期</w:t>
            </w:r>
            <w:r>
              <w:rPr>
                <w:rFonts w:ascii="Microsoft JhengHei" w:hAnsi="Microsoft JhengHei" w:cs="Microsoft JhengHei" w:eastAsia="Microsoft JhengHei" w:hint="default"/>
                <w:sz w:val="18"/>
                <w:szCs w:val="18"/>
              </w:rPr>
            </w:r>
          </w:p>
        </w:tc>
        <w:tc>
          <w:tcPr>
            <w:tcW w:w="982"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297" w:right="121"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任期终止 日期</w:t>
            </w:r>
            <w:r>
              <w:rPr>
                <w:rFonts w:ascii="Microsoft JhengHei" w:hAnsi="Microsoft JhengHei" w:cs="Microsoft JhengHei" w:eastAsia="Microsoft JhengHei" w:hint="default"/>
                <w:sz w:val="18"/>
                <w:szCs w:val="18"/>
              </w:rPr>
            </w:r>
          </w:p>
        </w:tc>
        <w:tc>
          <w:tcPr>
            <w:tcW w:w="1025"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40" w:lineRule="auto"/>
              <w:ind w:left="261" w:right="139" w:hanging="12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期初持股 数</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2" w:type="dxa"/>
            <w:vMerge w:val="restart"/>
            <w:tcBorders>
              <w:top w:val="single" w:sz="12" w:space="0" w:color="000000"/>
              <w:left w:val="single" w:sz="8" w:space="0" w:color="000000"/>
              <w:right w:val="single" w:sz="8" w:space="0" w:color="000000"/>
            </w:tcBorders>
          </w:tcPr>
          <w:p>
            <w:pPr>
              <w:pStyle w:val="TableParagraph"/>
              <w:spacing w:line="264"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w:t>
            </w:r>
            <w:r>
              <w:rPr>
                <w:rFonts w:ascii="Microsoft JhengHei" w:hAnsi="Microsoft JhengHei" w:cs="Microsoft JhengHei" w:eastAsia="Microsoft JhengHei" w:hint="default"/>
                <w:sz w:val="18"/>
                <w:szCs w:val="18"/>
              </w:rPr>
            </w:r>
          </w:p>
          <w:p>
            <w:pPr>
              <w:pStyle w:val="TableParagraph"/>
              <w:spacing w:line="240" w:lineRule="auto"/>
              <w:ind w:left="208" w:right="118"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持股份 数量</w:t>
            </w:r>
            <w:r>
              <w:rPr>
                <w:rFonts w:ascii="Microsoft JhengHei" w:hAnsi="Microsoft JhengHei" w:cs="Microsoft JhengHei" w:eastAsia="Microsoft JhengHei" w:hint="default"/>
                <w:sz w:val="18"/>
                <w:szCs w:val="18"/>
              </w:rPr>
            </w:r>
          </w:p>
          <w:p>
            <w:pPr>
              <w:pStyle w:val="TableParagraph"/>
              <w:spacing w:line="312" w:lineRule="exact"/>
              <w:ind w:left="1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759" w:type="dxa"/>
            <w:vMerge w:val="restart"/>
            <w:tcBorders>
              <w:top w:val="single" w:sz="12" w:space="0" w:color="000000"/>
              <w:left w:val="single" w:sz="8" w:space="0" w:color="000000"/>
              <w:right w:val="single" w:sz="8" w:space="0" w:color="000000"/>
            </w:tcBorders>
          </w:tcPr>
          <w:p>
            <w:pPr>
              <w:pStyle w:val="TableParagraph"/>
              <w:spacing w:line="264" w:lineRule="exact"/>
              <w:ind w:left="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w:t>
            </w:r>
            <w:r>
              <w:rPr>
                <w:rFonts w:ascii="Microsoft JhengHei" w:hAnsi="Microsoft JhengHei" w:cs="Microsoft JhengHei" w:eastAsia="Microsoft JhengHei" w:hint="default"/>
                <w:sz w:val="18"/>
                <w:szCs w:val="18"/>
              </w:rPr>
            </w:r>
          </w:p>
          <w:p>
            <w:pPr>
              <w:pStyle w:val="TableParagraph"/>
              <w:spacing w:line="240" w:lineRule="auto"/>
              <w:ind w:left="187" w:right="97" w:hanging="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持股份 数量</w:t>
            </w:r>
            <w:r>
              <w:rPr>
                <w:rFonts w:ascii="Microsoft JhengHei" w:hAnsi="Microsoft JhengHei" w:cs="Microsoft JhengHei" w:eastAsia="Microsoft JhengHei" w:hint="default"/>
                <w:sz w:val="18"/>
                <w:szCs w:val="18"/>
              </w:rPr>
            </w:r>
          </w:p>
          <w:p>
            <w:pPr>
              <w:pStyle w:val="TableParagraph"/>
              <w:spacing w:line="312" w:lineRule="exact"/>
              <w:ind w:left="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1027" w:type="dxa"/>
            <w:vMerge w:val="restart"/>
            <w:tcBorders>
              <w:top w:val="single" w:sz="12" w:space="0" w:color="000000"/>
              <w:left w:val="single" w:sz="8" w:space="0" w:color="000000"/>
              <w:right w:val="single" w:sz="8" w:space="0" w:color="000000"/>
            </w:tcBorders>
          </w:tcPr>
          <w:p>
            <w:pPr>
              <w:pStyle w:val="TableParagraph"/>
              <w:spacing w:line="240" w:lineRule="auto" w:before="107"/>
              <w:ind w:left="321" w:right="142"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其他增减 变动</w:t>
            </w:r>
            <w:r>
              <w:rPr>
                <w:rFonts w:ascii="Microsoft JhengHei" w:hAnsi="Microsoft JhengHei" w:cs="Microsoft JhengHei" w:eastAsia="Microsoft JhengHei" w:hint="default"/>
                <w:sz w:val="18"/>
                <w:szCs w:val="18"/>
              </w:rPr>
            </w:r>
          </w:p>
          <w:p>
            <w:pPr>
              <w:pStyle w:val="TableParagraph"/>
              <w:spacing w:line="312" w:lineRule="exact"/>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1025" w:type="dxa"/>
            <w:tcBorders>
              <w:top w:val="single" w:sz="12" w:space="0" w:color="000000"/>
              <w:left w:val="single" w:sz="8" w:space="0" w:color="000000"/>
              <w:bottom w:val="nil" w:sz="6" w:space="0" w:color="auto"/>
              <w:right w:val="single" w:sz="12" w:space="0" w:color="000000"/>
            </w:tcBorders>
          </w:tcPr>
          <w:p>
            <w:pPr>
              <w:pStyle w:val="TableParagraph"/>
              <w:spacing w:line="264"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期末持股</w:t>
            </w:r>
            <w:r>
              <w:rPr>
                <w:rFonts w:ascii="Microsoft JhengHei" w:hAnsi="Microsoft JhengHei" w:cs="Microsoft JhengHei" w:eastAsia="Microsoft JhengHei" w:hint="default"/>
                <w:sz w:val="18"/>
                <w:szCs w:val="18"/>
              </w:rPr>
            </w:r>
          </w:p>
          <w:p>
            <w:pPr>
              <w:pStyle w:val="TableParagraph"/>
              <w:spacing w:line="313"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w:t>
            </w:r>
            <w:r>
              <w:rPr>
                <w:rFonts w:ascii="Microsoft JhengHei" w:hAnsi="Microsoft JhengHei" w:cs="Microsoft JhengHei" w:eastAsia="Microsoft JhengHei" w:hint="default"/>
                <w:sz w:val="18"/>
                <w:szCs w:val="18"/>
              </w:rPr>
            </w:r>
          </w:p>
        </w:tc>
      </w:tr>
      <w:tr>
        <w:trPr>
          <w:trHeight w:val="551" w:hRule="exact"/>
        </w:trPr>
        <w:tc>
          <w:tcPr>
            <w:tcW w:w="754" w:type="dxa"/>
            <w:vMerge/>
            <w:tcBorders>
              <w:left w:val="single" w:sz="12" w:space="0" w:color="000000"/>
              <w:bottom w:val="single" w:sz="8" w:space="0" w:color="000000"/>
              <w:right w:val="single" w:sz="8" w:space="0" w:color="000000"/>
            </w:tcBorders>
          </w:tcPr>
          <w:p>
            <w:pPr/>
          </w:p>
        </w:tc>
        <w:tc>
          <w:tcPr>
            <w:tcW w:w="691" w:type="dxa"/>
            <w:vMerge/>
            <w:tcBorders>
              <w:left w:val="single" w:sz="8" w:space="0" w:color="000000"/>
              <w:bottom w:val="single" w:sz="8" w:space="0" w:color="000000"/>
              <w:right w:val="single" w:sz="8" w:space="0" w:color="000000"/>
            </w:tcBorders>
          </w:tcPr>
          <w:p>
            <w:pPr/>
          </w:p>
        </w:tc>
        <w:tc>
          <w:tcPr>
            <w:tcW w:w="516" w:type="dxa"/>
            <w:vMerge/>
            <w:tcBorders>
              <w:left w:val="single" w:sz="8" w:space="0" w:color="000000"/>
              <w:bottom w:val="single" w:sz="8" w:space="0" w:color="000000"/>
              <w:right w:val="single" w:sz="8" w:space="0" w:color="000000"/>
            </w:tcBorders>
          </w:tcPr>
          <w:p>
            <w:pP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vMerge/>
            <w:tcBorders>
              <w:left w:val="single" w:sz="8" w:space="0" w:color="000000"/>
              <w:bottom w:val="single" w:sz="8" w:space="0" w:color="000000"/>
              <w:right w:val="single" w:sz="8" w:space="0" w:color="000000"/>
            </w:tcBorders>
          </w:tcPr>
          <w:p>
            <w:pPr/>
          </w:p>
        </w:tc>
        <w:tc>
          <w:tcPr>
            <w:tcW w:w="982"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759" w:type="dxa"/>
            <w:vMerge/>
            <w:tcBorders>
              <w:left w:val="single" w:sz="8" w:space="0" w:color="000000"/>
              <w:bottom w:val="single" w:sz="8" w:space="0" w:color="000000"/>
              <w:right w:val="single" w:sz="8" w:space="0" w:color="000000"/>
            </w:tcBorders>
          </w:tcPr>
          <w:p>
            <w:pPr/>
          </w:p>
        </w:tc>
        <w:tc>
          <w:tcPr>
            <w:tcW w:w="1027" w:type="dxa"/>
            <w:vMerge/>
            <w:tcBorders>
              <w:left w:val="single" w:sz="8" w:space="0" w:color="000000"/>
              <w:bottom w:val="single" w:sz="8" w:space="0" w:color="000000"/>
              <w:right w:val="single" w:sz="8" w:space="0" w:color="000000"/>
            </w:tcBorders>
          </w:tcPr>
          <w:p>
            <w:pPr/>
          </w:p>
        </w:tc>
        <w:tc>
          <w:tcPr>
            <w:tcW w:w="1025" w:type="dxa"/>
            <w:tcBorders>
              <w:top w:val="nil" w:sz="6" w:space="0" w:color="auto"/>
              <w:left w:val="single" w:sz="8" w:space="0" w:color="000000"/>
              <w:bottom w:val="single" w:sz="8" w:space="0" w:color="000000"/>
              <w:right w:val="single" w:sz="12" w:space="0" w:color="000000"/>
            </w:tcBorders>
          </w:tcPr>
          <w:p>
            <w:pPr>
              <w:pStyle w:val="TableParagraph"/>
              <w:spacing w:line="240" w:lineRule="auto" w:before="38"/>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643"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87" w:hanging="92"/>
              <w:jc w:val="left"/>
              <w:rPr>
                <w:rFonts w:ascii="宋体" w:hAnsi="宋体" w:cs="宋体" w:eastAsia="宋体" w:hint="default"/>
                <w:sz w:val="18"/>
                <w:szCs w:val="18"/>
              </w:rPr>
            </w:pPr>
            <w:r>
              <w:rPr>
                <w:rFonts w:ascii="宋体" w:hAnsi="宋体" w:cs="宋体" w:eastAsia="宋体" w:hint="default"/>
                <w:sz w:val="18"/>
                <w:szCs w:val="18"/>
              </w:rPr>
              <w:t>钟耳 顺</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242" w:right="156" w:hanging="89"/>
              <w:jc w:val="left"/>
              <w:rPr>
                <w:rFonts w:ascii="宋体" w:hAnsi="宋体" w:cs="宋体" w:eastAsia="宋体" w:hint="default"/>
                <w:sz w:val="18"/>
                <w:szCs w:val="18"/>
              </w:rPr>
            </w:pPr>
            <w:r>
              <w:rPr>
                <w:rFonts w:ascii="宋体" w:hAnsi="宋体" w:cs="宋体" w:eastAsia="宋体" w:hint="default"/>
                <w:sz w:val="18"/>
                <w:szCs w:val="18"/>
              </w:rPr>
              <w:t>董事 长</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07-22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18,294,400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34"/>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10,976,640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29,271,040</w:t>
            </w:r>
          </w:p>
        </w:tc>
      </w:tr>
      <w:tr>
        <w:trPr>
          <w:trHeight w:val="646" w:hRule="exact"/>
        </w:trPr>
        <w:tc>
          <w:tcPr>
            <w:tcW w:w="754" w:type="dxa"/>
            <w:vMerge w:val="restart"/>
            <w:tcBorders>
              <w:top w:val="single" w:sz="8" w:space="0" w:color="000000"/>
              <w:left w:val="single" w:sz="12"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316"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宋关 福</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1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316" w:lineRule="auto"/>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7,079,200</w:t>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130,000</w:t>
            </w:r>
          </w:p>
        </w:tc>
        <w:tc>
          <w:tcPr>
            <w:tcW w:w="75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4,247,520</w:t>
            </w:r>
          </w:p>
        </w:tc>
        <w:tc>
          <w:tcPr>
            <w:tcW w:w="1025"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11,456,720</w:t>
            </w:r>
          </w:p>
        </w:tc>
      </w:tr>
      <w:tr>
        <w:trPr>
          <w:trHeight w:val="643" w:hRule="exact"/>
        </w:trPr>
        <w:tc>
          <w:tcPr>
            <w:tcW w:w="754" w:type="dxa"/>
            <w:vMerge/>
            <w:tcBorders>
              <w:left w:val="single" w:sz="12" w:space="0" w:color="000000"/>
              <w:bottom w:val="single" w:sz="8" w:space="0" w:color="000000"/>
              <w:right w:val="single" w:sz="8" w:space="0" w:color="000000"/>
            </w:tcBorders>
          </w:tcPr>
          <w:p>
            <w:pP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242" w:right="156" w:hanging="89"/>
              <w:jc w:val="left"/>
              <w:rPr>
                <w:rFonts w:ascii="宋体" w:hAnsi="宋体" w:cs="宋体" w:eastAsia="宋体" w:hint="default"/>
                <w:sz w:val="18"/>
                <w:szCs w:val="18"/>
              </w:rPr>
            </w:pPr>
            <w:r>
              <w:rPr>
                <w:rFonts w:ascii="宋体" w:hAnsi="宋体" w:cs="宋体" w:eastAsia="宋体" w:hint="default"/>
                <w:sz w:val="18"/>
                <w:szCs w:val="18"/>
              </w:rPr>
              <w:t>总经 理</w:t>
            </w:r>
          </w:p>
        </w:tc>
        <w:tc>
          <w:tcPr>
            <w:tcW w:w="516" w:type="dxa"/>
            <w:vMerge/>
            <w:tcBorders>
              <w:left w:val="single" w:sz="8" w:space="0" w:color="000000"/>
              <w:bottom w:val="single" w:sz="8" w:space="0" w:color="000000"/>
              <w:right w:val="single" w:sz="8" w:space="0" w:color="000000"/>
            </w:tcBorders>
          </w:tcPr>
          <w:p>
            <w:pP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22</w:t>
            </w:r>
          </w:p>
        </w:tc>
        <w:tc>
          <w:tcPr>
            <w:tcW w:w="982"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759" w:type="dxa"/>
            <w:vMerge/>
            <w:tcBorders>
              <w:left w:val="single" w:sz="8" w:space="0" w:color="000000"/>
              <w:bottom w:val="single" w:sz="8" w:space="0" w:color="000000"/>
              <w:right w:val="single" w:sz="8" w:space="0" w:color="000000"/>
            </w:tcBorders>
          </w:tcPr>
          <w:p>
            <w:pPr/>
          </w:p>
        </w:tc>
        <w:tc>
          <w:tcPr>
            <w:tcW w:w="1027"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12" w:space="0" w:color="000000"/>
            </w:tcBorders>
          </w:tcPr>
          <w:p>
            <w:pPr/>
          </w:p>
        </w:tc>
      </w:tr>
      <w:tr>
        <w:trPr>
          <w:trHeight w:val="644"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41" w:hanging="46"/>
              <w:jc w:val="left"/>
              <w:rPr>
                <w:rFonts w:ascii="宋体" w:hAnsi="宋体" w:cs="宋体" w:eastAsia="宋体" w:hint="default"/>
                <w:sz w:val="18"/>
                <w:szCs w:val="18"/>
              </w:rPr>
            </w:pPr>
            <w:r>
              <w:rPr>
                <w:rFonts w:ascii="宋体" w:hAnsi="宋体" w:cs="宋体" w:eastAsia="宋体" w:hint="default"/>
                <w:sz w:val="18"/>
                <w:szCs w:val="18"/>
              </w:rPr>
              <w:t>程邦 波</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977"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316"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王尔 琪</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316" w:lineRule="auto"/>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3,491,200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2,094,720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5,585,920</w:t>
            </w:r>
          </w:p>
        </w:tc>
      </w:tr>
      <w:tr>
        <w:trPr>
          <w:trHeight w:val="643" w:hRule="exact"/>
        </w:trPr>
        <w:tc>
          <w:tcPr>
            <w:tcW w:w="754" w:type="dxa"/>
            <w:vMerge w:val="restart"/>
            <w:tcBorders>
              <w:top w:val="single" w:sz="8" w:space="0" w:color="000000"/>
              <w:left w:val="single" w:sz="12"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316"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王康 弘</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1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spacing w:line="316" w:lineRule="auto"/>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0"/>
                <w:szCs w:val="10"/>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43</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2,834,250</w:t>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40,000</w:t>
            </w:r>
          </w:p>
        </w:tc>
        <w:tc>
          <w:tcPr>
            <w:tcW w:w="75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1,700,550</w:t>
            </w:r>
          </w:p>
        </w:tc>
        <w:tc>
          <w:tcPr>
            <w:tcW w:w="1025"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4,574,800</w:t>
            </w:r>
          </w:p>
        </w:tc>
      </w:tr>
      <w:tr>
        <w:trPr>
          <w:trHeight w:val="646" w:hRule="exact"/>
        </w:trPr>
        <w:tc>
          <w:tcPr>
            <w:tcW w:w="754" w:type="dxa"/>
            <w:vMerge/>
            <w:tcBorders>
              <w:left w:val="single" w:sz="12" w:space="0" w:color="000000"/>
              <w:bottom w:val="single" w:sz="8" w:space="0" w:color="000000"/>
              <w:right w:val="single" w:sz="8" w:space="0" w:color="000000"/>
            </w:tcBorders>
          </w:tcPr>
          <w:p>
            <w:pP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3"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16" w:type="dxa"/>
            <w:vMerge/>
            <w:tcBorders>
              <w:left w:val="single" w:sz="8" w:space="0" w:color="000000"/>
              <w:bottom w:val="single" w:sz="8" w:space="0" w:color="000000"/>
              <w:right w:val="single" w:sz="8" w:space="0" w:color="000000"/>
            </w:tcBorders>
          </w:tcPr>
          <w:p>
            <w:pP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22</w:t>
            </w:r>
          </w:p>
        </w:tc>
        <w:tc>
          <w:tcPr>
            <w:tcW w:w="982"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759" w:type="dxa"/>
            <w:vMerge/>
            <w:tcBorders>
              <w:left w:val="single" w:sz="8" w:space="0" w:color="000000"/>
              <w:bottom w:val="single" w:sz="8" w:space="0" w:color="000000"/>
              <w:right w:val="single" w:sz="8" w:space="0" w:color="000000"/>
            </w:tcBorders>
          </w:tcPr>
          <w:p>
            <w:pPr/>
          </w:p>
        </w:tc>
        <w:tc>
          <w:tcPr>
            <w:tcW w:w="1027"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12" w:space="0" w:color="000000"/>
            </w:tcBorders>
          </w:tcPr>
          <w:p>
            <w:pPr/>
          </w:p>
        </w:tc>
      </w:tr>
      <w:tr>
        <w:trPr>
          <w:trHeight w:val="644" w:hRule="exact"/>
        </w:trPr>
        <w:tc>
          <w:tcPr>
            <w:tcW w:w="754" w:type="dxa"/>
            <w:vMerge w:val="restart"/>
            <w:tcBorders>
              <w:top w:val="single" w:sz="8" w:space="0" w:color="000000"/>
              <w:left w:val="single" w:sz="12" w:space="0" w:color="000000"/>
              <w:right w:val="single" w:sz="8"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19"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杜庆 娥</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516" w:type="dxa"/>
            <w:vMerge w:val="restart"/>
            <w:tcBorders>
              <w:top w:val="single" w:sz="8" w:space="0" w:color="000000"/>
              <w:left w:val="single" w:sz="8" w:space="0" w:color="000000"/>
              <w:right w:val="single" w:sz="8"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19" w:lineRule="auto"/>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41</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1,915,000</w:t>
            </w:r>
          </w:p>
        </w:tc>
        <w:tc>
          <w:tcPr>
            <w:tcW w:w="8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50,000</w:t>
            </w:r>
          </w:p>
        </w:tc>
        <w:tc>
          <w:tcPr>
            <w:tcW w:w="75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w:t>
            </w:r>
          </w:p>
        </w:tc>
        <w:tc>
          <w:tcPr>
            <w:tcW w:w="102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1,149,000</w:t>
            </w:r>
          </w:p>
        </w:tc>
        <w:tc>
          <w:tcPr>
            <w:tcW w:w="1025"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3,114,000</w:t>
            </w:r>
          </w:p>
        </w:tc>
      </w:tr>
      <w:tr>
        <w:trPr>
          <w:trHeight w:val="643" w:hRule="exact"/>
        </w:trPr>
        <w:tc>
          <w:tcPr>
            <w:tcW w:w="754" w:type="dxa"/>
            <w:vMerge/>
            <w:tcBorders>
              <w:left w:val="single" w:sz="12" w:space="0" w:color="000000"/>
              <w:bottom w:val="single" w:sz="8" w:space="0" w:color="000000"/>
              <w:right w:val="single" w:sz="8" w:space="0" w:color="000000"/>
            </w:tcBorders>
          </w:tcPr>
          <w:p>
            <w:pP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16" w:type="dxa"/>
            <w:vMerge/>
            <w:tcBorders>
              <w:left w:val="single" w:sz="8" w:space="0" w:color="000000"/>
              <w:bottom w:val="single" w:sz="8" w:space="0" w:color="000000"/>
              <w:right w:val="single" w:sz="8" w:space="0" w:color="000000"/>
            </w:tcBorders>
          </w:tcPr>
          <w:p>
            <w:pP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22</w:t>
            </w:r>
          </w:p>
        </w:tc>
        <w:tc>
          <w:tcPr>
            <w:tcW w:w="982"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759" w:type="dxa"/>
            <w:vMerge/>
            <w:tcBorders>
              <w:left w:val="single" w:sz="8" w:space="0" w:color="000000"/>
              <w:bottom w:val="single" w:sz="8" w:space="0" w:color="000000"/>
              <w:right w:val="single" w:sz="8" w:space="0" w:color="000000"/>
            </w:tcBorders>
          </w:tcPr>
          <w:p>
            <w:pPr/>
          </w:p>
        </w:tc>
        <w:tc>
          <w:tcPr>
            <w:tcW w:w="1027"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12" w:space="0" w:color="000000"/>
            </w:tcBorders>
          </w:tcPr>
          <w:p>
            <w:pPr/>
          </w:p>
        </w:tc>
      </w:tr>
      <w:tr>
        <w:trPr>
          <w:trHeight w:val="646"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王浩</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3" w:right="15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34"/>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3"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87" w:hanging="92"/>
              <w:jc w:val="left"/>
              <w:rPr>
                <w:rFonts w:ascii="宋体" w:hAnsi="宋体" w:cs="宋体" w:eastAsia="宋体" w:hint="default"/>
                <w:sz w:val="18"/>
                <w:szCs w:val="18"/>
              </w:rPr>
            </w:pPr>
            <w:r>
              <w:rPr>
                <w:rFonts w:ascii="宋体" w:hAnsi="宋体" w:cs="宋体" w:eastAsia="宋体" w:hint="default"/>
                <w:sz w:val="18"/>
                <w:szCs w:val="18"/>
              </w:rPr>
              <w:t>庄行 方</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3"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87" w:hanging="92"/>
              <w:jc w:val="left"/>
              <w:rPr>
                <w:rFonts w:ascii="宋体" w:hAnsi="宋体" w:cs="宋体" w:eastAsia="宋体" w:hint="default"/>
                <w:sz w:val="18"/>
                <w:szCs w:val="18"/>
              </w:rPr>
            </w:pPr>
            <w:r>
              <w:rPr>
                <w:rFonts w:ascii="宋体" w:hAnsi="宋体" w:cs="宋体" w:eastAsia="宋体" w:hint="default"/>
                <w:sz w:val="18"/>
                <w:szCs w:val="18"/>
              </w:rPr>
              <w:t>王惠 芳</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2016-02-</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01</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6"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10"/>
              <w:ind w:left="271" w:right="187" w:hanging="92"/>
              <w:jc w:val="left"/>
              <w:rPr>
                <w:rFonts w:ascii="宋体" w:hAnsi="宋体" w:cs="宋体" w:eastAsia="宋体" w:hint="default"/>
                <w:sz w:val="18"/>
                <w:szCs w:val="18"/>
              </w:rPr>
            </w:pPr>
            <w:r>
              <w:rPr>
                <w:rFonts w:ascii="宋体" w:hAnsi="宋体" w:cs="宋体" w:eastAsia="宋体" w:hint="default"/>
                <w:sz w:val="18"/>
                <w:szCs w:val="18"/>
              </w:rPr>
              <w:t>龚娅 杰</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3" w:right="156"/>
              <w:jc w:val="left"/>
              <w:rPr>
                <w:rFonts w:ascii="宋体" w:hAnsi="宋体" w:cs="宋体" w:eastAsia="宋体" w:hint="default"/>
                <w:sz w:val="18"/>
                <w:szCs w:val="18"/>
              </w:rPr>
            </w:pPr>
            <w:r>
              <w:rPr>
                <w:rFonts w:ascii="宋体" w:hAnsi="宋体" w:cs="宋体" w:eastAsia="宋体" w:hint="default"/>
                <w:sz w:val="18"/>
                <w:szCs w:val="18"/>
              </w:rPr>
              <w:t>董事 会秘</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171,600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34"/>
              <w:jc w:val="righ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102,960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274,560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085" w:top="1220" w:bottom="1280" w:left="1140" w:right="980"/>
        </w:sectPr>
      </w:pP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37" w:type="dxa"/>
        <w:tblLayout w:type="fixed"/>
        <w:tblCellMar>
          <w:top w:w="0" w:type="dxa"/>
          <w:left w:w="0" w:type="dxa"/>
          <w:bottom w:w="0" w:type="dxa"/>
          <w:right w:w="0" w:type="dxa"/>
        </w:tblCellMar>
        <w:tblLook w:val="01E0"/>
      </w:tblPr>
      <w:tblGrid>
        <w:gridCol w:w="754"/>
        <w:gridCol w:w="691"/>
        <w:gridCol w:w="516"/>
        <w:gridCol w:w="397"/>
        <w:gridCol w:w="509"/>
        <w:gridCol w:w="982"/>
        <w:gridCol w:w="982"/>
        <w:gridCol w:w="1025"/>
        <w:gridCol w:w="802"/>
        <w:gridCol w:w="759"/>
        <w:gridCol w:w="1027"/>
        <w:gridCol w:w="1025"/>
      </w:tblGrid>
      <w:tr>
        <w:trPr>
          <w:trHeight w:val="322" w:hRule="exact"/>
        </w:trPr>
        <w:tc>
          <w:tcPr>
            <w:tcW w:w="754" w:type="dxa"/>
            <w:vMerge w:val="restart"/>
            <w:tcBorders>
              <w:top w:val="nil" w:sz="6" w:space="0" w:color="auto"/>
              <w:left w:val="single" w:sz="12" w:space="0" w:color="000000"/>
              <w:right w:val="single" w:sz="8" w:space="0" w:color="000000"/>
            </w:tcBorders>
          </w:tcPr>
          <w:p>
            <w:pPr/>
          </w:p>
        </w:tc>
        <w:tc>
          <w:tcPr>
            <w:tcW w:w="69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书</w:t>
            </w:r>
          </w:p>
        </w:tc>
        <w:tc>
          <w:tcPr>
            <w:tcW w:w="516" w:type="dxa"/>
            <w:vMerge w:val="restart"/>
            <w:tcBorders>
              <w:top w:val="nil" w:sz="6" w:space="0" w:color="auto"/>
              <w:left w:val="single" w:sz="8" w:space="0" w:color="000000"/>
              <w:right w:val="single" w:sz="8" w:space="0" w:color="000000"/>
            </w:tcBorders>
          </w:tcPr>
          <w:p>
            <w:pPr/>
          </w:p>
        </w:tc>
        <w:tc>
          <w:tcPr>
            <w:tcW w:w="397" w:type="dxa"/>
            <w:vMerge w:val="restart"/>
            <w:tcBorders>
              <w:top w:val="nil" w:sz="6" w:space="0" w:color="auto"/>
              <w:left w:val="single" w:sz="8" w:space="0" w:color="000000"/>
              <w:right w:val="single" w:sz="8" w:space="0" w:color="000000"/>
            </w:tcBorders>
          </w:tcPr>
          <w:p>
            <w:pPr/>
          </w:p>
        </w:tc>
        <w:tc>
          <w:tcPr>
            <w:tcW w:w="509" w:type="dxa"/>
            <w:vMerge w:val="restart"/>
            <w:tcBorders>
              <w:top w:val="nil" w:sz="6" w:space="0" w:color="auto"/>
              <w:left w:val="single" w:sz="8" w:space="0" w:color="000000"/>
              <w:right w:val="single" w:sz="8" w:space="0" w:color="000000"/>
            </w:tcBorders>
          </w:tcPr>
          <w:p>
            <w:pPr/>
          </w:p>
        </w:tc>
        <w:tc>
          <w:tcPr>
            <w:tcW w:w="982" w:type="dxa"/>
            <w:vMerge w:val="restart"/>
            <w:tcBorders>
              <w:top w:val="nil" w:sz="6" w:space="0" w:color="auto"/>
              <w:left w:val="single" w:sz="8" w:space="0" w:color="000000"/>
              <w:right w:val="single" w:sz="8" w:space="0" w:color="000000"/>
            </w:tcBorders>
          </w:tcPr>
          <w:p>
            <w:pPr/>
          </w:p>
        </w:tc>
        <w:tc>
          <w:tcPr>
            <w:tcW w:w="982" w:type="dxa"/>
            <w:vMerge w:val="restart"/>
            <w:tcBorders>
              <w:top w:val="nil" w:sz="6" w:space="0" w:color="auto"/>
              <w:left w:val="single" w:sz="8" w:space="0" w:color="000000"/>
              <w:right w:val="single" w:sz="8" w:space="0" w:color="000000"/>
            </w:tcBorders>
          </w:tcPr>
          <w:p>
            <w:pPr/>
          </w:p>
        </w:tc>
        <w:tc>
          <w:tcPr>
            <w:tcW w:w="1025" w:type="dxa"/>
            <w:vMerge w:val="restart"/>
            <w:tcBorders>
              <w:top w:val="nil" w:sz="6" w:space="0" w:color="auto"/>
              <w:left w:val="single" w:sz="8" w:space="0" w:color="000000"/>
              <w:right w:val="single" w:sz="8" w:space="0" w:color="000000"/>
            </w:tcBorders>
          </w:tcPr>
          <w:p>
            <w:pPr/>
          </w:p>
        </w:tc>
        <w:tc>
          <w:tcPr>
            <w:tcW w:w="802" w:type="dxa"/>
            <w:vMerge w:val="restart"/>
            <w:tcBorders>
              <w:top w:val="nil" w:sz="6" w:space="0" w:color="auto"/>
              <w:left w:val="single" w:sz="8" w:space="0" w:color="000000"/>
              <w:right w:val="single" w:sz="8" w:space="0" w:color="000000"/>
            </w:tcBorders>
          </w:tcPr>
          <w:p>
            <w:pPr/>
          </w:p>
        </w:tc>
        <w:tc>
          <w:tcPr>
            <w:tcW w:w="759" w:type="dxa"/>
            <w:vMerge w:val="restart"/>
            <w:tcBorders>
              <w:top w:val="nil" w:sz="6" w:space="0" w:color="auto"/>
              <w:left w:val="single" w:sz="8" w:space="0" w:color="000000"/>
              <w:right w:val="single" w:sz="8" w:space="0" w:color="000000"/>
            </w:tcBorders>
          </w:tcPr>
          <w:p>
            <w:pPr/>
          </w:p>
        </w:tc>
        <w:tc>
          <w:tcPr>
            <w:tcW w:w="1027" w:type="dxa"/>
            <w:vMerge w:val="restart"/>
            <w:tcBorders>
              <w:top w:val="nil" w:sz="6" w:space="0" w:color="auto"/>
              <w:left w:val="single" w:sz="8" w:space="0" w:color="000000"/>
              <w:right w:val="single" w:sz="8" w:space="0" w:color="000000"/>
            </w:tcBorders>
          </w:tcPr>
          <w:p>
            <w:pPr/>
          </w:p>
        </w:tc>
        <w:tc>
          <w:tcPr>
            <w:tcW w:w="1025" w:type="dxa"/>
            <w:vMerge w:val="restart"/>
            <w:tcBorders>
              <w:top w:val="nil" w:sz="6" w:space="0" w:color="auto"/>
              <w:left w:val="single" w:sz="8" w:space="0" w:color="000000"/>
              <w:right w:val="single" w:sz="12" w:space="0" w:color="000000"/>
            </w:tcBorders>
          </w:tcPr>
          <w:p>
            <w:pPr/>
          </w:p>
        </w:tc>
      </w:tr>
      <w:tr>
        <w:trPr>
          <w:trHeight w:val="643" w:hRule="exact"/>
        </w:trPr>
        <w:tc>
          <w:tcPr>
            <w:tcW w:w="754" w:type="dxa"/>
            <w:vMerge/>
            <w:tcBorders>
              <w:left w:val="single" w:sz="12" w:space="0" w:color="000000"/>
              <w:bottom w:val="single" w:sz="8" w:space="0" w:color="000000"/>
              <w:right w:val="single" w:sz="8" w:space="0" w:color="000000"/>
            </w:tcBorders>
          </w:tcPr>
          <w:p>
            <w:pP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16" w:type="dxa"/>
            <w:vMerge/>
            <w:tcBorders>
              <w:left w:val="single" w:sz="8" w:space="0" w:color="000000"/>
              <w:bottom w:val="single" w:sz="8" w:space="0" w:color="000000"/>
              <w:right w:val="single" w:sz="8" w:space="0" w:color="000000"/>
            </w:tcBorders>
          </w:tcPr>
          <w:p>
            <w:pP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vMerge/>
            <w:tcBorders>
              <w:left w:val="single" w:sz="8" w:space="0" w:color="000000"/>
              <w:bottom w:val="single" w:sz="8" w:space="0" w:color="000000"/>
              <w:right w:val="single" w:sz="8" w:space="0" w:color="000000"/>
            </w:tcBorders>
          </w:tcPr>
          <w:p>
            <w:pPr/>
          </w:p>
        </w:tc>
        <w:tc>
          <w:tcPr>
            <w:tcW w:w="982"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802" w:type="dxa"/>
            <w:vMerge/>
            <w:tcBorders>
              <w:left w:val="single" w:sz="8" w:space="0" w:color="000000"/>
              <w:bottom w:val="single" w:sz="8" w:space="0" w:color="000000"/>
              <w:right w:val="single" w:sz="8" w:space="0" w:color="000000"/>
            </w:tcBorders>
          </w:tcPr>
          <w:p>
            <w:pPr/>
          </w:p>
        </w:tc>
        <w:tc>
          <w:tcPr>
            <w:tcW w:w="759" w:type="dxa"/>
            <w:vMerge/>
            <w:tcBorders>
              <w:left w:val="single" w:sz="8" w:space="0" w:color="000000"/>
              <w:bottom w:val="single" w:sz="8" w:space="0" w:color="000000"/>
              <w:right w:val="single" w:sz="8" w:space="0" w:color="000000"/>
            </w:tcBorders>
          </w:tcPr>
          <w:p>
            <w:pPr/>
          </w:p>
        </w:tc>
        <w:tc>
          <w:tcPr>
            <w:tcW w:w="1027"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12" w:space="0" w:color="000000"/>
            </w:tcBorders>
          </w:tcPr>
          <w:p>
            <w:pPr/>
          </w:p>
        </w:tc>
      </w:tr>
      <w:tr>
        <w:trPr>
          <w:trHeight w:val="958"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6"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曾志 明</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3" w:right="156"/>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6" w:lineRule="auto"/>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235,200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141,120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376,320</w:t>
            </w:r>
          </w:p>
        </w:tc>
      </w:tr>
      <w:tr>
        <w:trPr>
          <w:trHeight w:val="643"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87" w:hanging="92"/>
              <w:jc w:val="left"/>
              <w:rPr>
                <w:rFonts w:ascii="宋体" w:hAnsi="宋体" w:cs="宋体" w:eastAsia="宋体" w:hint="default"/>
                <w:sz w:val="18"/>
                <w:szCs w:val="18"/>
              </w:rPr>
            </w:pPr>
            <w:r>
              <w:rPr>
                <w:rFonts w:ascii="宋体" w:hAnsi="宋体" w:cs="宋体" w:eastAsia="宋体" w:hint="default"/>
                <w:sz w:val="18"/>
                <w:szCs w:val="18"/>
              </w:rPr>
              <w:t>官丽 莉</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11-27</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3"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6" w:lineRule="auto" w:before="8"/>
              <w:ind w:left="271" w:right="187" w:hanging="92"/>
              <w:jc w:val="left"/>
              <w:rPr>
                <w:rFonts w:ascii="宋体" w:hAnsi="宋体" w:cs="宋体" w:eastAsia="宋体" w:hint="default"/>
                <w:sz w:val="18"/>
                <w:szCs w:val="18"/>
              </w:rPr>
            </w:pPr>
            <w:r>
              <w:rPr>
                <w:rFonts w:ascii="宋体" w:hAnsi="宋体" w:cs="宋体" w:eastAsia="宋体" w:hint="default"/>
                <w:sz w:val="18"/>
                <w:szCs w:val="18"/>
              </w:rPr>
              <w:t>刘英 利</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职工 监事</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6"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319" w:lineRule="auto" w:before="10"/>
              <w:ind w:left="271" w:right="187" w:hanging="92"/>
              <w:jc w:val="left"/>
              <w:rPr>
                <w:rFonts w:ascii="宋体" w:hAnsi="宋体" w:cs="宋体" w:eastAsia="宋体" w:hint="default"/>
                <w:sz w:val="18"/>
                <w:szCs w:val="18"/>
              </w:rPr>
            </w:pPr>
            <w:r>
              <w:rPr>
                <w:rFonts w:ascii="宋体" w:hAnsi="宋体" w:cs="宋体" w:eastAsia="宋体" w:hint="default"/>
                <w:sz w:val="18"/>
                <w:szCs w:val="18"/>
              </w:rPr>
              <w:t>王继 晖</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153"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10"/>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216,000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129,600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345,600</w:t>
            </w:r>
          </w:p>
        </w:tc>
      </w:tr>
      <w:tr>
        <w:trPr>
          <w:trHeight w:val="643" w:hRule="exact"/>
        </w:trPr>
        <w:tc>
          <w:tcPr>
            <w:tcW w:w="754" w:type="dxa"/>
            <w:vMerge w:val="restart"/>
            <w:tcBorders>
              <w:top w:val="single" w:sz="8" w:space="0" w:color="000000"/>
              <w:left w:val="single" w:sz="12" w:space="0" w:color="000000"/>
              <w:right w:val="single" w:sz="8"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316" w:lineRule="auto"/>
              <w:ind w:left="271" w:right="187" w:hanging="92"/>
              <w:jc w:val="left"/>
              <w:rPr>
                <w:rFonts w:ascii="宋体" w:hAnsi="宋体" w:cs="宋体" w:eastAsia="宋体" w:hint="default"/>
                <w:sz w:val="18"/>
                <w:szCs w:val="18"/>
              </w:rPr>
            </w:pPr>
            <w:r>
              <w:rPr>
                <w:rFonts w:ascii="宋体" w:hAnsi="宋体" w:cs="宋体" w:eastAsia="宋体" w:hint="default"/>
                <w:sz w:val="18"/>
                <w:szCs w:val="18"/>
              </w:rPr>
              <w:t>卢学 慧</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历 任</w:t>
            </w:r>
          </w:p>
        </w:tc>
        <w:tc>
          <w:tcPr>
            <w:tcW w:w="39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50</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22</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57"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12-04</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3" w:hRule="exact"/>
        </w:trPr>
        <w:tc>
          <w:tcPr>
            <w:tcW w:w="754" w:type="dxa"/>
            <w:vMerge/>
            <w:tcBorders>
              <w:left w:val="single" w:sz="12" w:space="0" w:color="000000"/>
              <w:bottom w:val="single" w:sz="8" w:space="0" w:color="000000"/>
              <w:right w:val="single" w:sz="8" w:space="0" w:color="000000"/>
            </w:tcBorders>
          </w:tcPr>
          <w:p>
            <w:pP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3" w:right="156"/>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vMerge/>
            <w:tcBorders>
              <w:left w:val="single" w:sz="8" w:space="0" w:color="000000"/>
              <w:bottom w:val="single" w:sz="8" w:space="0" w:color="000000"/>
              <w:right w:val="single" w:sz="8" w:space="0" w:color="000000"/>
            </w:tcBorders>
          </w:tcPr>
          <w:p>
            <w:pPr/>
          </w:p>
        </w:tc>
        <w:tc>
          <w:tcPr>
            <w:tcW w:w="509" w:type="dxa"/>
            <w:vMerge/>
            <w:tcBorders>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2015-12-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04</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646" w:hRule="exact"/>
        </w:trPr>
        <w:tc>
          <w:tcPr>
            <w:tcW w:w="75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任翔</w:t>
            </w:r>
          </w:p>
        </w:tc>
        <w:tc>
          <w:tcPr>
            <w:tcW w:w="69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3" w:right="156"/>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5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55" w:right="158"/>
              <w:jc w:val="left"/>
              <w:rPr>
                <w:rFonts w:ascii="宋体" w:hAnsi="宋体" w:cs="宋体" w:eastAsia="宋体" w:hint="default"/>
                <w:sz w:val="18"/>
                <w:szCs w:val="18"/>
              </w:rPr>
            </w:pPr>
            <w:r>
              <w:rPr>
                <w:rFonts w:ascii="宋体" w:hAnsi="宋体" w:cs="宋体" w:eastAsia="宋体" w:hint="default"/>
                <w:sz w:val="18"/>
                <w:szCs w:val="18"/>
              </w:rPr>
              <w:t>现 任</w:t>
            </w:r>
          </w:p>
        </w:tc>
        <w:tc>
          <w:tcPr>
            <w:tcW w:w="3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57"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12-04</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8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w:t>
            </w:r>
          </w:p>
        </w:tc>
        <w:tc>
          <w:tcPr>
            <w:tcW w:w="7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5"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00</w:t>
            </w:r>
          </w:p>
        </w:tc>
      </w:tr>
      <w:tr>
        <w:trPr>
          <w:trHeight w:val="336" w:hRule="exact"/>
        </w:trPr>
        <w:tc>
          <w:tcPr>
            <w:tcW w:w="4830" w:type="dxa"/>
            <w:gridSpan w:val="7"/>
            <w:tcBorders>
              <w:top w:val="single" w:sz="8" w:space="0" w:color="000000"/>
              <w:left w:val="single" w:sz="12" w:space="0" w:color="000000"/>
              <w:bottom w:val="single" w:sz="12" w:space="0" w:color="000000"/>
              <w:right w:val="single" w:sz="8"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34,236,850</w:t>
            </w:r>
          </w:p>
        </w:tc>
        <w:tc>
          <w:tcPr>
            <w:tcW w:w="8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220,000</w:t>
            </w:r>
          </w:p>
        </w:tc>
        <w:tc>
          <w:tcPr>
            <w:tcW w:w="7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0</w:t>
            </w:r>
          </w:p>
        </w:tc>
        <w:tc>
          <w:tcPr>
            <w:tcW w:w="10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20,542,110</w:t>
            </w:r>
          </w:p>
        </w:tc>
        <w:tc>
          <w:tcPr>
            <w:tcW w:w="1025"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54,998,960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137" w:right="229"/>
        <w:jc w:val="left"/>
        <w:rPr>
          <w:b w:val="0"/>
          <w:bCs w:val="0"/>
        </w:rPr>
      </w:pPr>
      <w:bookmarkStart w:name="_bookmark53" w:id="54"/>
      <w:bookmarkEnd w:id="54"/>
      <w:r>
        <w:rPr>
          <w:b w:val="0"/>
          <w:bCs w:val="0"/>
        </w:rPr>
      </w:r>
      <w:r>
        <w:rPr/>
        <w:t>二、公司董事、监事、高级管理人员变动情况</w:t>
      </w:r>
      <w:r>
        <w:rPr>
          <w:b w:val="0"/>
          <w:bCs w:val="0"/>
        </w:rPr>
      </w:r>
    </w:p>
    <w:p>
      <w:pPr>
        <w:spacing w:line="240" w:lineRule="auto" w:before="16"/>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814"/>
        <w:gridCol w:w="979"/>
        <w:gridCol w:w="704"/>
        <w:gridCol w:w="982"/>
        <w:gridCol w:w="5989"/>
      </w:tblGrid>
      <w:tr>
        <w:trPr>
          <w:trHeight w:val="335" w:hRule="exact"/>
        </w:trPr>
        <w:tc>
          <w:tcPr>
            <w:tcW w:w="814" w:type="dxa"/>
            <w:tcBorders>
              <w:top w:val="single" w:sz="12" w:space="0" w:color="000000"/>
              <w:left w:val="single" w:sz="12" w:space="0" w:color="000000"/>
              <w:bottom w:val="single" w:sz="6" w:space="0" w:color="000000"/>
              <w:right w:val="single" w:sz="6"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979"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704"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982" w:type="dxa"/>
            <w:tcBorders>
              <w:top w:val="single" w:sz="12"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5989" w:type="dxa"/>
            <w:tcBorders>
              <w:top w:val="single" w:sz="12"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950" w:hRule="exact"/>
        </w:trPr>
        <w:tc>
          <w:tcPr>
            <w:tcW w:w="8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卢学慧</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任免</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8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19" w:right="186"/>
              <w:jc w:val="both"/>
              <w:rPr>
                <w:rFonts w:ascii="宋体" w:hAnsi="宋体" w:cs="宋体" w:eastAsia="宋体" w:hint="default"/>
                <w:sz w:val="18"/>
                <w:szCs w:val="18"/>
              </w:rPr>
            </w:pPr>
            <w:r>
              <w:rPr>
                <w:rFonts w:ascii="宋体" w:hAnsi="宋体" w:cs="宋体" w:eastAsia="宋体" w:hint="default"/>
                <w:sz w:val="18"/>
                <w:szCs w:val="18"/>
              </w:rPr>
              <w:t>鉴于公司整体发展之需求，因工作内容的变动，卢学慧先生申请辞去财务 总监职务，并经总经理提名，决定改聘卢学慧先生担任公司副总经理，分 管公司投资财务相关工作和内部审计工作。</w:t>
            </w:r>
          </w:p>
        </w:tc>
      </w:tr>
      <w:tr>
        <w:trPr>
          <w:trHeight w:val="646" w:hRule="exact"/>
        </w:trPr>
        <w:tc>
          <w:tcPr>
            <w:tcW w:w="8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任翔</w:t>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聘任</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9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Microsoft JhengHei" w:hAnsi="Microsoft JhengHei" w:cs="Microsoft JhengHei" w:eastAsia="Microsoft JhengHei" w:hint="default"/>
          <w:b/>
          <w:bCs/>
          <w:sz w:val="13"/>
          <w:szCs w:val="13"/>
        </w:rPr>
      </w:pPr>
    </w:p>
    <w:p>
      <w:pPr>
        <w:pStyle w:val="Heading2"/>
        <w:spacing w:line="367" w:lineRule="exact"/>
        <w:ind w:left="137" w:right="229"/>
        <w:jc w:val="left"/>
        <w:rPr>
          <w:b w:val="0"/>
          <w:bCs w:val="0"/>
        </w:rPr>
      </w:pPr>
      <w:bookmarkStart w:name="_bookmark54" w:id="55"/>
      <w:bookmarkEnd w:id="55"/>
      <w:r>
        <w:rPr>
          <w:b w:val="0"/>
          <w:bCs w:val="0"/>
        </w:rPr>
      </w:r>
      <w:r>
        <w:rPr/>
        <w:t>三、任职情况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before="0"/>
        <w:ind w:right="149" w:firstLine="480"/>
        <w:jc w:val="left"/>
      </w:pPr>
      <w:r>
        <w:rPr>
          <w:rFonts w:ascii="Times New Roman" w:hAnsi="Times New Roman" w:cs="Times New Roman" w:eastAsia="Times New Roman" w:hint="default"/>
        </w:rPr>
        <w:t>1</w:t>
      </w:r>
      <w:r>
        <w:rPr/>
        <w:t>、公司现任董事、监事、高级管理人员专业背景、主要工作经历以及目前在公司的主 要职责：</w:t>
      </w:r>
    </w:p>
    <w:p>
      <w:pPr>
        <w:pStyle w:val="BodyText"/>
        <w:spacing w:line="338" w:lineRule="auto" w:before="55"/>
        <w:ind w:right="269" w:firstLine="480"/>
        <w:jc w:val="left"/>
      </w:pPr>
      <w:r>
        <w:rPr/>
        <w:t>董事长钟耳顺先生：中国国籍，无境外居留权，</w:t>
      </w:r>
      <w:r>
        <w:rPr>
          <w:rFonts w:ascii="Times New Roman" w:hAnsi="Times New Roman" w:cs="Times New Roman" w:eastAsia="Times New Roman" w:hint="default"/>
        </w:rPr>
        <w:t>60</w:t>
      </w:r>
      <w:r>
        <w:rPr/>
        <w:t>岁，博士，自公司成立一直在公司 工作。</w:t>
      </w:r>
    </w:p>
    <w:p>
      <w:pPr>
        <w:pStyle w:val="BodyText"/>
        <w:spacing w:line="338" w:lineRule="auto" w:before="55"/>
        <w:ind w:right="269" w:firstLine="480"/>
        <w:jc w:val="left"/>
      </w:pPr>
      <w:r>
        <w:rPr/>
        <w:t>董事宋关福先生：中国国籍，无境外居留权，</w:t>
      </w:r>
      <w:r>
        <w:rPr>
          <w:rFonts w:ascii="Times New Roman" w:hAnsi="Times New Roman" w:cs="Times New Roman" w:eastAsia="Times New Roman" w:hint="default"/>
        </w:rPr>
        <w:t>46</w:t>
      </w:r>
      <w:r>
        <w:rPr/>
        <w:t>岁，博士，自公司成立一直在公司工 作。</w:t>
      </w:r>
    </w:p>
    <w:p>
      <w:pPr>
        <w:pStyle w:val="BodyText"/>
        <w:spacing w:line="338" w:lineRule="auto" w:before="55"/>
        <w:ind w:right="269" w:firstLine="480"/>
        <w:jc w:val="left"/>
      </w:pPr>
      <w:r>
        <w:rPr/>
        <w:t>董事程邦波先生：中国国籍，无境外居留权，</w:t>
      </w:r>
      <w:r>
        <w:rPr>
          <w:rFonts w:ascii="Times New Roman" w:hAnsi="Times New Roman" w:cs="Times New Roman" w:eastAsia="Times New Roman" w:hint="default"/>
        </w:rPr>
        <w:t>34</w:t>
      </w:r>
      <w:r>
        <w:rPr/>
        <w:t>岁，博士，研究员，于</w:t>
      </w:r>
      <w:r>
        <w:rPr>
          <w:rFonts w:ascii="Times New Roman" w:hAnsi="Times New Roman" w:cs="Times New Roman" w:eastAsia="Times New Roman" w:hint="default"/>
        </w:rPr>
        <w:t>2006</w:t>
      </w:r>
      <w:r>
        <w:rPr/>
        <w:t>年至今在 中国科学院地理科学与资源研究所工作。</w:t>
      </w:r>
    </w:p>
    <w:p>
      <w:pPr>
        <w:spacing w:after="0" w:line="338"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338" w:lineRule="auto" w:before="26"/>
        <w:ind w:right="269" w:firstLine="480"/>
        <w:jc w:val="left"/>
      </w:pPr>
      <w:r>
        <w:rPr/>
        <w:t>董事王尔琪先生：中国国籍，无境外居留权，</w:t>
      </w:r>
      <w:r>
        <w:rPr>
          <w:rFonts w:ascii="Times New Roman" w:hAnsi="Times New Roman" w:cs="Times New Roman" w:eastAsia="Times New Roman" w:hint="default"/>
        </w:rPr>
        <w:t>44</w:t>
      </w:r>
      <w:r>
        <w:rPr/>
        <w:t>岁，硕士。参与本公司创立，自公司 成立之后一直在公司工作，现任公司总架构师。</w:t>
      </w:r>
    </w:p>
    <w:p>
      <w:pPr>
        <w:pStyle w:val="BodyText"/>
        <w:spacing w:line="338" w:lineRule="auto" w:before="55"/>
        <w:ind w:right="509" w:firstLine="480"/>
        <w:jc w:val="left"/>
      </w:pPr>
      <w:r>
        <w:rPr/>
        <w:t>董事王康弘先生：中国国籍，无境外居留权，</w:t>
      </w:r>
      <w:r>
        <w:rPr>
          <w:rFonts w:ascii="Times New Roman" w:hAnsi="Times New Roman" w:cs="Times New Roman" w:eastAsia="Times New Roman" w:hint="default"/>
        </w:rPr>
        <w:t>43</w:t>
      </w:r>
      <w:r>
        <w:rPr/>
        <w:t>岁，博士，自毕业后一直在公司工 作，现任公司副总经理。</w:t>
      </w:r>
    </w:p>
    <w:p>
      <w:pPr>
        <w:pStyle w:val="BodyText"/>
        <w:spacing w:line="338" w:lineRule="auto" w:before="55"/>
        <w:ind w:right="149" w:firstLine="480"/>
        <w:jc w:val="left"/>
      </w:pPr>
      <w:r>
        <w:rPr/>
        <w:t>董事杜庆娥女士：中国国籍，无境外居留权，</w:t>
      </w:r>
      <w:r>
        <w:rPr>
          <w:rFonts w:ascii="Times New Roman" w:hAnsi="Times New Roman" w:cs="Times New Roman" w:eastAsia="Times New Roman" w:hint="default"/>
        </w:rPr>
        <w:t>41</w:t>
      </w:r>
      <w:r>
        <w:rPr/>
        <w:t>岁，学士，于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月加入公司并工 作至今，现任公司副总经理。</w:t>
      </w:r>
    </w:p>
    <w:p>
      <w:pPr>
        <w:pStyle w:val="BodyText"/>
        <w:spacing w:line="338" w:lineRule="auto" w:before="55"/>
        <w:ind w:right="149" w:firstLine="480"/>
        <w:jc w:val="left"/>
      </w:pPr>
      <w:r>
        <w:rPr/>
        <w:t>独立董事王浩先生：中国国籍，无境外居留权，</w:t>
      </w:r>
      <w:r>
        <w:rPr>
          <w:rFonts w:ascii="Times New Roman" w:hAnsi="Times New Roman" w:cs="Times New Roman" w:eastAsia="Times New Roman" w:hint="default"/>
        </w:rPr>
        <w:t>52</w:t>
      </w:r>
      <w:r>
        <w:rPr/>
        <w:t>岁，中国工程院院士，教授级高 工，博导，享有国务院政府津贴。</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4</w:t>
      </w:r>
      <w:r>
        <w:rPr/>
        <w:t>月至今工作于中国水科院水资源所，历任工程 师、副室主任、室主任、总工程师。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月至今任中国水科院水资源所所长。</w:t>
      </w:r>
      <w:r>
        <w:rPr>
          <w:rFonts w:ascii="Times New Roman" w:hAnsi="Times New Roman" w:cs="Times New Roman" w:eastAsia="Times New Roman" w:hint="default"/>
        </w:rPr>
        <w:t>2011</w:t>
      </w:r>
      <w:r>
        <w:rPr/>
        <w:t>年起 兼任江门市地尔汉宇电器股份有限公司独立董事。</w:t>
      </w:r>
    </w:p>
    <w:p>
      <w:pPr>
        <w:pStyle w:val="BodyText"/>
        <w:spacing w:line="338" w:lineRule="auto" w:before="55"/>
        <w:ind w:right="210" w:firstLine="480"/>
        <w:jc w:val="left"/>
      </w:pPr>
      <w:r>
        <w:rPr/>
        <w:t>独立董事庄行方先生：中国国籍，无境外居留权，</w:t>
      </w:r>
      <w:r>
        <w:rPr>
          <w:rFonts w:ascii="Times New Roman" w:hAnsi="Times New Roman" w:cs="Times New Roman" w:eastAsia="Times New Roman" w:hint="default"/>
        </w:rPr>
        <w:t>1948</w:t>
      </w:r>
      <w:r>
        <w:rPr>
          <w:rFonts w:ascii="Times New Roman" w:hAnsi="Times New Roman" w:cs="Times New Roman" w:eastAsia="Times New Roman" w:hint="default"/>
          <w:spacing w:val="-1"/>
        </w:rPr>
        <w:t> </w:t>
      </w:r>
      <w:r>
        <w:rPr/>
        <w:t>年出生，硕士，高级经济师， 高级会计师。</w:t>
      </w:r>
    </w:p>
    <w:p>
      <w:pPr>
        <w:pStyle w:val="BodyText"/>
        <w:spacing w:line="352" w:lineRule="auto" w:before="55"/>
        <w:ind w:right="287" w:firstLine="480"/>
        <w:jc w:val="both"/>
      </w:pPr>
      <w:r>
        <w:rPr/>
        <w:t>庄行方先生自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年起先后任中国电子会计学会副会长，中国电子总会计师协会副 会长，中国电子装备技术协会副会长，中国电子信息产业发展研究院副院长、中国电子资 深专家委员会委员、资深经济专家，杭州电子科技大学和北京信息大学教授、研究生导师 等职务。庄行方先生还担任河南汉威电子股份有限公司独立董事、南京华东电子信息科技 股份有限公司独立董事。</w:t>
      </w:r>
    </w:p>
    <w:p>
      <w:pPr>
        <w:pStyle w:val="BodyText"/>
        <w:spacing w:line="383" w:lineRule="exact" w:before="0"/>
        <w:ind w:left="617" w:right="0"/>
        <w:jc w:val="left"/>
      </w:pPr>
      <w:r>
        <w:rPr/>
        <w:t>独立董事王惠芳女士</w:t>
      </w:r>
      <w:r>
        <w:rPr>
          <w:rFonts w:ascii="Microsoft JhengHei" w:hAnsi="Microsoft JhengHei" w:cs="Microsoft JhengHei" w:eastAsia="Microsoft JhengHei" w:hint="default"/>
          <w:b/>
          <w:bCs/>
        </w:rPr>
        <w:t>：</w:t>
      </w:r>
      <w:r>
        <w:rPr/>
        <w:t>中国国籍，无境外居留权，</w:t>
      </w:r>
      <w:r>
        <w:rPr>
          <w:rFonts w:ascii="Times New Roman" w:hAnsi="Times New Roman" w:cs="Times New Roman" w:eastAsia="Times New Roman" w:hint="default"/>
        </w:rPr>
        <w:t>1971</w:t>
      </w:r>
      <w:r>
        <w:rPr>
          <w:rFonts w:ascii="Times New Roman" w:hAnsi="Times New Roman" w:cs="Times New Roman" w:eastAsia="Times New Roman" w:hint="default"/>
          <w:spacing w:val="-1"/>
        </w:rPr>
        <w:t> </w:t>
      </w:r>
      <w:r>
        <w:rPr/>
        <w:t>年出生，硕士，高级会计师，</w:t>
      </w:r>
    </w:p>
    <w:p>
      <w:pPr>
        <w:pStyle w:val="BodyText"/>
        <w:spacing w:line="240" w:lineRule="auto" w:before="126"/>
        <w:ind w:right="229"/>
        <w:jc w:val="left"/>
      </w:pPr>
      <w:r>
        <w:rPr/>
        <w:t>中国注册会计师协会非执业会员。</w:t>
      </w:r>
    </w:p>
    <w:p>
      <w:pPr>
        <w:pStyle w:val="BodyText"/>
        <w:spacing w:line="348" w:lineRule="auto" w:before="154"/>
        <w:ind w:right="210" w:firstLine="480"/>
        <w:jc w:val="left"/>
      </w:pPr>
      <w:r>
        <w:rPr/>
        <w:t>王惠芳女士</w:t>
      </w:r>
      <w:r>
        <w:rPr>
          <w:spacing w:val="-6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年在中国工程与农业机械进出口总公司财务部、股改办任 职；</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-1998 </w:t>
      </w:r>
      <w:r>
        <w:rPr/>
        <w:t>年在上海华隆进出口公司任总经理助理、财务主管；</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年在 中国机电广告公司任总经理助理、财务总监。</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年至今，在中工国际工程股份有限公司 担任财务总监。王惠芳女士先后担任过加拿大普康控股（阿尔伯塔）有限公司内部董事、 副总经理，香港特颖投资有限公司和萃协有限公司内部董事，邳州市中工水务有限责任公 司内部董事，成都市中工水务有限责任公司内部董事。此外，王惠芳女士还担任北京拓尔 思信息技术股份有限公司独立董事。</w:t>
      </w:r>
    </w:p>
    <w:p>
      <w:pPr>
        <w:pStyle w:val="BodyText"/>
        <w:spacing w:line="338" w:lineRule="auto" w:before="46"/>
        <w:ind w:right="269" w:firstLine="480"/>
        <w:jc w:val="left"/>
      </w:pPr>
      <w:r>
        <w:rPr/>
        <w:t>监事会主席曾志明先生：中国国籍，无境外居留权，</w:t>
      </w:r>
      <w:r>
        <w:rPr>
          <w:rFonts w:ascii="Times New Roman" w:hAnsi="Times New Roman" w:cs="Times New Roman" w:eastAsia="Times New Roman" w:hint="default"/>
        </w:rPr>
        <w:t>37</w:t>
      </w:r>
      <w:r>
        <w:rPr/>
        <w:t>岁，博士，曾志明先生自毕业 后即加盟公司并工作至今，一直主持公司研发工作，现任公司基础研发中心研发总监。</w:t>
      </w:r>
    </w:p>
    <w:p>
      <w:pPr>
        <w:pStyle w:val="BodyText"/>
        <w:spacing w:line="240" w:lineRule="auto" w:before="55"/>
        <w:ind w:left="617" w:right="229"/>
        <w:jc w:val="left"/>
        <w:rPr>
          <w:rFonts w:ascii="Times New Roman" w:hAnsi="Times New Roman" w:cs="Times New Roman" w:eastAsia="Times New Roman" w:hint="default"/>
        </w:rPr>
      </w:pPr>
      <w:r>
        <w:rPr/>
        <w:t>职工监事刘英利女士：中国国籍，无境外居留权，</w:t>
      </w:r>
      <w:r>
        <w:rPr>
          <w:rFonts w:ascii="Times New Roman" w:hAnsi="Times New Roman" w:cs="Times New Roman" w:eastAsia="Times New Roman" w:hint="default"/>
        </w:rPr>
        <w:t>39</w:t>
      </w:r>
      <w:r>
        <w:rPr/>
        <w:t>岁，硕士，</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p>
    <w:p>
      <w:pPr>
        <w:spacing w:after="0" w:line="240" w:lineRule="auto"/>
        <w:jc w:val="left"/>
        <w:rPr>
          <w:rFonts w:ascii="Times New Roman" w:hAnsi="Times New Roman" w:cs="Times New Roman" w:eastAsia="Times New Roman" w:hint="default"/>
        </w:rPr>
        <w:sectPr>
          <w:pgSz w:w="11910" w:h="16840"/>
          <w:pgMar w:header="877" w:footer="1085" w:top="1220" w:bottom="1280" w:left="1140" w:right="980"/>
        </w:sectPr>
      </w:pPr>
    </w:p>
    <w:p>
      <w:pPr>
        <w:spacing w:line="240" w:lineRule="auto" w:before="10"/>
        <w:rPr>
          <w:rFonts w:ascii="Times New Roman" w:hAnsi="Times New Roman" w:cs="Times New Roman" w:eastAsia="Times New Roman" w:hint="default"/>
          <w:sz w:val="18"/>
          <w:szCs w:val="18"/>
        </w:rPr>
      </w:pPr>
    </w:p>
    <w:p>
      <w:pPr>
        <w:pStyle w:val="BodyText"/>
        <w:spacing w:line="338" w:lineRule="auto" w:before="26"/>
        <w:ind w:right="149"/>
        <w:jc w:val="left"/>
      </w:pPr>
      <w:r>
        <w:rPr/>
        <w:t>月在百丽投资股份有限公司工作，任采购专员；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月在汉王科技股份有 限公司工作，任研发采购主管；</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月在北京金昶科技有限公司工作；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月至今在北京超图软件股份有限公司工作，任采购管理部总监。</w:t>
      </w:r>
    </w:p>
    <w:p>
      <w:pPr>
        <w:pStyle w:val="BodyText"/>
        <w:spacing w:line="345" w:lineRule="auto" w:before="27"/>
        <w:ind w:right="225" w:firstLine="480"/>
        <w:jc w:val="both"/>
      </w:pPr>
      <w:r>
        <w:rPr/>
        <w:t>监事官丽莉女士：中国国籍，无境外居留权，</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岁，博士，于</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年至</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年在中 国科学院地理科学与资源研究所生态系统研究网络观测与模拟重点实验室博士后流动站工 作；</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年在中国科学院地理科学与资源研究所科技条件与平台处任实验平台主管，</w:t>
      </w:r>
      <w:r>
        <w:rPr>
          <w:rFonts w:ascii="Times New Roman" w:hAnsi="Times New Roman" w:cs="Times New Roman" w:eastAsia="Times New Roman" w:hint="default"/>
        </w:rPr>
        <w:t>2013 </w:t>
      </w:r>
      <w:r>
        <w:rPr/>
        <w:t>年至今任基建与资产处资产与知识产权主管。</w:t>
      </w:r>
    </w:p>
    <w:p>
      <w:pPr>
        <w:pStyle w:val="BodyText"/>
        <w:spacing w:line="357" w:lineRule="auto" w:before="48"/>
        <w:ind w:left="617" w:right="4829"/>
        <w:jc w:val="left"/>
      </w:pPr>
      <w:r>
        <w:rPr/>
        <w:t>总经理宋关福先生：见前述董事介绍。 副总经理王康弘先生：见前述董事介绍。 副总经理杜庆娥女士：见前述董事介绍。</w:t>
      </w:r>
    </w:p>
    <w:p>
      <w:pPr>
        <w:pStyle w:val="BodyText"/>
        <w:spacing w:line="338" w:lineRule="auto"/>
        <w:ind w:right="149" w:firstLine="480"/>
        <w:jc w:val="left"/>
      </w:pPr>
      <w:r>
        <w:rPr/>
        <w:t>副总经理王继晖女士：中国国籍，无境外居留权，</w:t>
      </w:r>
      <w:r>
        <w:rPr>
          <w:rFonts w:ascii="Times New Roman" w:hAnsi="Times New Roman" w:cs="Times New Roman" w:eastAsia="Times New Roman" w:hint="default"/>
        </w:rPr>
        <w:t>43</w:t>
      </w:r>
      <w:r>
        <w:rPr/>
        <w:t>岁，学士， </w:t>
      </w:r>
      <w:r>
        <w:rPr>
          <w:rFonts w:ascii="Times New Roman" w:hAnsi="Times New Roman" w:cs="Times New Roman" w:eastAsia="Times New Roman" w:hint="default"/>
        </w:rPr>
        <w:t>2007</w:t>
      </w:r>
      <w:r>
        <w:rPr/>
        <w:t>年加入本公司并 工作至今，现任公司副总经理。</w:t>
      </w:r>
    </w:p>
    <w:p>
      <w:pPr>
        <w:pStyle w:val="BodyText"/>
        <w:spacing w:line="338" w:lineRule="auto" w:before="55"/>
        <w:ind w:right="269" w:firstLine="480"/>
        <w:jc w:val="left"/>
      </w:pPr>
      <w:r>
        <w:rPr/>
        <w:t>董事会秘书龚娅杰女士：中国国籍，无境外居留权，</w:t>
      </w:r>
      <w:r>
        <w:rPr>
          <w:rFonts w:ascii="Times New Roman" w:hAnsi="Times New Roman" w:cs="Times New Roman" w:eastAsia="Times New Roman" w:hint="default"/>
        </w:rPr>
        <w:t>40</w:t>
      </w:r>
      <w:r>
        <w:rPr/>
        <w:t>岁，硕士，</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月加入公 司并工作至今，现任公司副总经理、董事会秘书。</w:t>
      </w:r>
    </w:p>
    <w:p>
      <w:pPr>
        <w:pStyle w:val="BodyText"/>
        <w:spacing w:line="338" w:lineRule="auto" w:before="55"/>
        <w:ind w:right="150" w:firstLine="480"/>
        <w:jc w:val="left"/>
      </w:pPr>
      <w:r>
        <w:rPr/>
        <w:t>副总经理卢学慧先生：中国国籍，无境外居留权，</w:t>
      </w:r>
      <w:r>
        <w:rPr>
          <w:rFonts w:ascii="Times New Roman" w:hAnsi="Times New Roman" w:cs="Times New Roman" w:eastAsia="Times New Roman" w:hint="default"/>
        </w:rPr>
        <w:t>50 </w:t>
      </w:r>
      <w:r>
        <w:rPr/>
        <w:t>岁，硕士，会计学中级职称， </w:t>
      </w:r>
      <w:r>
        <w:rPr>
          <w:rFonts w:ascii="Times New Roman" w:hAnsi="Times New Roman" w:cs="Times New Roman" w:eastAsia="Times New Roman" w:hint="default"/>
        </w:rPr>
        <w:t>2007 </w:t>
      </w:r>
      <w:r>
        <w:rPr/>
        <w:t>年至</w:t>
      </w:r>
      <w:r>
        <w:rPr>
          <w:spacing w:val="-61"/>
        </w:rPr>
        <w:t> </w:t>
      </w:r>
      <w:r>
        <w:rPr>
          <w:rFonts w:ascii="Times New Roman" w:hAnsi="Times New Roman" w:cs="Times New Roman" w:eastAsia="Times New Roman" w:hint="default"/>
        </w:rPr>
        <w:t>2008 </w:t>
      </w:r>
      <w:r>
        <w:rPr/>
        <w:t>年，在恒宝股份有限公司工作，任财务中心总经理；</w:t>
      </w:r>
      <w:r>
        <w:rPr>
          <w:rFonts w:ascii="Times New Roman" w:hAnsi="Times New Roman" w:cs="Times New Roman" w:eastAsia="Times New Roman" w:hint="default"/>
        </w:rPr>
        <w:t>2008 </w:t>
      </w:r>
      <w:r>
        <w:rPr/>
        <w:t>年至</w:t>
      </w:r>
      <w:r>
        <w:rPr>
          <w:spacing w:val="-60"/>
        </w:rPr>
        <w:t> </w:t>
      </w:r>
      <w:r>
        <w:rPr>
          <w:rFonts w:ascii="Times New Roman" w:hAnsi="Times New Roman" w:cs="Times New Roman" w:eastAsia="Times New Roman" w:hint="default"/>
        </w:rPr>
        <w:t>2009 </w:t>
      </w:r>
      <w:r>
        <w:rPr/>
        <w:t>年，在 北京第一会达风险管理科技有限公司工作，任执行总监；</w:t>
      </w:r>
      <w:r>
        <w:rPr>
          <w:rFonts w:ascii="Times New Roman" w:hAnsi="Times New Roman" w:cs="Times New Roman" w:eastAsia="Times New Roman" w:hint="default"/>
        </w:rPr>
        <w:t>2009 </w:t>
      </w:r>
      <w:r>
        <w:rPr/>
        <w:t>年至</w:t>
      </w:r>
      <w:r>
        <w:rPr>
          <w:spacing w:val="-60"/>
        </w:rPr>
        <w:t> </w:t>
      </w:r>
      <w:r>
        <w:rPr>
          <w:rFonts w:ascii="Times New Roman" w:hAnsi="Times New Roman" w:cs="Times New Roman" w:eastAsia="Times New Roman" w:hint="default"/>
        </w:rPr>
        <w:t>2010 </w:t>
      </w:r>
      <w:r>
        <w:rPr/>
        <w:t>年，在北京汇宸 投资集团工作，任财务总监；</w:t>
      </w:r>
      <w:r>
        <w:rPr>
          <w:rFonts w:ascii="Times New Roman" w:hAnsi="Times New Roman" w:cs="Times New Roman" w:eastAsia="Times New Roman" w:hint="default"/>
        </w:rPr>
        <w:t>2011 </w:t>
      </w:r>
      <w:r>
        <w:rPr/>
        <w:t>年至</w:t>
      </w:r>
      <w:r>
        <w:rPr>
          <w:spacing w:val="-60"/>
        </w:rPr>
        <w:t> </w:t>
      </w:r>
      <w:r>
        <w:rPr>
          <w:rFonts w:ascii="Times New Roman" w:hAnsi="Times New Roman" w:cs="Times New Roman" w:eastAsia="Times New Roman" w:hint="default"/>
        </w:rPr>
        <w:t>2013 </w:t>
      </w:r>
      <w:r>
        <w:rPr/>
        <w:t>年，在北京北斗星通导航技术股份有限公司 工作，任财务中心主任；</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月，任公司财务总监。</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 今，任公司副总经理。</w:t>
      </w:r>
    </w:p>
    <w:p>
      <w:pPr>
        <w:pStyle w:val="BodyText"/>
        <w:spacing w:line="345" w:lineRule="auto" w:before="55"/>
        <w:ind w:right="209" w:firstLine="480"/>
        <w:jc w:val="left"/>
      </w:pPr>
      <w:r>
        <w:rPr/>
        <w:t>财务总监任翔女士：中国国籍，无境外居留权，</w:t>
      </w:r>
      <w:r>
        <w:rPr>
          <w:rFonts w:ascii="Times New Roman" w:hAnsi="Times New Roman" w:cs="Times New Roman" w:eastAsia="Times New Roman" w:hint="default"/>
        </w:rPr>
        <w:t>48 </w:t>
      </w:r>
      <w:r>
        <w:rPr/>
        <w:t>岁，学士，中国注册会计师。</w:t>
      </w:r>
      <w:r>
        <w:rPr>
          <w:rFonts w:ascii="Times New Roman" w:hAnsi="Times New Roman" w:cs="Times New Roman" w:eastAsia="Times New Roman" w:hint="default"/>
        </w:rPr>
        <w:t>1990 </w:t>
      </w:r>
      <w:r>
        <w:rPr/>
        <w:t>年至</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月，先后在铁道部科学研究院、北京永拓会计师事务所、北大方正集团公 司、华为技术有限公司任职。最近五年担任华为技术有限公司中国区财经管理部部长、摩 洛哥代表处</w:t>
      </w:r>
      <w:r>
        <w:rPr>
          <w:spacing w:val="-62"/>
        </w:rPr>
        <w:t> </w:t>
      </w:r>
      <w:r>
        <w:rPr>
          <w:rFonts w:ascii="Times New Roman" w:hAnsi="Times New Roman" w:cs="Times New Roman" w:eastAsia="Times New Roman" w:hint="default"/>
        </w:rPr>
        <w:t>CFO</w:t>
      </w:r>
      <w:r>
        <w:rPr/>
        <w:t>、华为技术服务有限公司</w:t>
      </w:r>
      <w:r>
        <w:rPr>
          <w:spacing w:val="-61"/>
        </w:rPr>
        <w:t> </w:t>
      </w:r>
      <w:r>
        <w:rPr>
          <w:rFonts w:ascii="Times New Roman" w:hAnsi="Times New Roman" w:cs="Times New Roman" w:eastAsia="Times New Roman" w:hint="default"/>
        </w:rPr>
        <w:t>CFO</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月至今担任公司财务总监。</w:t>
      </w:r>
    </w:p>
    <w:p>
      <w:pPr>
        <w:pStyle w:val="BodyText"/>
        <w:spacing w:line="240" w:lineRule="auto" w:before="19"/>
        <w:ind w:left="617" w:right="229"/>
        <w:jc w:val="left"/>
      </w:pPr>
      <w:r>
        <w:rPr>
          <w:rFonts w:ascii="Times New Roman" w:hAnsi="Times New Roman" w:cs="Times New Roman" w:eastAsia="Times New Roman" w:hint="default"/>
        </w:rPr>
        <w:t>2</w:t>
      </w:r>
      <w:r>
        <w:rPr/>
        <w:t>、在股东单位任职情况</w:t>
      </w:r>
    </w:p>
    <w:p>
      <w:pPr>
        <w:pStyle w:val="BodyText"/>
        <w:tabs>
          <w:tab w:pos="1469" w:val="left" w:leader="none"/>
        </w:tabs>
        <w:spacing w:line="240" w:lineRule="auto" w:before="135"/>
        <w:ind w:left="617" w:right="229"/>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14"/>
        <w:gridCol w:w="2497"/>
        <w:gridCol w:w="1498"/>
        <w:gridCol w:w="1186"/>
        <w:gridCol w:w="1318"/>
        <w:gridCol w:w="1577"/>
      </w:tblGrid>
      <w:tr>
        <w:trPr>
          <w:trHeight w:val="634"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任职人员姓名</w:t>
            </w:r>
            <w:r>
              <w:rPr>
                <w:rFonts w:ascii="Microsoft JhengHei" w:hAnsi="Microsoft JhengHei" w:cs="Microsoft JhengHei" w:eastAsia="Microsoft JhengHei" w:hint="default"/>
                <w:sz w:val="21"/>
                <w:szCs w:val="21"/>
              </w:rPr>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股东单位名称</w:t>
            </w:r>
            <w:r>
              <w:rPr>
                <w:rFonts w:ascii="Microsoft JhengHei" w:hAnsi="Microsoft JhengHei" w:cs="Microsoft JhengHei" w:eastAsia="Microsoft JhengHei"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在股东单位担</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任的职务</w:t>
            </w:r>
            <w:r>
              <w:rPr>
                <w:rFonts w:ascii="Microsoft JhengHei" w:hAnsi="Microsoft JhengHei" w:cs="Microsoft JhengHei" w:eastAsia="Microsoft JhengHei"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任期起始日</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期</w:t>
            </w:r>
            <w:r>
              <w:rPr>
                <w:rFonts w:ascii="Microsoft JhengHei" w:hAnsi="Microsoft JhengHei" w:cs="Microsoft JhengHei" w:eastAsia="Microsoft JhengHei" w:hint="default"/>
                <w:w w:val="100"/>
                <w:sz w:val="21"/>
                <w:szCs w:val="21"/>
              </w:rPr>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任期终止日</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期</w:t>
            </w:r>
            <w:r>
              <w:rPr>
                <w:rFonts w:ascii="Microsoft JhengHei" w:hAnsi="Microsoft JhengHei" w:cs="Microsoft JhengHei" w:eastAsia="Microsoft JhengHei" w:hint="default"/>
                <w:w w:val="100"/>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在股东单位是否</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领取报酬津贴</w:t>
            </w:r>
            <w:r>
              <w:rPr>
                <w:rFonts w:ascii="Microsoft JhengHei" w:hAnsi="Microsoft JhengHei" w:cs="Microsoft JhengHei" w:eastAsia="Microsoft JhengHei" w:hint="default"/>
                <w:sz w:val="21"/>
                <w:szCs w:val="21"/>
              </w:rPr>
            </w: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程邦波</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23" w:right="84" w:hanging="737"/>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研究员</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5"/>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官丽莉</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基建资产处资</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62" w:lineRule="exact"/>
        <w:jc w:val="left"/>
        <w:rPr>
          <w:rFonts w:ascii="宋体" w:hAnsi="宋体" w:cs="宋体" w:eastAsia="宋体" w:hint="default"/>
          <w:sz w:val="21"/>
          <w:szCs w:val="21"/>
        </w:rPr>
        <w:sectPr>
          <w:footerReference w:type="default" r:id="rId32"/>
          <w:pgSz w:w="11910" w:h="16840"/>
          <w:pgMar w:footer="1085" w:header="877" w:top="1220" w:bottom="1280" w:left="1140" w:right="980"/>
        </w:sectPr>
      </w:pPr>
    </w:p>
    <w:p>
      <w:pPr>
        <w:spacing w:line="240" w:lineRule="auto" w:before="8"/>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1414"/>
        <w:gridCol w:w="2497"/>
        <w:gridCol w:w="1498"/>
        <w:gridCol w:w="1186"/>
        <w:gridCol w:w="1318"/>
        <w:gridCol w:w="1577"/>
      </w:tblGrid>
      <w:tr>
        <w:trPr>
          <w:trHeight w:val="634"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23" w:right="0"/>
              <w:jc w:val="left"/>
              <w:rPr>
                <w:rFonts w:ascii="宋体" w:hAnsi="宋体" w:cs="宋体" w:eastAsia="宋体" w:hint="default"/>
                <w:sz w:val="21"/>
                <w:szCs w:val="21"/>
              </w:rPr>
            </w:pPr>
            <w:r>
              <w:rPr>
                <w:rFonts w:ascii="宋体" w:hAnsi="宋体" w:cs="宋体" w:eastAsia="宋体" w:hint="default"/>
                <w:sz w:val="21"/>
                <w:szCs w:val="21"/>
              </w:rPr>
              <w:t>源研究所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13" w:hanging="420"/>
              <w:jc w:val="left"/>
              <w:rPr>
                <w:rFonts w:ascii="宋体" w:hAnsi="宋体" w:cs="宋体" w:eastAsia="宋体" w:hint="default"/>
                <w:sz w:val="21"/>
                <w:szCs w:val="21"/>
              </w:rPr>
            </w:pPr>
            <w:r>
              <w:rPr>
                <w:rFonts w:ascii="宋体" w:hAnsi="宋体" w:cs="宋体" w:eastAsia="宋体" w:hint="default"/>
                <w:sz w:val="21"/>
                <w:szCs w:val="21"/>
              </w:rPr>
              <w:t>产与知识产权</w:t>
            </w:r>
            <w:r>
              <w:rPr>
                <w:rFonts w:ascii="宋体" w:hAnsi="宋体" w:cs="宋体" w:eastAsia="宋体" w:hint="default"/>
                <w:w w:val="100"/>
                <w:sz w:val="21"/>
                <w:szCs w:val="21"/>
              </w:rPr>
              <w:t> </w:t>
            </w:r>
            <w:r>
              <w:rPr>
                <w:rFonts w:ascii="宋体" w:hAnsi="宋体" w:cs="宋体" w:eastAsia="宋体" w:hint="default"/>
                <w:sz w:val="21"/>
                <w:szCs w:val="21"/>
              </w:rPr>
              <w:t>主管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31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9"/>
              <w:jc w:val="left"/>
              <w:rPr>
                <w:rFonts w:ascii="宋体" w:hAnsi="宋体" w:cs="宋体" w:eastAsia="宋体" w:hint="default"/>
                <w:sz w:val="21"/>
                <w:szCs w:val="21"/>
              </w:rPr>
            </w:pPr>
            <w:r>
              <w:rPr>
                <w:rFonts w:ascii="宋体" w:hAnsi="宋体" w:cs="宋体" w:eastAsia="宋体" w:hint="default"/>
                <w:sz w:val="21"/>
                <w:szCs w:val="21"/>
              </w:rPr>
              <w:t>在股东单位任</w:t>
            </w:r>
            <w:r>
              <w:rPr>
                <w:rFonts w:ascii="宋体" w:hAnsi="宋体" w:cs="宋体" w:eastAsia="宋体" w:hint="default"/>
                <w:w w:val="100"/>
                <w:sz w:val="21"/>
                <w:szCs w:val="21"/>
              </w:rPr>
              <w:t> </w:t>
            </w:r>
            <w:r>
              <w:rPr>
                <w:rFonts w:ascii="宋体" w:hAnsi="宋体" w:cs="宋体" w:eastAsia="宋体" w:hint="default"/>
                <w:sz w:val="21"/>
                <w:szCs w:val="21"/>
              </w:rPr>
              <w:t>职情况的说明</w:t>
            </w:r>
          </w:p>
        </w:tc>
        <w:tc>
          <w:tcPr>
            <w:tcW w:w="8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3821" w:right="36" w:hanging="3784"/>
              <w:jc w:val="left"/>
              <w:rPr>
                <w:rFonts w:ascii="宋体" w:hAnsi="宋体" w:cs="宋体" w:eastAsia="宋体" w:hint="default"/>
                <w:sz w:val="21"/>
                <w:szCs w:val="21"/>
              </w:rPr>
            </w:pPr>
            <w:r>
              <w:rPr>
                <w:rFonts w:ascii="宋体" w:hAnsi="宋体" w:cs="宋体" w:eastAsia="宋体" w:hint="default"/>
                <w:spacing w:val="-2"/>
                <w:sz w:val="21"/>
                <w:szCs w:val="21"/>
              </w:rPr>
              <w:t>董事程邦波先生以及官丽莉女士均在公司股东</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中国科学院地理科学与资源研究所任</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职。</w:t>
            </w:r>
          </w:p>
        </w:tc>
      </w:tr>
    </w:tbl>
    <w:p>
      <w:pPr>
        <w:pStyle w:val="BodyText"/>
        <w:spacing w:line="240" w:lineRule="auto" w:before="39"/>
        <w:ind w:left="617" w:right="229"/>
        <w:jc w:val="left"/>
      </w:pPr>
      <w:r>
        <w:rPr>
          <w:rFonts w:ascii="Times New Roman" w:hAnsi="Times New Roman" w:cs="Times New Roman" w:eastAsia="Times New Roman" w:hint="default"/>
        </w:rPr>
        <w:t>3</w:t>
      </w:r>
      <w:r>
        <w:rPr/>
        <w:t>、在其他单位任职情况</w:t>
      </w:r>
    </w:p>
    <w:p>
      <w:pPr>
        <w:pStyle w:val="BodyText"/>
        <w:spacing w:line="240" w:lineRule="auto" w:before="135"/>
        <w:ind w:left="617" w:right="22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950"/>
        <w:gridCol w:w="3406"/>
        <w:gridCol w:w="1052"/>
        <w:gridCol w:w="1303"/>
        <w:gridCol w:w="1196"/>
        <w:gridCol w:w="1582"/>
      </w:tblGrid>
      <w:tr>
        <w:trPr>
          <w:trHeight w:val="947"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259" w:right="48"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6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8" w:right="99"/>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42" w:right="115"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487" w:right="63" w:hanging="421"/>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55" w:right="45"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322"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101" w:firstLine="105"/>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4"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上海超途</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9" w:firstLine="105"/>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山东超图</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9" w:firstLine="105"/>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龚娅杰</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南康科技</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48"/>
              <w:ind w:left="259"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中国水科院水资源所</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江门市地尔汉宇电器股份有限公司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庄行方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591" w:right="118" w:hanging="1470"/>
              <w:jc w:val="left"/>
              <w:rPr>
                <w:rFonts w:ascii="宋体" w:hAnsi="宋体" w:cs="宋体" w:eastAsia="宋体" w:hint="default"/>
                <w:sz w:val="21"/>
                <w:szCs w:val="21"/>
              </w:rPr>
            </w:pPr>
            <w:r>
              <w:rPr>
                <w:rFonts w:ascii="宋体" w:hAnsi="宋体" w:cs="宋体" w:eastAsia="宋体" w:hint="default"/>
                <w:spacing w:val="-2"/>
                <w:sz w:val="21"/>
                <w:szCs w:val="21"/>
              </w:rPr>
              <w:t>南京华东电子信息科技股份有限公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河南汉威电力科技股份有限公司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王惠芳</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36" w:right="0"/>
              <w:jc w:val="left"/>
              <w:rPr>
                <w:rFonts w:ascii="宋体" w:hAnsi="宋体" w:cs="宋体" w:eastAsia="宋体" w:hint="default"/>
                <w:sz w:val="21"/>
                <w:szCs w:val="21"/>
              </w:rPr>
            </w:pPr>
            <w:r>
              <w:rPr>
                <w:rFonts w:ascii="宋体" w:hAnsi="宋体" w:cs="宋体" w:eastAsia="宋体" w:hint="default"/>
                <w:sz w:val="21"/>
                <w:szCs w:val="21"/>
              </w:rPr>
              <w:t>中工国际工程股份有限公司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5"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北京拓尔思信息技术股份有限公司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88" w:right="118" w:hanging="1367"/>
              <w:jc w:val="left"/>
              <w:rPr>
                <w:rFonts w:ascii="宋体" w:hAnsi="宋体" w:cs="宋体" w:eastAsia="宋体" w:hint="default"/>
                <w:sz w:val="21"/>
                <w:szCs w:val="21"/>
              </w:rPr>
            </w:pPr>
            <w:r>
              <w:rPr>
                <w:rFonts w:ascii="宋体" w:hAnsi="宋体" w:cs="宋体" w:eastAsia="宋体" w:hint="default"/>
                <w:spacing w:val="-2"/>
                <w:sz w:val="21"/>
                <w:szCs w:val="21"/>
              </w:rPr>
              <w:t>加拿大普康控股（阿尔伯塔）有限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99" w:firstLine="2"/>
              <w:jc w:val="center"/>
              <w:rPr>
                <w:rFonts w:ascii="宋体" w:hAnsi="宋体" w:cs="宋体" w:eastAsia="宋体" w:hint="default"/>
                <w:sz w:val="21"/>
                <w:szCs w:val="21"/>
              </w:rPr>
            </w:pPr>
            <w:r>
              <w:rPr>
                <w:rFonts w:ascii="宋体" w:hAnsi="宋体" w:cs="宋体" w:eastAsia="宋体" w:hint="default"/>
                <w:sz w:val="21"/>
                <w:szCs w:val="21"/>
              </w:rPr>
              <w:t>内部董</w:t>
            </w:r>
            <w:r>
              <w:rPr>
                <w:rFonts w:ascii="宋体" w:hAnsi="宋体" w:cs="宋体" w:eastAsia="宋体" w:hint="default"/>
                <w:w w:val="100"/>
                <w:sz w:val="21"/>
                <w:szCs w:val="21"/>
              </w:rPr>
              <w:t> </w:t>
            </w:r>
            <w:r>
              <w:rPr>
                <w:rFonts w:ascii="宋体" w:hAnsi="宋体" w:cs="宋体" w:eastAsia="宋体" w:hint="default"/>
                <w:sz w:val="21"/>
                <w:szCs w:val="21"/>
              </w:rPr>
              <w:t>事、副总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3"/>
              <w:jc w:val="left"/>
              <w:rPr>
                <w:rFonts w:ascii="宋体" w:hAnsi="宋体" w:cs="宋体" w:eastAsia="宋体" w:hint="default"/>
                <w:sz w:val="21"/>
                <w:szCs w:val="21"/>
              </w:rPr>
            </w:pPr>
            <w:r>
              <w:rPr>
                <w:rFonts w:ascii="宋体" w:hAnsi="宋体" w:cs="宋体" w:eastAsia="宋体" w:hint="default"/>
                <w:spacing w:val="10"/>
                <w:sz w:val="21"/>
                <w:szCs w:val="21"/>
              </w:rPr>
              <w:t>香港特颖投资有限公司和萃协有限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50" w:type="dxa"/>
            <w:vMerge/>
            <w:tcBorders>
              <w:left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邳州市中工水务有限责任公司董事</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50" w:type="dxa"/>
            <w:vMerge/>
            <w:tcBorders>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成都市中工水务有限责任公司董事</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8" w:right="48"/>
              <w:jc w:val="both"/>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5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68" w:right="0"/>
              <w:jc w:val="left"/>
              <w:rPr>
                <w:rFonts w:ascii="宋体" w:hAnsi="宋体" w:cs="宋体" w:eastAsia="宋体" w:hint="default"/>
                <w:sz w:val="21"/>
                <w:szCs w:val="21"/>
              </w:rPr>
            </w:pPr>
            <w:r>
              <w:rPr>
                <w:rFonts w:ascii="宋体" w:hAnsi="宋体" w:cs="宋体" w:eastAsia="宋体" w:hint="default"/>
                <w:sz w:val="21"/>
                <w:szCs w:val="21"/>
              </w:rPr>
              <w:t>除上表信息以外，无其他需要说明的情况。</w:t>
            </w:r>
          </w:p>
        </w:tc>
      </w:tr>
    </w:tbl>
    <w:p>
      <w:pPr>
        <w:spacing w:after="0" w:line="240" w:lineRule="auto"/>
        <w:jc w:val="left"/>
        <w:rPr>
          <w:rFonts w:ascii="宋体" w:hAnsi="宋体" w:cs="宋体" w:eastAsia="宋体" w:hint="default"/>
          <w:sz w:val="21"/>
          <w:szCs w:val="21"/>
        </w:rPr>
        <w:sectPr>
          <w:footerReference w:type="default" r:id="rId33"/>
          <w:pgSz w:w="11910" w:h="16840"/>
          <w:pgMar w:footer="1085" w:header="877" w:top="1220" w:bottom="1280" w:left="1140" w:right="980"/>
          <w:pgNumType w:start="81"/>
        </w:sectPr>
      </w:pPr>
    </w:p>
    <w:p>
      <w:pPr>
        <w:spacing w:line="240" w:lineRule="auto" w:before="8"/>
        <w:rPr>
          <w:rFonts w:ascii="宋体" w:hAnsi="宋体" w:cs="宋体" w:eastAsia="宋体" w:hint="default"/>
          <w:sz w:val="16"/>
          <w:szCs w:val="16"/>
        </w:rPr>
      </w:pPr>
    </w:p>
    <w:p>
      <w:pPr>
        <w:pStyle w:val="BodyText"/>
        <w:spacing w:line="240" w:lineRule="auto" w:before="26"/>
        <w:ind w:left="617" w:right="224"/>
        <w:jc w:val="left"/>
      </w:pPr>
      <w:r>
        <w:rPr/>
        <w:t>公司现任及报告期内离任董事、监事和高级管理人员近三年证券监管机构处罚的情况</w:t>
      </w:r>
    </w:p>
    <w:p>
      <w:pPr>
        <w:spacing w:line="427" w:lineRule="auto" w:before="154"/>
        <w:ind w:left="137" w:right="538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55" w:id="56"/>
      <w:bookmarkEnd w:id="56"/>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四、董事、监事、高级管理人员报酬情况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3"/>
          <w:szCs w:val="3"/>
        </w:rPr>
      </w:pPr>
    </w:p>
    <w:tbl>
      <w:tblPr>
        <w:tblW w:w="0" w:type="auto"/>
        <w:jc w:val="left"/>
        <w:tblInd w:w="166" w:type="dxa"/>
        <w:tblLayout w:type="fixed"/>
        <w:tblCellMar>
          <w:top w:w="0" w:type="dxa"/>
          <w:left w:w="0" w:type="dxa"/>
          <w:bottom w:w="0" w:type="dxa"/>
          <w:right w:w="0" w:type="dxa"/>
        </w:tblCellMar>
        <w:tblLook w:val="01E0"/>
      </w:tblPr>
      <w:tblGrid>
        <w:gridCol w:w="3118"/>
        <w:gridCol w:w="6450"/>
      </w:tblGrid>
      <w:tr>
        <w:trPr>
          <w:trHeight w:val="946"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27" w:right="79" w:hanging="946"/>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的决策程序</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 w:right="63"/>
              <w:jc w:val="center"/>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董事、监事津贴按照公司《董事、监事薪酬管理制度》执行；高管人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员报酬根据公司《高级管理人员薪酬管理制度》执行，由薪酬与考核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委员会进行考核。</w:t>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32" w:right="79" w:hanging="1052"/>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确定依据</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15" w:right="79" w:hanging="735"/>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的实际支付情况</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before="26"/>
        <w:ind w:left="617" w:right="346"/>
        <w:jc w:val="left"/>
      </w:pPr>
      <w:r>
        <w:rPr/>
        <w:t>公司报告期内董事、监事和高级管理人员报酬情况：</w:t>
      </w:r>
    </w:p>
    <w:p>
      <w:pPr>
        <w:spacing w:line="240" w:lineRule="auto" w:before="12"/>
        <w:rPr>
          <w:rFonts w:ascii="宋体" w:hAnsi="宋体" w:cs="宋体" w:eastAsia="宋体" w:hint="default"/>
          <w:sz w:val="8"/>
          <w:szCs w:val="8"/>
        </w:rPr>
      </w:pPr>
    </w:p>
    <w:tbl>
      <w:tblPr>
        <w:tblW w:w="0" w:type="auto"/>
        <w:jc w:val="left"/>
        <w:tblInd w:w="245" w:type="dxa"/>
        <w:tblLayout w:type="fixed"/>
        <w:tblCellMar>
          <w:top w:w="0" w:type="dxa"/>
          <w:left w:w="0" w:type="dxa"/>
          <w:bottom w:w="0" w:type="dxa"/>
          <w:right w:w="0" w:type="dxa"/>
        </w:tblCellMar>
        <w:tblLook w:val="01E0"/>
      </w:tblPr>
      <w:tblGrid>
        <w:gridCol w:w="1253"/>
        <w:gridCol w:w="1354"/>
        <w:gridCol w:w="1354"/>
        <w:gridCol w:w="1354"/>
        <w:gridCol w:w="1354"/>
        <w:gridCol w:w="1354"/>
        <w:gridCol w:w="1248"/>
      </w:tblGrid>
      <w:tr>
        <w:trPr>
          <w:trHeight w:val="1055" w:hRule="exact"/>
        </w:trPr>
        <w:tc>
          <w:tcPr>
            <w:tcW w:w="125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职务</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454"/>
              <w:jc w:val="right"/>
              <w:rPr>
                <w:rFonts w:ascii="宋体" w:hAnsi="宋体" w:cs="宋体" w:eastAsia="宋体" w:hint="default"/>
                <w:sz w:val="21"/>
                <w:szCs w:val="21"/>
              </w:rPr>
            </w:pPr>
            <w:r>
              <w:rPr>
                <w:rFonts w:ascii="宋体" w:hAnsi="宋体" w:cs="宋体" w:eastAsia="宋体" w:hint="default"/>
                <w:sz w:val="21"/>
                <w:szCs w:val="21"/>
              </w:rPr>
              <w:t>年龄</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before="36"/>
              <w:ind w:left="141" w:right="137"/>
              <w:jc w:val="center"/>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w w:val="100"/>
                <w:sz w:val="21"/>
                <w:szCs w:val="21"/>
              </w:rPr>
              <w:t> </w:t>
            </w:r>
            <w:r>
              <w:rPr>
                <w:rFonts w:ascii="宋体" w:hAnsi="宋体" w:cs="宋体" w:eastAsia="宋体" w:hint="default"/>
                <w:sz w:val="21"/>
                <w:szCs w:val="21"/>
              </w:rPr>
              <w:t>的报酬总额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4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73" w:lineRule="auto" w:before="36"/>
              <w:ind w:left="192" w:right="192"/>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60</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549,896</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center"/>
              <w:rPr>
                <w:rFonts w:ascii="Times New Roman" w:hAnsi="Times New Roman" w:cs="Times New Roman" w:eastAsia="Times New Roman" w:hint="default"/>
                <w:sz w:val="21"/>
                <w:szCs w:val="21"/>
              </w:rPr>
            </w:pPr>
            <w:r>
              <w:rPr>
                <w:rFonts w:ascii="Times New Roman"/>
                <w:sz w:val="21"/>
              </w:rPr>
              <w:t>46</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5" w:right="0"/>
              <w:jc w:val="left"/>
              <w:rPr>
                <w:rFonts w:ascii="Times New Roman" w:hAnsi="Times New Roman" w:cs="Times New Roman" w:eastAsia="Times New Roman" w:hint="default"/>
                <w:sz w:val="21"/>
                <w:szCs w:val="21"/>
              </w:rPr>
            </w:pPr>
            <w:r>
              <w:rPr>
                <w:rFonts w:ascii="Times New Roman"/>
                <w:sz w:val="21"/>
              </w:rPr>
              <w:t>534,061</w:t>
            </w:r>
          </w:p>
        </w:tc>
        <w:tc>
          <w:tcPr>
            <w:tcW w:w="1248" w:type="dxa"/>
            <w:vMerge w:val="restart"/>
            <w:tcBorders>
              <w:top w:val="single" w:sz="8" w:space="0" w:color="000000"/>
              <w:left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4" w:hRule="exact"/>
        </w:trPr>
        <w:tc>
          <w:tcPr>
            <w:tcW w:w="1253" w:type="dxa"/>
            <w:vMerge/>
            <w:tcBorders>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248" w:type="dxa"/>
            <w:vMerge/>
            <w:tcBorders>
              <w:left w:val="single" w:sz="8" w:space="0" w:color="000000"/>
              <w:bottom w:val="single" w:sz="8" w:space="0" w:color="000000"/>
              <w:right w:val="single" w:sz="8" w:space="0" w:color="000000"/>
            </w:tcBorders>
          </w:tcPr>
          <w:p>
            <w:pPr/>
          </w:p>
        </w:tc>
      </w:tr>
      <w:tr>
        <w:trPr>
          <w:trHeight w:val="332"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44</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389,623</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08" w:right="0"/>
              <w:jc w:val="center"/>
              <w:rPr>
                <w:rFonts w:ascii="宋体" w:hAnsi="宋体" w:cs="宋体" w:eastAsia="宋体" w:hint="default"/>
                <w:sz w:val="21"/>
                <w:szCs w:val="21"/>
              </w:rPr>
            </w:pPr>
            <w:r>
              <w:rPr>
                <w:rFonts w:ascii="宋体" w:hAnsi="宋体" w:cs="宋体" w:eastAsia="宋体" w:hint="default"/>
                <w:sz w:val="21"/>
                <w:szCs w:val="21"/>
              </w:rPr>
              <w:t>程邦波</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34</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4"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center"/>
              <w:rPr>
                <w:rFonts w:ascii="Times New Roman" w:hAnsi="Times New Roman" w:cs="Times New Roman" w:eastAsia="Times New Roman" w:hint="default"/>
                <w:sz w:val="21"/>
                <w:szCs w:val="21"/>
              </w:rPr>
            </w:pPr>
            <w:r>
              <w:rPr>
                <w:rFonts w:ascii="Times New Roman"/>
                <w:sz w:val="21"/>
              </w:rPr>
              <w:t>41</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5" w:right="0"/>
              <w:jc w:val="left"/>
              <w:rPr>
                <w:rFonts w:ascii="Times New Roman" w:hAnsi="Times New Roman" w:cs="Times New Roman" w:eastAsia="Times New Roman" w:hint="default"/>
                <w:sz w:val="21"/>
                <w:szCs w:val="21"/>
              </w:rPr>
            </w:pPr>
            <w:r>
              <w:rPr>
                <w:rFonts w:ascii="Times New Roman"/>
                <w:sz w:val="21"/>
              </w:rPr>
              <w:t>476,744</w:t>
            </w:r>
          </w:p>
        </w:tc>
        <w:tc>
          <w:tcPr>
            <w:tcW w:w="1248" w:type="dxa"/>
            <w:vMerge w:val="restart"/>
            <w:tcBorders>
              <w:top w:val="single" w:sz="8" w:space="0" w:color="000000"/>
              <w:left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vMerge/>
            <w:tcBorders>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248" w:type="dxa"/>
            <w:vMerge/>
            <w:tcBorders>
              <w:left w:val="single" w:sz="8" w:space="0" w:color="000000"/>
              <w:bottom w:val="single" w:sz="8" w:space="0" w:color="000000"/>
              <w:right w:val="single" w:sz="8" w:space="0" w:color="000000"/>
            </w:tcBorders>
          </w:tcPr>
          <w:p>
            <w:pPr/>
          </w:p>
        </w:tc>
      </w:tr>
      <w:tr>
        <w:trPr>
          <w:trHeight w:val="331"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董事</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center"/>
              <w:rPr>
                <w:rFonts w:ascii="Times New Roman" w:hAnsi="Times New Roman" w:cs="Times New Roman" w:eastAsia="Times New Roman" w:hint="default"/>
                <w:sz w:val="21"/>
                <w:szCs w:val="21"/>
              </w:rPr>
            </w:pPr>
            <w:r>
              <w:rPr>
                <w:rFonts w:ascii="Times New Roman"/>
                <w:sz w:val="21"/>
              </w:rPr>
              <w:t>43</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5" w:right="0"/>
              <w:jc w:val="left"/>
              <w:rPr>
                <w:rFonts w:ascii="Times New Roman" w:hAnsi="Times New Roman" w:cs="Times New Roman" w:eastAsia="Times New Roman" w:hint="default"/>
                <w:sz w:val="21"/>
                <w:szCs w:val="21"/>
              </w:rPr>
            </w:pPr>
            <w:r>
              <w:rPr>
                <w:rFonts w:ascii="Times New Roman"/>
                <w:sz w:val="21"/>
              </w:rPr>
              <w:t>381,056</w:t>
            </w:r>
          </w:p>
        </w:tc>
        <w:tc>
          <w:tcPr>
            <w:tcW w:w="1248" w:type="dxa"/>
            <w:vMerge w:val="restart"/>
            <w:tcBorders>
              <w:top w:val="single" w:sz="8" w:space="0" w:color="000000"/>
              <w:left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4" w:hRule="exact"/>
        </w:trPr>
        <w:tc>
          <w:tcPr>
            <w:tcW w:w="1253" w:type="dxa"/>
            <w:vMerge/>
            <w:tcBorders>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248" w:type="dxa"/>
            <w:vMerge/>
            <w:tcBorders>
              <w:left w:val="single" w:sz="8" w:space="0" w:color="000000"/>
              <w:bottom w:val="single" w:sz="8" w:space="0" w:color="000000"/>
              <w:right w:val="single" w:sz="8" w:space="0" w:color="000000"/>
            </w:tcBorders>
          </w:tcPr>
          <w:p>
            <w:pP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52</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71,400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庄行方</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67</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71,400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4"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455"/>
              <w:jc w:val="right"/>
              <w:rPr>
                <w:rFonts w:ascii="Times New Roman" w:hAnsi="Times New Roman" w:cs="Times New Roman" w:eastAsia="Times New Roman" w:hint="default"/>
                <w:sz w:val="21"/>
                <w:szCs w:val="21"/>
              </w:rPr>
            </w:pPr>
            <w:r>
              <w:rPr>
                <w:rFonts w:ascii="Times New Roman"/>
                <w:sz w:val="21"/>
              </w:rPr>
              <w:t>44</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71,400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37</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298,103</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2"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官丽莉</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37</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4"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刘英利</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监事</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455"/>
              <w:jc w:val="right"/>
              <w:rPr>
                <w:rFonts w:ascii="Times New Roman" w:hAnsi="Times New Roman" w:cs="Times New Roman" w:eastAsia="Times New Roman" w:hint="default"/>
                <w:sz w:val="21"/>
                <w:szCs w:val="21"/>
              </w:rPr>
            </w:pPr>
            <w:r>
              <w:rPr>
                <w:rFonts w:ascii="Times New Roman"/>
                <w:sz w:val="21"/>
              </w:rPr>
              <w:t>39</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94,602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11" w:right="0"/>
              <w:jc w:val="center"/>
              <w:rPr>
                <w:rFonts w:ascii="Times New Roman" w:hAnsi="Times New Roman" w:cs="Times New Roman" w:eastAsia="Times New Roman" w:hint="default"/>
                <w:sz w:val="21"/>
                <w:szCs w:val="21"/>
              </w:rPr>
            </w:pPr>
            <w:r>
              <w:rPr>
                <w:rFonts w:ascii="Times New Roman"/>
                <w:sz w:val="21"/>
              </w:rPr>
              <w:t>40</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62" w:right="0"/>
              <w:jc w:val="left"/>
              <w:rPr>
                <w:rFonts w:ascii="Times New Roman" w:hAnsi="Times New Roman" w:cs="Times New Roman" w:eastAsia="Times New Roman" w:hint="default"/>
                <w:sz w:val="21"/>
                <w:szCs w:val="21"/>
              </w:rPr>
            </w:pPr>
            <w:r>
              <w:rPr>
                <w:rFonts w:ascii="Times New Roman"/>
                <w:sz w:val="21"/>
              </w:rPr>
              <w:t>511,720</w:t>
            </w:r>
          </w:p>
        </w:tc>
        <w:tc>
          <w:tcPr>
            <w:tcW w:w="1248"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45" w:hRule="exact"/>
        </w:trPr>
        <w:tc>
          <w:tcPr>
            <w:tcW w:w="1253" w:type="dxa"/>
            <w:vMerge/>
            <w:tcBorders>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354" w:type="dxa"/>
            <w:vMerge/>
            <w:tcBorders>
              <w:left w:val="single" w:sz="8" w:space="0" w:color="000000"/>
              <w:bottom w:val="single" w:sz="8" w:space="0" w:color="000000"/>
              <w:right w:val="single" w:sz="8" w:space="0" w:color="000000"/>
            </w:tcBorders>
          </w:tcPr>
          <w:p>
            <w:pPr/>
          </w:p>
        </w:tc>
        <w:tc>
          <w:tcPr>
            <w:tcW w:w="1248" w:type="dxa"/>
            <w:vMerge/>
            <w:tcBorders>
              <w:left w:val="single" w:sz="8" w:space="0" w:color="000000"/>
              <w:bottom w:val="single" w:sz="8" w:space="0" w:color="000000"/>
              <w:right w:val="single" w:sz="8" w:space="0" w:color="000000"/>
            </w:tcBorders>
          </w:tcPr>
          <w:p>
            <w:pPr/>
          </w:p>
        </w:tc>
      </w:tr>
      <w:tr>
        <w:trPr>
          <w:trHeight w:val="334"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455"/>
              <w:jc w:val="right"/>
              <w:rPr>
                <w:rFonts w:ascii="Times New Roman" w:hAnsi="Times New Roman" w:cs="Times New Roman" w:eastAsia="Times New Roman" w:hint="default"/>
                <w:sz w:val="21"/>
                <w:szCs w:val="21"/>
              </w:rPr>
            </w:pPr>
            <w:r>
              <w:rPr>
                <w:rFonts w:ascii="Times New Roman"/>
                <w:sz w:val="21"/>
              </w:rPr>
              <w:t>43</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391,751</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卢学慧</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50</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407,123</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任翔</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55"/>
              <w:jc w:val="right"/>
              <w:rPr>
                <w:rFonts w:ascii="Times New Roman" w:hAnsi="Times New Roman" w:cs="Times New Roman" w:eastAsia="Times New Roman" w:hint="default"/>
                <w:sz w:val="21"/>
                <w:szCs w:val="21"/>
              </w:rPr>
            </w:pPr>
            <w:r>
              <w:rPr>
                <w:rFonts w:ascii="Times New Roman"/>
                <w:sz w:val="21"/>
              </w:rPr>
              <w:t>48</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24,540</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2" w:hRule="exact"/>
        </w:trPr>
        <w:tc>
          <w:tcPr>
            <w:tcW w:w="125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4,273,419</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40"/>
        <w:ind w:left="617" w:right="346"/>
        <w:jc w:val="left"/>
      </w:pPr>
      <w:r>
        <w:rPr/>
        <w:t>注：</w:t>
      </w:r>
      <w:r>
        <w:rPr>
          <w:rFonts w:ascii="Times New Roman" w:hAnsi="Times New Roman" w:cs="Times New Roman" w:eastAsia="Times New Roman" w:hint="default"/>
        </w:rPr>
        <w:t>1</w:t>
      </w:r>
      <w:r>
        <w:rPr/>
        <w:t>、以上数据均为税前收入数据；</w:t>
      </w:r>
    </w:p>
    <w:p>
      <w:pPr>
        <w:spacing w:after="0" w:line="240" w:lineRule="auto"/>
        <w:jc w:val="left"/>
        <w:sectPr>
          <w:pgSz w:w="11910" w:h="16840"/>
          <w:pgMar w:header="877" w:footer="1085" w:top="1220" w:bottom="1280" w:left="1140" w:right="900"/>
        </w:sectPr>
      </w:pPr>
    </w:p>
    <w:p>
      <w:pPr>
        <w:spacing w:line="240" w:lineRule="auto" w:before="8"/>
        <w:rPr>
          <w:rFonts w:ascii="宋体" w:hAnsi="宋体" w:cs="宋体" w:eastAsia="宋体" w:hint="default"/>
          <w:sz w:val="16"/>
          <w:szCs w:val="16"/>
        </w:rPr>
      </w:pPr>
    </w:p>
    <w:p>
      <w:pPr>
        <w:pStyle w:val="BodyText"/>
        <w:spacing w:line="240" w:lineRule="auto" w:before="26"/>
        <w:ind w:left="617" w:right="229"/>
        <w:jc w:val="left"/>
      </w:pPr>
      <w:r>
        <w:rPr>
          <w:rFonts w:ascii="Times New Roman" w:hAnsi="Times New Roman" w:cs="Times New Roman" w:eastAsia="Times New Roman" w:hint="default"/>
        </w:rPr>
        <w:t>2</w:t>
      </w:r>
      <w:r>
        <w:rPr/>
        <w:t>、任翔的收入数据为任公司财务总监后至报告期末的收入数据；</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17" w:right="229"/>
        <w:jc w:val="left"/>
      </w:pPr>
      <w:r>
        <w:rPr/>
        <w:t>公司董事、监事、高级管理人员报告期内被授予的股权激励情况</w:t>
      </w:r>
    </w:p>
    <w:p>
      <w:pPr>
        <w:tabs>
          <w:tab w:pos="1601" w:val="left" w:leader="none"/>
        </w:tabs>
        <w:spacing w:line="420" w:lineRule="auto" w:before="154"/>
        <w:ind w:left="137" w:right="5913" w:firstLine="48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适用</w:t>
        <w:tab/>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bookmarkStart w:name="_bookmark56" w:id="57"/>
      <w:bookmarkEnd w:id="57"/>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五、公司员工情况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、员工数量、专业构成及教育程度</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8"/>
          <w:szCs w:val="8"/>
        </w:rPr>
      </w:pPr>
    </w:p>
    <w:tbl>
      <w:tblPr>
        <w:tblW w:w="0" w:type="auto"/>
        <w:jc w:val="left"/>
        <w:tblInd w:w="137" w:type="dxa"/>
        <w:tblLayout w:type="fixed"/>
        <w:tblCellMar>
          <w:top w:w="0" w:type="dxa"/>
          <w:left w:w="0" w:type="dxa"/>
          <w:bottom w:w="0" w:type="dxa"/>
          <w:right w:w="0" w:type="dxa"/>
        </w:tblCellMar>
        <w:tblLook w:val="01E0"/>
      </w:tblPr>
      <w:tblGrid>
        <w:gridCol w:w="5024"/>
        <w:gridCol w:w="4465"/>
      </w:tblGrid>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954</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264</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1218</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当期领取薪酬员工总人数</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1218</w:t>
            </w:r>
          </w:p>
        </w:tc>
      </w:tr>
      <w:tr>
        <w:trPr>
          <w:trHeight w:val="329"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6</w:t>
            </w:r>
          </w:p>
        </w:tc>
      </w:tr>
      <w:tr>
        <w:trPr>
          <w:trHeight w:val="317" w:hRule="exact"/>
        </w:trPr>
        <w:tc>
          <w:tcPr>
            <w:tcW w:w="94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17"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326"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pacing w:val="-3"/>
                <w:sz w:val="21"/>
              </w:rPr>
              <w:t>116</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804</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201</w:t>
            </w:r>
          </w:p>
        </w:tc>
      </w:tr>
      <w:tr>
        <w:trPr>
          <w:trHeight w:val="323"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14</w:t>
            </w:r>
          </w:p>
        </w:tc>
      </w:tr>
      <w:tr>
        <w:trPr>
          <w:trHeight w:val="323"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50</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咨询人员</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33</w:t>
            </w:r>
          </w:p>
        </w:tc>
      </w:tr>
      <w:tr>
        <w:trPr>
          <w:trHeight w:val="326"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1218</w:t>
            </w:r>
          </w:p>
        </w:tc>
      </w:tr>
      <w:tr>
        <w:trPr>
          <w:trHeight w:val="317" w:hRule="exact"/>
        </w:trPr>
        <w:tc>
          <w:tcPr>
            <w:tcW w:w="94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17"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1"/>
                <w:szCs w:val="21"/>
              </w:rPr>
            </w:pPr>
            <w:r>
              <w:rPr>
                <w:rFonts w:ascii="Times New Roman"/>
                <w:sz w:val="21"/>
              </w:rPr>
              <w:t>17</w:t>
            </w:r>
          </w:p>
        </w:tc>
      </w:tr>
      <w:tr>
        <w:trPr>
          <w:trHeight w:val="323"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150</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805</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210</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36</w:t>
            </w:r>
          </w:p>
        </w:tc>
      </w:tr>
      <w:tr>
        <w:trPr>
          <w:trHeight w:val="322" w:hRule="exact"/>
        </w:trPr>
        <w:tc>
          <w:tcPr>
            <w:tcW w:w="50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
              <w:jc w:val="center"/>
              <w:rPr>
                <w:rFonts w:ascii="Times New Roman" w:hAnsi="Times New Roman" w:cs="Times New Roman" w:eastAsia="Times New Roman" w:hint="default"/>
                <w:sz w:val="21"/>
                <w:szCs w:val="21"/>
              </w:rPr>
            </w:pPr>
            <w:r>
              <w:rPr>
                <w:rFonts w:ascii="Times New Roman"/>
                <w:sz w:val="21"/>
              </w:rPr>
              <w:t>1218</w:t>
            </w:r>
          </w:p>
        </w:tc>
      </w:tr>
    </w:tbl>
    <w:p>
      <w:pPr>
        <w:spacing w:line="240" w:lineRule="auto" w:before="17"/>
        <w:rPr>
          <w:rFonts w:ascii="Microsoft JhengHei" w:hAnsi="Microsoft JhengHei" w:cs="Microsoft JhengHei" w:eastAsia="Microsoft JhengHei" w:hint="default"/>
          <w:b/>
          <w:bCs/>
          <w:sz w:val="17"/>
          <w:szCs w:val="17"/>
        </w:rPr>
      </w:pPr>
    </w:p>
    <w:p>
      <w:pPr>
        <w:pStyle w:val="Heading2"/>
        <w:spacing w:line="367" w:lineRule="exact"/>
        <w:ind w:left="137" w:right="229"/>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before="0"/>
        <w:ind w:right="149" w:firstLine="480"/>
        <w:jc w:val="left"/>
      </w:pPr>
      <w:r>
        <w:rPr/>
        <w:t>公司的薪酬政策即通过建立公平、公正的薪酬管理体系，发挥薪酬的激励作用，调动 员工的工作积极性，体现公司价值导向和企业文化。 使薪酬与岗位价值、员工绩效、公司 发展的短期收益、中期收益以及长期收益结合起来，根据员工贡献、能力、责任及行业薪 酬水平来作为定薪的依据。员工月收入由岗位工资、绩效工资构成。员工年度总收入由基</w:t>
      </w:r>
    </w:p>
    <w:p>
      <w:pPr>
        <w:spacing w:after="0" w:line="357"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BodyText"/>
        <w:spacing w:line="240" w:lineRule="auto" w:before="26"/>
        <w:ind w:right="229"/>
        <w:jc w:val="left"/>
      </w:pPr>
      <w:r>
        <w:rPr/>
        <w:t>本工资、绩效工资、福利、奖金等构成。</w:t>
      </w:r>
    </w:p>
    <w:p>
      <w:pPr>
        <w:spacing w:line="240" w:lineRule="auto" w:before="11"/>
        <w:rPr>
          <w:rFonts w:ascii="宋体" w:hAnsi="宋体" w:cs="宋体" w:eastAsia="宋体" w:hint="default"/>
          <w:sz w:val="28"/>
          <w:szCs w:val="28"/>
        </w:rPr>
      </w:pPr>
    </w:p>
    <w:p>
      <w:pPr>
        <w:pStyle w:val="Heading2"/>
        <w:spacing w:line="240" w:lineRule="auto"/>
        <w:ind w:left="137" w:right="229"/>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38" w:lineRule="auto" w:before="0"/>
        <w:ind w:right="256" w:firstLine="480"/>
        <w:jc w:val="left"/>
      </w:pPr>
      <w:r>
        <w:rPr>
          <w:rFonts w:ascii="Times New Roman" w:hAnsi="Times New Roman" w:cs="Times New Roman" w:eastAsia="Times New Roman" w:hint="default"/>
        </w:rPr>
        <w:t>1</w:t>
      </w:r>
      <w:r>
        <w:rPr/>
        <w:t>）公司进一步丰富</w:t>
      </w:r>
      <w:r>
        <w:rPr>
          <w:rFonts w:ascii="Times New Roman" w:hAnsi="Times New Roman" w:cs="Times New Roman" w:eastAsia="Times New Roman" w:hint="default"/>
        </w:rPr>
        <w:t>E-Learning</w:t>
      </w:r>
      <w:r>
        <w:rPr/>
        <w:t>在线培训平台课程，同此将固定的受训课时作为每位员 工的年度考核指标之一，提升员工的培训参与积极性。</w:t>
      </w:r>
    </w:p>
    <w:p>
      <w:pPr>
        <w:pStyle w:val="BodyText"/>
        <w:spacing w:line="338" w:lineRule="auto" w:before="55"/>
        <w:ind w:right="149" w:firstLine="480"/>
        <w:jc w:val="left"/>
      </w:pPr>
      <w:r>
        <w:rPr>
          <w:rFonts w:ascii="Times New Roman" w:hAnsi="Times New Roman" w:cs="Times New Roman" w:eastAsia="Times New Roman" w:hint="default"/>
        </w:rPr>
        <w:t>2</w:t>
      </w:r>
      <w:r>
        <w:rPr/>
        <w:t>）针对新员工展开培训，培训内容涉及公司发展历史、公司产品业务、公司管理制度 和流程、消防安全等等各方面，促进员工对公司的了解。</w:t>
      </w:r>
    </w:p>
    <w:p>
      <w:pPr>
        <w:pStyle w:val="BodyText"/>
        <w:spacing w:line="240" w:lineRule="auto" w:before="56"/>
        <w:ind w:left="617" w:right="229"/>
        <w:jc w:val="left"/>
      </w:pPr>
      <w:r>
        <w:rPr>
          <w:rFonts w:ascii="Times New Roman" w:hAnsi="Times New Roman" w:cs="Times New Roman" w:eastAsia="Times New Roman" w:hint="default"/>
        </w:rPr>
        <w:t>3</w:t>
      </w:r>
      <w:r>
        <w:rPr/>
        <w:t>）定期开展公司产品、项目管理、行业发展以及管理能力提升方面的培训。</w:t>
      </w:r>
    </w:p>
    <w:p>
      <w:pPr>
        <w:spacing w:line="240" w:lineRule="auto" w:before="6"/>
        <w:rPr>
          <w:rFonts w:ascii="宋体" w:hAnsi="宋体" w:cs="宋体" w:eastAsia="宋体" w:hint="default"/>
          <w:sz w:val="27"/>
          <w:szCs w:val="27"/>
        </w:rPr>
      </w:pPr>
    </w:p>
    <w:p>
      <w:pPr>
        <w:pStyle w:val="Heading2"/>
        <w:spacing w:line="240" w:lineRule="auto"/>
        <w:ind w:left="137" w:right="229"/>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tabs>
          <w:tab w:pos="1601" w:val="left" w:leader="none"/>
        </w:tabs>
        <w:spacing w:line="240" w:lineRule="auto" w:before="0"/>
        <w:ind w:left="617" w:right="22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适用</w:t>
        <w:tab/>
      </w:r>
      <w:r>
        <w:rPr>
          <w:rFonts w:ascii="Times New Roman" w:hAnsi="Times New Roman" w:cs="Times New Roman" w:eastAsia="Times New Roman" w:hint="default"/>
        </w:rPr>
        <w:t>√</w:t>
      </w:r>
      <w:r>
        <w:rPr/>
        <w:t>不适用</w:t>
      </w:r>
    </w:p>
    <w:p>
      <w:pPr>
        <w:spacing w:after="0" w:line="240" w:lineRule="auto"/>
        <w:jc w:val="left"/>
        <w:sectPr>
          <w:pgSz w:w="11910" w:h="16840"/>
          <w:pgMar w:header="877" w:footer="1085" w:top="1220" w:bottom="1280" w:left="1140" w:right="980"/>
        </w:sectPr>
      </w:pPr>
    </w:p>
    <w:p>
      <w:pPr>
        <w:spacing w:line="240" w:lineRule="auto" w:before="6"/>
        <w:rPr>
          <w:rFonts w:ascii="宋体" w:hAnsi="宋体" w:cs="宋体" w:eastAsia="宋体" w:hint="default"/>
          <w:sz w:val="19"/>
          <w:szCs w:val="19"/>
        </w:rPr>
      </w:pPr>
    </w:p>
    <w:p>
      <w:pPr>
        <w:pStyle w:val="Heading1"/>
        <w:tabs>
          <w:tab w:pos="1260" w:val="left" w:leader="none"/>
        </w:tabs>
        <w:spacing w:line="456" w:lineRule="exact"/>
        <w:ind w:right="17"/>
        <w:jc w:val="center"/>
        <w:rPr>
          <w:b w:val="0"/>
          <w:bCs w:val="0"/>
        </w:rPr>
      </w:pPr>
      <w:bookmarkStart w:name="_bookmark57" w:id="58"/>
      <w:bookmarkEnd w:id="58"/>
      <w:r>
        <w:rPr>
          <w:b w:val="0"/>
          <w:bCs w:val="0"/>
        </w:rPr>
      </w:r>
      <w:r>
        <w:rPr>
          <w:spacing w:val="4"/>
          <w:w w:val="95"/>
        </w:rPr>
        <w:t>第九节</w:t>
        <w:tab/>
      </w:r>
      <w:r>
        <w:rPr>
          <w:spacing w:val="4"/>
        </w:rPr>
        <w:t>公司治理</w:t>
      </w:r>
      <w:r>
        <w:rPr>
          <w:b w:val="0"/>
          <w:bCs w:val="0"/>
          <w:spacing w:val="4"/>
        </w:rPr>
      </w:r>
    </w:p>
    <w:p>
      <w:pPr>
        <w:spacing w:line="240" w:lineRule="auto" w:before="17"/>
        <w:rPr>
          <w:rFonts w:ascii="Microsoft JhengHei" w:hAnsi="Microsoft JhengHei" w:cs="Microsoft JhengHei" w:eastAsia="Microsoft JhengHei" w:hint="default"/>
          <w:b/>
          <w:bCs/>
          <w:sz w:val="21"/>
          <w:szCs w:val="21"/>
        </w:rPr>
      </w:pPr>
    </w:p>
    <w:p>
      <w:pPr>
        <w:pStyle w:val="Heading2"/>
        <w:spacing w:line="367" w:lineRule="exact"/>
        <w:ind w:left="137" w:right="229"/>
        <w:jc w:val="left"/>
        <w:rPr>
          <w:b w:val="0"/>
          <w:bCs w:val="0"/>
        </w:rPr>
      </w:pPr>
      <w:bookmarkStart w:name="_bookmark58" w:id="59"/>
      <w:bookmarkEnd w:id="59"/>
      <w:r>
        <w:rPr>
          <w:b w:val="0"/>
          <w:bCs w:val="0"/>
        </w:rPr>
      </w: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287" w:firstLine="480"/>
        <w:jc w:val="both"/>
      </w:pPr>
      <w:r>
        <w:rPr/>
        <w:t>报告期内，公司严格按照《公司法》、《证券法》、《上市公司治理准则》、《深圳 证券交易所创业板股票上市规则》、《深圳证券交易所创业板上市公司规范运作指引》等 法律、法规和中国证监会有关法律法规等的要求，不断完善公司的法人治理结构，建立健 全公司内部管理和控制制度，持续深入开展公司治理活动，促进了公司规范运作，提高了 公司治理水平。截至报告期末，公司治理的实际状况符合《上市公司治理准则》和《深圳 证券交易所创业板上市公司规范运作指引》的要求。</w:t>
      </w:r>
    </w:p>
    <w:p>
      <w:pPr>
        <w:spacing w:line="768" w:lineRule="exact" w:before="2"/>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、关于股东与股东大会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报告期内，严格遵守《上市公司股东大会规则》、《公司章程》、《北京超图软件股</w:t>
      </w:r>
    </w:p>
    <w:p>
      <w:pPr>
        <w:pStyle w:val="BodyText"/>
        <w:spacing w:line="357" w:lineRule="auto" w:before="34"/>
        <w:ind w:right="269"/>
        <w:jc w:val="left"/>
      </w:pPr>
      <w:r>
        <w:rPr/>
        <w:t>份有限公司股东大会议事规则》的规定，规范的召集召开股东大会，公平对待所有股东， 并尽可能为股东参加股东大会提供便利条件，确保股东充分行使权利。</w:t>
      </w:r>
    </w:p>
    <w:p>
      <w:pPr>
        <w:spacing w:line="768" w:lineRule="exact" w:before="2"/>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、关于公司与控股股东</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控股股东严格依法行使其股东权利，没有超越股东大会或董事会直接或间接干预公司</w:t>
      </w:r>
    </w:p>
    <w:p>
      <w:pPr>
        <w:pStyle w:val="BodyText"/>
        <w:spacing w:line="357" w:lineRule="auto" w:before="34"/>
        <w:ind w:right="269"/>
        <w:jc w:val="left"/>
      </w:pPr>
      <w:r>
        <w:rPr/>
        <w:t>的决策及依法开展的生产经营活动，未损害公司及其他股东的权益。公司拥有独立的人 员、资产、财务、业务、机构，公司的董事会、监事会及其他内部机构独立运作。此外， 控股股东已签署《避免同业竞争承诺函》，不从事与公司相同、相近或形成竞争的业务。</w:t>
      </w:r>
    </w:p>
    <w:p>
      <w:pPr>
        <w:spacing w:line="768" w:lineRule="exact" w:before="2"/>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、关于董事和董事会</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宋体" w:hAnsi="宋体" w:cs="宋体" w:eastAsia="宋体" w:hint="default"/>
          <w:sz w:val="24"/>
          <w:szCs w:val="24"/>
        </w:rPr>
        <w:t>公司董事会成员</w:t>
      </w:r>
      <w:r>
        <w:rPr>
          <w:rFonts w:ascii="Times New Roman" w:hAnsi="Times New Roman" w:cs="Times New Roman" w:eastAsia="Times New Roman" w:hint="default"/>
          <w:sz w:val="24"/>
          <w:szCs w:val="24"/>
        </w:rPr>
        <w:t>9</w:t>
      </w:r>
      <w:r>
        <w:rPr>
          <w:rFonts w:ascii="宋体" w:hAnsi="宋体" w:cs="宋体" w:eastAsia="宋体" w:hint="default"/>
          <w:sz w:val="24"/>
          <w:szCs w:val="24"/>
        </w:rPr>
        <w:t>名，其中独立董事</w:t>
      </w:r>
      <w:r>
        <w:rPr>
          <w:rFonts w:ascii="Times New Roman" w:hAnsi="Times New Roman" w:cs="Times New Roman" w:eastAsia="Times New Roman" w:hint="default"/>
          <w:sz w:val="24"/>
          <w:szCs w:val="24"/>
        </w:rPr>
        <w:t>3</w:t>
      </w:r>
      <w:r>
        <w:rPr>
          <w:rFonts w:ascii="宋体" w:hAnsi="宋体" w:cs="宋体" w:eastAsia="宋体" w:hint="default"/>
          <w:sz w:val="24"/>
          <w:szCs w:val="24"/>
        </w:rPr>
        <w:t>名，董事会的人数、人员资格、人员构成均符合</w:t>
      </w:r>
    </w:p>
    <w:p>
      <w:pPr>
        <w:pStyle w:val="BodyText"/>
        <w:spacing w:line="357" w:lineRule="auto" w:before="34"/>
        <w:ind w:left="617" w:right="269" w:hanging="480"/>
        <w:jc w:val="left"/>
      </w:pPr>
      <w:r>
        <w:rPr/>
        <w:t>有关法律、法规以及《公司章程》的要求。 各位董事能够按照《董事会议事规则》、《北京超图软件股份有限公司独立董事工作</w:t>
      </w:r>
    </w:p>
    <w:p>
      <w:pPr>
        <w:pStyle w:val="BodyText"/>
        <w:spacing w:line="357" w:lineRule="auto"/>
        <w:ind w:right="269"/>
        <w:jc w:val="left"/>
      </w:pPr>
      <w:r>
        <w:rPr/>
        <w:t>制度》、《深圳证券交易所创业板上市公司规范运作指引》以及《公司章程》等有关规 定，认真出席董事会，积极参与有关培训，熟悉有关法律法规，忠实、诚信、勤勉的履行 了职责。</w:t>
      </w:r>
    </w:p>
    <w:p>
      <w:pPr>
        <w:spacing w:after="0" w:line="357"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rFonts w:ascii="Times New Roman" w:hAnsi="Times New Roman" w:cs="Times New Roman" w:eastAsia="Times New Roman" w:hint="default"/>
        </w:rPr>
        <w:t>4</w:t>
      </w:r>
      <w:r>
        <w:rPr/>
        <w:t>、关于监事和监事会</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2" w:lineRule="auto" w:before="0"/>
        <w:ind w:right="286" w:firstLine="480"/>
        <w:jc w:val="both"/>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名，监事会的人数、人员资格以及人员构成符合 法律、法规和《公司章程》的要求。各位监事能够按照《北京超图软件股份有限公司监事 会议事规则》等相关制度的要求，按照规定的程序召开监事会，对公司依法运行、定期报 告、审计报告等重大事项发表意见，对公司财务以及公司董事、经理和其他高级管理人员 履行职责的合法合规性进行了监督。</w:t>
      </w:r>
    </w:p>
    <w:p>
      <w:pPr>
        <w:spacing w:line="768" w:lineRule="exact" w:before="7"/>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、关于绩效评价和激励约束机制</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公司进一步健全了有效的绩效评价与激励体系，经营者的收入与公司经营业绩挂钩，</w:t>
      </w:r>
    </w:p>
    <w:p>
      <w:pPr>
        <w:pStyle w:val="BodyText"/>
        <w:spacing w:line="240" w:lineRule="auto" w:before="34"/>
        <w:ind w:right="229"/>
        <w:jc w:val="left"/>
      </w:pPr>
      <w:r>
        <w:rPr/>
        <w:t>高级管理人员的聘任公开、透明、依法进行。</w:t>
      </w:r>
    </w:p>
    <w:p>
      <w:pPr>
        <w:spacing w:line="740" w:lineRule="atLeast" w:before="55"/>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、关于信息披露与透明度</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公司严格按照《北京超图软件股份有限公司信息披露管理办法》、《深圳证券交易所</w:t>
      </w:r>
    </w:p>
    <w:p>
      <w:pPr>
        <w:pStyle w:val="BodyText"/>
        <w:spacing w:line="357" w:lineRule="auto" w:before="154"/>
        <w:ind w:right="287"/>
        <w:jc w:val="both"/>
      </w:pPr>
      <w:r>
        <w:rPr/>
        <w:t>创业板上市规则》等有关规定真实、准确、完整、及时地披露信息。指定公司董事会秘书 为公司信息披露与投资者关系活动的负责人，协调公司与投资者的关系，接待股东来访， 回答咨询，联系股东，向投资者提供公司公开披露的资料；并将《证券时报》、巨潮网</w:t>
      </w:r>
    </w:p>
    <w:p>
      <w:pPr>
        <w:pStyle w:val="BodyText"/>
        <w:spacing w:line="338" w:lineRule="auto"/>
        <w:ind w:right="253"/>
        <w:jc w:val="both"/>
      </w:pPr>
      <w:r>
        <w:rPr/>
        <w:t>（</w:t>
      </w:r>
      <w:hyperlink r:id="rId11">
        <w:r>
          <w:rPr>
            <w:rFonts w:ascii="Times New Roman" w:hAnsi="Times New Roman" w:cs="Times New Roman" w:eastAsia="Times New Roman" w:hint="default"/>
          </w:rPr>
          <w:t>www.cninfo.com.cn</w:t>
        </w:r>
      </w:hyperlink>
      <w:r>
        <w:rPr/>
        <w:t>）以及公司官方网站作为公司信息披露平台，确保所有股东有平等的</w:t>
      </w:r>
      <w:r>
        <w:rPr>
          <w:w w:val="99"/>
        </w:rPr>
        <w:t> </w:t>
      </w:r>
      <w:r>
        <w:rPr/>
        <w:t>机会获得信息。</w:t>
      </w:r>
    </w:p>
    <w:p>
      <w:pPr>
        <w:spacing w:line="768" w:lineRule="exact" w:before="21"/>
        <w:ind w:left="617" w:right="26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Microsoft JhengHei" w:hAnsi="Microsoft JhengHei" w:cs="Microsoft JhengHei" w:eastAsia="Microsoft JhengHei" w:hint="default"/>
          <w:b/>
          <w:bCs/>
          <w:sz w:val="24"/>
          <w:szCs w:val="24"/>
        </w:rPr>
        <w:t>、关于利益相关者</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公司充分尊重和维护利益相关者的合法权利，并与利益相关者积极合作，共同推动公</w:t>
      </w:r>
    </w:p>
    <w:p>
      <w:pPr>
        <w:pStyle w:val="BodyText"/>
        <w:spacing w:line="240" w:lineRule="auto" w:before="34"/>
        <w:ind w:right="229"/>
        <w:jc w:val="left"/>
      </w:pPr>
      <w:r>
        <w:rPr/>
        <w:t>司持续、健康地发展。</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17" w:right="229"/>
        <w:jc w:val="left"/>
      </w:pPr>
      <w:r>
        <w:rPr/>
        <w:t>公司治理与《公司法》和中国证监会相关规定的要求是否存在差异</w:t>
      </w:r>
    </w:p>
    <w:p>
      <w:pPr>
        <w:pStyle w:val="Heading2"/>
        <w:spacing w:line="444" w:lineRule="auto" w:before="154"/>
        <w:ind w:left="137" w:right="229" w:firstLine="480"/>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8"/>
        </w:rPr>
        <w:t> </w:t>
      </w:r>
      <w:r>
        <w:rPr>
          <w:rFonts w:ascii="宋体" w:hAnsi="宋体" w:cs="宋体" w:eastAsia="宋体" w:hint="default"/>
          <w:b w:val="0"/>
          <w:bCs w:val="0"/>
        </w:rPr>
        <w:t>否 </w:t>
      </w:r>
      <w:bookmarkStart w:name="_bookmark59" w:id="60"/>
      <w:bookmarkEnd w:id="60"/>
      <w:r>
        <w:rPr>
          <w:rFonts w:ascii="宋体" w:hAnsi="宋体" w:cs="宋体" w:eastAsia="宋体" w:hint="default"/>
          <w:b w:val="0"/>
          <w:bCs w:val="0"/>
        </w:rPr>
      </w:r>
      <w:r>
        <w:rPr/>
        <w:t>二、公司相对于控股股东在业务、人员、资产、机构、财务等方面的独立情况</w:t>
      </w:r>
      <w:r>
        <w:rPr>
          <w:b w:val="0"/>
          <w:bCs w:val="0"/>
        </w:rPr>
      </w:r>
    </w:p>
    <w:p>
      <w:pPr>
        <w:pStyle w:val="BodyText"/>
        <w:spacing w:line="240" w:lineRule="auto" w:before="76"/>
        <w:ind w:left="617" w:right="229"/>
        <w:jc w:val="left"/>
      </w:pPr>
      <w:r>
        <w:rPr/>
        <w:t>公司控股股东、实际控制人为自然人，公司与控股股东在业务、人员、资产、机构、</w:t>
      </w:r>
    </w:p>
    <w:p>
      <w:pPr>
        <w:spacing w:after="0" w:line="240" w:lineRule="auto"/>
        <w:jc w:val="left"/>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spacing w:line="470" w:lineRule="auto" w:before="26"/>
        <w:ind w:left="137" w:right="730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财务方面均保持独立。 </w:t>
      </w:r>
      <w:bookmarkStart w:name="_bookmark60" w:id="61"/>
      <w:bookmarkEnd w:id="61"/>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三、同业竞争情况</w:t>
      </w:r>
      <w:r>
        <w:rPr>
          <w:rFonts w:ascii="Microsoft JhengHei" w:hAnsi="Microsoft JhengHei" w:cs="Microsoft JhengHei" w:eastAsia="Microsoft JhengHei" w:hint="default"/>
          <w:sz w:val="24"/>
          <w:szCs w:val="24"/>
        </w:rPr>
      </w:r>
    </w:p>
    <w:p>
      <w:pPr>
        <w:spacing w:line="412" w:lineRule="auto" w:before="43"/>
        <w:ind w:left="137" w:right="154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61" w:id="62"/>
      <w:bookmarkEnd w:id="62"/>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四、报告期内召开的年度股东大会和临时股东大会的有关情况</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、本报告期年度股东大会情况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9"/>
          <w:szCs w:val="9"/>
        </w:rPr>
      </w:pPr>
    </w:p>
    <w:tbl>
      <w:tblPr>
        <w:tblW w:w="0" w:type="auto"/>
        <w:jc w:val="left"/>
        <w:tblInd w:w="137" w:type="dxa"/>
        <w:tblLayout w:type="fixed"/>
        <w:tblCellMar>
          <w:top w:w="0" w:type="dxa"/>
          <w:left w:w="0" w:type="dxa"/>
          <w:bottom w:w="0" w:type="dxa"/>
          <w:right w:w="0" w:type="dxa"/>
        </w:tblCellMar>
        <w:tblLook w:val="01E0"/>
      </w:tblPr>
      <w:tblGrid>
        <w:gridCol w:w="1466"/>
        <w:gridCol w:w="1601"/>
        <w:gridCol w:w="1085"/>
        <w:gridCol w:w="1601"/>
        <w:gridCol w:w="1563"/>
        <w:gridCol w:w="2172"/>
      </w:tblGrid>
      <w:tr>
        <w:trPr>
          <w:trHeight w:val="634"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会议类型</w:t>
            </w:r>
            <w:r>
              <w:rPr>
                <w:rFonts w:ascii="Microsoft JhengHei" w:hAnsi="Microsoft JhengHei" w:cs="Microsoft JhengHei" w:eastAsia="Microsoft JhengHei"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投资者参</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与比列</w:t>
            </w:r>
            <w:r>
              <w:rPr>
                <w:rFonts w:ascii="Microsoft JhengHei" w:hAnsi="Microsoft JhengHei" w:cs="Microsoft JhengHei" w:eastAsia="Microsoft JhengHei"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披露日期</w:t>
            </w:r>
            <w:r>
              <w:rPr>
                <w:rFonts w:ascii="Microsoft JhengHei" w:hAnsi="Microsoft JhengHei" w:cs="Microsoft JhengHei" w:eastAsia="Microsoft JhengHei"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6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披露索引</w:t>
            </w:r>
            <w:r>
              <w:rPr>
                <w:rFonts w:ascii="Microsoft JhengHei" w:hAnsi="Microsoft JhengHei" w:cs="Microsoft JhengHei" w:eastAsia="Microsoft JhengHei" w:hint="default"/>
                <w:sz w:val="21"/>
                <w:szCs w:val="21"/>
              </w:rPr>
            </w:r>
          </w:p>
        </w:tc>
      </w:tr>
      <w:tr>
        <w:trPr>
          <w:trHeight w:val="636"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10" w:right="69" w:hanging="341"/>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28.65%</w:t>
            </w:r>
            <w:r>
              <w:rPr>
                <w:rFonts w:ascii="宋体" w:hAnsi="宋体" w:cs="宋体" w:eastAsia="宋体" w:hint="default"/>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right="4"/>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www.cninfo.com.cn</w:t>
              </w:r>
            </w:hyperlink>
            <w:r>
              <w:rPr>
                <w:rFonts w:ascii="宋体" w:hAnsi="宋体" w:cs="宋体" w:eastAsia="宋体" w:hint="default"/>
                <w:spacing w:val="-2"/>
                <w:sz w:val="21"/>
                <w:szCs w:val="21"/>
              </w:rPr>
              <w:t>）</w:t>
            </w:r>
          </w:p>
        </w:tc>
      </w:tr>
    </w:tbl>
    <w:p>
      <w:pPr>
        <w:pStyle w:val="BodyText"/>
        <w:spacing w:line="240" w:lineRule="auto" w:before="39"/>
        <w:ind w:left="617" w:right="346"/>
        <w:jc w:val="left"/>
      </w:pPr>
      <w:r>
        <w:rPr/>
        <w:t>机构投资者情况</w:t>
      </w:r>
    </w:p>
    <w:p>
      <w:pPr>
        <w:spacing w:line="240" w:lineRule="auto" w:before="10"/>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190"/>
        <w:gridCol w:w="3190"/>
        <w:gridCol w:w="3191"/>
      </w:tblGrid>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机构投资者名称</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出任董事人数</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股东大会参与次数</w:t>
            </w:r>
            <w:r>
              <w:rPr>
                <w:rFonts w:ascii="Microsoft JhengHei" w:hAnsi="Microsoft JhengHei" w:cs="Microsoft JhengHei" w:eastAsia="Microsoft JhengHei" w:hint="default"/>
                <w:sz w:val="21"/>
                <w:szCs w:val="21"/>
              </w:rPr>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2"/>
        <w:rPr>
          <w:rFonts w:ascii="宋体" w:hAnsi="宋体" w:cs="宋体" w:eastAsia="宋体" w:hint="default"/>
          <w:sz w:val="23"/>
          <w:szCs w:val="23"/>
        </w:rPr>
      </w:pPr>
    </w:p>
    <w:p>
      <w:pPr>
        <w:pStyle w:val="Heading2"/>
        <w:spacing w:line="367" w:lineRule="exact"/>
        <w:ind w:left="137" w:right="346"/>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Microsoft JhengHei" w:hAnsi="Microsoft JhengHei" w:cs="Microsoft JhengHei" w:eastAsia="Microsoft JhengHei" w:hint="default"/>
          <w:b/>
          <w:bCs/>
          <w:sz w:val="24"/>
          <w:szCs w:val="24"/>
        </w:rPr>
      </w:pPr>
    </w:p>
    <w:p>
      <w:pPr>
        <w:spacing w:line="412" w:lineRule="auto" w:before="0"/>
        <w:ind w:left="137" w:right="5149" w:firstLine="480"/>
        <w:jc w:val="left"/>
        <w:rPr>
          <w:rFonts w:ascii="Microsoft JhengHei" w:hAnsi="Microsoft JhengHei" w:cs="Microsoft JhengHei" w:eastAsia="Microsoft JhengHei"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bookmarkStart w:name="_bookmark62" w:id="63"/>
      <w:bookmarkEnd w:id="63"/>
      <w:r>
        <w:rPr>
          <w:rFonts w:ascii="宋体" w:hAnsi="宋体" w:cs="宋体" w:eastAsia="宋体" w:hint="default"/>
          <w:w w:val="99"/>
          <w:sz w:val="24"/>
          <w:szCs w:val="24"/>
        </w:rPr>
      </w:r>
      <w:r>
        <w:rPr>
          <w:rFonts w:ascii="Microsoft JhengHei" w:hAnsi="Microsoft JhengHei" w:cs="Microsoft JhengHei" w:eastAsia="Microsoft JhengHei" w:hint="default"/>
          <w:b/>
          <w:bCs/>
          <w:sz w:val="24"/>
          <w:szCs w:val="24"/>
        </w:rPr>
        <w:t>五、报告期内独立董事履行职责的情况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、独立董事出席董事会及股东大会的情况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9"/>
          <w:szCs w:val="9"/>
        </w:rPr>
      </w:pPr>
    </w:p>
    <w:tbl>
      <w:tblPr>
        <w:tblW w:w="0" w:type="auto"/>
        <w:jc w:val="left"/>
        <w:tblInd w:w="166" w:type="dxa"/>
        <w:tblLayout w:type="fixed"/>
        <w:tblCellMar>
          <w:top w:w="0" w:type="dxa"/>
          <w:left w:w="0" w:type="dxa"/>
          <w:bottom w:w="0" w:type="dxa"/>
          <w:right w:w="0" w:type="dxa"/>
        </w:tblCellMar>
        <w:tblLook w:val="01E0"/>
      </w:tblPr>
      <w:tblGrid>
        <w:gridCol w:w="1622"/>
        <w:gridCol w:w="1325"/>
        <w:gridCol w:w="1325"/>
        <w:gridCol w:w="1323"/>
        <w:gridCol w:w="1325"/>
        <w:gridCol w:w="1325"/>
        <w:gridCol w:w="1323"/>
      </w:tblGrid>
      <w:tr>
        <w:trPr>
          <w:trHeight w:val="32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独立董事出席董事会情况</w:t>
            </w:r>
            <w:r>
              <w:rPr>
                <w:rFonts w:ascii="Microsoft JhengHei" w:hAnsi="Microsoft JhengHei" w:cs="Microsoft JhengHei" w:eastAsia="Microsoft JhengHei" w:hint="default"/>
                <w:sz w:val="21"/>
                <w:szCs w:val="21"/>
              </w:rPr>
            </w:r>
          </w:p>
        </w:tc>
      </w:tr>
      <w:tr>
        <w:trPr>
          <w:trHeight w:val="946"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独立董事姓名</w:t>
            </w:r>
            <w:r>
              <w:rPr>
                <w:rFonts w:ascii="Microsoft JhengHei" w:hAnsi="Microsoft JhengHei" w:cs="Microsoft JhengHei" w:eastAsia="Microsoft JhengHei"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3" w:right="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本报告期应参</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加董事会次数</w:t>
            </w:r>
            <w:r>
              <w:rPr>
                <w:rFonts w:ascii="Microsoft JhengHei" w:hAnsi="Microsoft JhengHei" w:cs="Microsoft JhengHei" w:eastAsia="Microsoft JhengHei"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现场出席次数</w:t>
            </w:r>
            <w:r>
              <w:rPr>
                <w:rFonts w:ascii="Microsoft JhengHei" w:hAnsi="Microsoft JhengHei" w:cs="Microsoft JhengHei" w:eastAsia="Microsoft JhengHei"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338" w:right="22" w:hanging="3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以通讯方式参</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加次数</w:t>
            </w:r>
            <w:r>
              <w:rPr>
                <w:rFonts w:ascii="Microsoft JhengHei" w:hAnsi="Microsoft JhengHei" w:cs="Microsoft JhengHei" w:eastAsia="Microsoft JhengHei"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委托出席次数</w:t>
            </w:r>
            <w:r>
              <w:rPr>
                <w:rFonts w:ascii="Microsoft JhengHei" w:hAnsi="Microsoft JhengHei" w:cs="Microsoft JhengHei" w:eastAsia="Microsoft JhengHei"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缺席次数</w:t>
            </w:r>
            <w:r>
              <w:rPr>
                <w:rFonts w:ascii="Microsoft JhengHei" w:hAnsi="Microsoft JhengHei" w:cs="Microsoft JhengHei" w:eastAsia="Microsoft JhengHei"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是否连续两次</w:t>
            </w:r>
            <w:r>
              <w:rPr>
                <w:rFonts w:ascii="Microsoft JhengHei" w:hAnsi="Microsoft JhengHei" w:cs="Microsoft JhengHei" w:eastAsia="Microsoft JhengHei" w:hint="default"/>
                <w:sz w:val="21"/>
                <w:szCs w:val="21"/>
              </w:rPr>
            </w:r>
          </w:p>
          <w:p>
            <w:pPr>
              <w:pStyle w:val="TableParagraph"/>
              <w:spacing w:line="312" w:lineRule="exact" w:before="35"/>
              <w:ind w:left="549" w:right="22" w:hanging="52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未亲自参加会</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议</w:t>
            </w:r>
            <w:r>
              <w:rPr>
                <w:rFonts w:ascii="Microsoft JhengHei" w:hAnsi="Microsoft JhengHei" w:cs="Microsoft JhengHei" w:eastAsia="Microsoft JhengHei" w:hint="default"/>
                <w:sz w:val="21"/>
                <w:szCs w:val="21"/>
              </w:rPr>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100"/>
                <w:sz w:val="21"/>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w w:val="100"/>
                <w:sz w:val="21"/>
              </w:rPr>
              <w:t>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庄行方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9</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2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center"/>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357" w:lineRule="auto" w:before="39"/>
        <w:ind w:left="617" w:right="5389"/>
        <w:jc w:val="left"/>
      </w:pPr>
      <w:r>
        <w:rPr/>
        <w:t>连续两次未亲自出席董事会的说明： 无</w:t>
      </w:r>
    </w:p>
    <w:p>
      <w:pPr>
        <w:spacing w:after="0" w:line="357" w:lineRule="auto"/>
        <w:jc w:val="left"/>
        <w:sectPr>
          <w:pgSz w:w="11910" w:h="16840"/>
          <w:pgMar w:header="877" w:footer="1085" w:top="1220" w:bottom="1280" w:left="1140" w:right="900"/>
        </w:sectPr>
      </w:pPr>
    </w:p>
    <w:p>
      <w:pPr>
        <w:spacing w:line="240" w:lineRule="auto" w:before="8"/>
        <w:rPr>
          <w:rFonts w:ascii="宋体" w:hAnsi="宋体" w:cs="宋体" w:eastAsia="宋体" w:hint="default"/>
          <w:sz w:val="16"/>
          <w:szCs w:val="16"/>
        </w:rPr>
      </w:pPr>
    </w:p>
    <w:p>
      <w:pPr>
        <w:pStyle w:val="Heading2"/>
        <w:spacing w:line="367" w:lineRule="exact"/>
        <w:ind w:left="137" w:right="22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t>独立董事对公司有关事项是否提出异议</w:t>
      </w:r>
    </w:p>
    <w:p>
      <w:pPr>
        <w:pStyle w:val="BodyText"/>
        <w:spacing w:line="326" w:lineRule="auto" w:before="154"/>
        <w:ind w:left="617" w:right="4109"/>
        <w:jc w:val="left"/>
      </w:pPr>
      <w:r>
        <w:rPr>
          <w:rFonts w:ascii="Calibri" w:hAnsi="Calibri" w:cs="Calibri" w:eastAsia="Calibri" w:hint="default"/>
        </w:rPr>
        <w:t>□ </w:t>
      </w:r>
      <w:r>
        <w:rPr/>
        <w:t>是 </w:t>
      </w:r>
      <w:r>
        <w:rPr>
          <w:rFonts w:ascii="Calibri" w:hAnsi="Calibri" w:cs="Calibri" w:eastAsia="Calibri" w:hint="default"/>
        </w:rPr>
        <w:t>√</w:t>
      </w:r>
      <w:r>
        <w:rPr>
          <w:rFonts w:ascii="Calibri" w:hAnsi="Calibri" w:cs="Calibri" w:eastAsia="Calibri" w:hint="default"/>
          <w:spacing w:val="21"/>
        </w:rPr>
        <w:t> </w:t>
      </w:r>
      <w:r>
        <w:rPr/>
        <w:t>否</w:t>
      </w:r>
      <w:r>
        <w:rPr>
          <w:w w:val="99"/>
        </w:rPr>
        <w:t> </w:t>
      </w:r>
      <w:r>
        <w:rPr/>
        <w:t>报告期内独立董事对公司有关事项未提出异议。</w:t>
      </w:r>
    </w:p>
    <w:p>
      <w:pPr>
        <w:spacing w:line="768" w:lineRule="exact" w:before="33"/>
        <w:ind w:left="617" w:right="530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、独立董事履行职责的其他说明</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独立董事对公司有关建议是否被采纳</w:t>
      </w:r>
    </w:p>
    <w:p>
      <w:pPr>
        <w:pStyle w:val="BodyText"/>
        <w:spacing w:line="326" w:lineRule="auto" w:before="34"/>
        <w:ind w:left="617" w:right="3869"/>
        <w:jc w:val="left"/>
      </w:pPr>
      <w:r>
        <w:rPr>
          <w:rFonts w:ascii="Calibri" w:hAnsi="Calibri" w:cs="Calibri" w:eastAsia="Calibri" w:hint="default"/>
        </w:rPr>
        <w:t>√ </w:t>
      </w:r>
      <w:r>
        <w:rPr/>
        <w:t>是 </w:t>
      </w:r>
      <w:r>
        <w:rPr>
          <w:rFonts w:ascii="Calibri" w:hAnsi="Calibri" w:cs="Calibri" w:eastAsia="Calibri" w:hint="default"/>
        </w:rPr>
        <w:t>□</w:t>
      </w:r>
      <w:r>
        <w:rPr>
          <w:rFonts w:ascii="Calibri" w:hAnsi="Calibri" w:cs="Calibri" w:eastAsia="Calibri" w:hint="default"/>
          <w:spacing w:val="19"/>
        </w:rPr>
        <w:t> </w:t>
      </w:r>
      <w:r>
        <w:rPr/>
        <w:t>否</w:t>
      </w:r>
      <w:r>
        <w:rPr>
          <w:w w:val="99"/>
        </w:rPr>
        <w:t> </w:t>
      </w:r>
      <w:r>
        <w:rPr/>
        <w:t>独立董事对公司有关建议被采纳或未被采纳的说明</w:t>
      </w:r>
    </w:p>
    <w:p>
      <w:pPr>
        <w:pStyle w:val="BodyText"/>
        <w:spacing w:line="333" w:lineRule="auto" w:before="67"/>
        <w:ind w:right="229" w:firstLine="480"/>
        <w:jc w:val="left"/>
      </w:pPr>
      <w:r>
        <w:rPr/>
        <w:t>（</w:t>
      </w:r>
      <w:r>
        <w:rPr>
          <w:rFonts w:ascii="Calibri" w:hAnsi="Calibri" w:cs="Calibri" w:eastAsia="Calibri" w:hint="default"/>
        </w:rPr>
        <w:t>1</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3</w:t>
      </w:r>
      <w:r>
        <w:rPr>
          <w:rFonts w:ascii="Calibri" w:hAnsi="Calibri" w:cs="Calibri" w:eastAsia="Calibri" w:hint="default"/>
          <w:spacing w:val="5"/>
        </w:rPr>
        <w:t> </w:t>
      </w:r>
      <w:r>
        <w:rPr/>
        <w:t>月</w:t>
      </w:r>
      <w:r>
        <w:rPr>
          <w:spacing w:val="-61"/>
        </w:rPr>
        <w:t> </w:t>
      </w:r>
      <w:r>
        <w:rPr>
          <w:rFonts w:ascii="Calibri" w:hAnsi="Calibri" w:cs="Calibri" w:eastAsia="Calibri" w:hint="default"/>
        </w:rPr>
        <w:t>27</w:t>
      </w:r>
      <w:r>
        <w:rPr>
          <w:rFonts w:ascii="Calibri" w:hAnsi="Calibri" w:cs="Calibri" w:eastAsia="Calibri" w:hint="default"/>
          <w:spacing w:val="3"/>
        </w:rPr>
        <w:t> </w:t>
      </w:r>
      <w:r>
        <w:rPr/>
        <w:t>日第三届董事会第五次会议，独立董事就公司</w:t>
      </w:r>
      <w:r>
        <w:rPr>
          <w:spacing w:val="-60"/>
        </w:rPr>
        <w:t> </w:t>
      </w:r>
      <w:r>
        <w:rPr>
          <w:rFonts w:ascii="Calibri" w:hAnsi="Calibri" w:cs="Calibri" w:eastAsia="Calibri" w:hint="default"/>
        </w:rPr>
        <w:t>2014</w:t>
      </w:r>
      <w:r>
        <w:rPr>
          <w:rFonts w:ascii="Calibri" w:hAnsi="Calibri" w:cs="Calibri" w:eastAsia="Calibri" w:hint="default"/>
          <w:spacing w:val="11"/>
        </w:rPr>
        <w:t> </w:t>
      </w:r>
      <w:r>
        <w:rPr/>
        <w:t>年度募集资 金存放与使用情况、</w:t>
      </w:r>
      <w:r>
        <w:rPr>
          <w:rFonts w:ascii="Calibri" w:hAnsi="Calibri" w:cs="Calibri" w:eastAsia="Calibri" w:hint="default"/>
        </w:rPr>
        <w:t>2014 </w:t>
      </w:r>
      <w:r>
        <w:rPr/>
        <w:t>年度公司内部控制自我评价报告、公司 </w:t>
      </w:r>
      <w:r>
        <w:rPr>
          <w:rFonts w:ascii="Calibri" w:hAnsi="Calibri" w:cs="Calibri" w:eastAsia="Calibri" w:hint="default"/>
        </w:rPr>
        <w:t>2014</w:t>
      </w:r>
      <w:r>
        <w:rPr>
          <w:rFonts w:ascii="Calibri" w:hAnsi="Calibri" w:cs="Calibri" w:eastAsia="Calibri" w:hint="default"/>
          <w:spacing w:val="14"/>
        </w:rPr>
        <w:t> </w:t>
      </w:r>
      <w:r>
        <w:rPr/>
        <w:t>年度关联交易、公 司控股股东及其他关联方占用公司资金、公司对外担保情况、续聘会计师事务所、公司 </w:t>
      </w:r>
      <w:r>
        <w:rPr>
          <w:rFonts w:ascii="Calibri" w:hAnsi="Calibri" w:cs="Calibri" w:eastAsia="Calibri" w:hint="default"/>
        </w:rPr>
        <w:t>2014 </w:t>
      </w:r>
      <w:r>
        <w:rPr/>
        <w:t>年度董事、高级管理人员薪酬、公司 </w:t>
      </w:r>
      <w:r>
        <w:rPr>
          <w:rFonts w:ascii="Calibri" w:hAnsi="Calibri" w:cs="Calibri" w:eastAsia="Calibri" w:hint="default"/>
        </w:rPr>
        <w:t>2014</w:t>
      </w:r>
      <w:r>
        <w:rPr>
          <w:rFonts w:ascii="Calibri" w:hAnsi="Calibri" w:cs="Calibri" w:eastAsia="Calibri" w:hint="default"/>
          <w:spacing w:val="12"/>
        </w:rPr>
        <w:t> </w:t>
      </w:r>
      <w:r>
        <w:rPr/>
        <w:t>年度利润分配及资本公积转增股本预案、 公司会计政策变更等相关事项发表了独立意见并被公司采纳。</w:t>
      </w:r>
    </w:p>
    <w:p>
      <w:pPr>
        <w:pStyle w:val="BodyText"/>
        <w:spacing w:line="326" w:lineRule="auto" w:before="60"/>
        <w:ind w:right="326" w:firstLine="480"/>
        <w:jc w:val="left"/>
      </w:pPr>
      <w:r>
        <w:rPr/>
        <w:t>（</w:t>
      </w:r>
      <w:r>
        <w:rPr>
          <w:rFonts w:ascii="Calibri" w:hAnsi="Calibri" w:cs="Calibri" w:eastAsia="Calibri" w:hint="default"/>
        </w:rPr>
        <w:t>2</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10</w:t>
      </w:r>
      <w:r>
        <w:rPr>
          <w:rFonts w:ascii="Calibri" w:hAnsi="Calibri" w:cs="Calibri" w:eastAsia="Calibri" w:hint="default"/>
          <w:spacing w:val="3"/>
        </w:rPr>
        <w:t> </w:t>
      </w:r>
      <w:r>
        <w:rPr/>
        <w:t>日独立董事就公司收购上海南康科技有限公司</w:t>
      </w:r>
      <w:r>
        <w:rPr>
          <w:spacing w:val="-60"/>
        </w:rPr>
        <w:t> </w:t>
      </w:r>
      <w:r>
        <w:rPr>
          <w:rFonts w:ascii="Calibri" w:hAnsi="Calibri" w:cs="Calibri" w:eastAsia="Calibri" w:hint="default"/>
        </w:rPr>
        <w:t>100%</w:t>
      </w:r>
      <w:r>
        <w:rPr/>
        <w:t>股权事项发 表了独立意见并被公司采纳。</w:t>
      </w:r>
    </w:p>
    <w:p>
      <w:pPr>
        <w:pStyle w:val="BodyText"/>
        <w:spacing w:line="326" w:lineRule="auto" w:before="67"/>
        <w:ind w:right="212" w:firstLine="480"/>
        <w:jc w:val="both"/>
      </w:pPr>
      <w:r>
        <w:rPr/>
        <w:t>（</w:t>
      </w:r>
      <w:r>
        <w:rPr>
          <w:rFonts w:ascii="Calibri" w:hAnsi="Calibri" w:cs="Calibri" w:eastAsia="Calibri" w:hint="default"/>
        </w:rPr>
        <w:t>3</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15</w:t>
      </w:r>
      <w:r>
        <w:rPr>
          <w:rFonts w:ascii="Calibri" w:hAnsi="Calibri" w:cs="Calibri" w:eastAsia="Calibri" w:hint="default"/>
          <w:spacing w:val="3"/>
        </w:rPr>
        <w:t> </w:t>
      </w:r>
      <w:r>
        <w:rPr/>
        <w:t>日独立董事就公司预留部分限制性股票第一个解锁期条件成就可 解锁事项发表了独立意见并被公司采纳。</w:t>
      </w:r>
    </w:p>
    <w:p>
      <w:pPr>
        <w:pStyle w:val="BodyText"/>
        <w:spacing w:line="340" w:lineRule="auto" w:before="67"/>
        <w:ind w:right="264" w:firstLine="480"/>
        <w:jc w:val="both"/>
      </w:pPr>
      <w:r>
        <w:rPr/>
        <w:t>（</w:t>
      </w:r>
      <w:r>
        <w:rPr>
          <w:rFonts w:ascii="Calibri" w:hAnsi="Calibri" w:cs="Calibri" w:eastAsia="Calibri" w:hint="default"/>
        </w:rPr>
        <w:t>4</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8</w:t>
      </w:r>
      <w:r>
        <w:rPr>
          <w:rFonts w:ascii="Calibri" w:hAnsi="Calibri" w:cs="Calibri" w:eastAsia="Calibri" w:hint="default"/>
          <w:spacing w:val="5"/>
        </w:rPr>
        <w:t> </w:t>
      </w:r>
      <w:r>
        <w:rPr/>
        <w:t>月</w:t>
      </w:r>
      <w:r>
        <w:rPr>
          <w:spacing w:val="-61"/>
        </w:rPr>
        <w:t> </w:t>
      </w:r>
      <w:r>
        <w:rPr>
          <w:rFonts w:ascii="Calibri" w:hAnsi="Calibri" w:cs="Calibri" w:eastAsia="Calibri" w:hint="default"/>
        </w:rPr>
        <w:t>14</w:t>
      </w:r>
      <w:r>
        <w:rPr>
          <w:rFonts w:ascii="Calibri" w:hAnsi="Calibri" w:cs="Calibri" w:eastAsia="Calibri" w:hint="default"/>
          <w:spacing w:val="3"/>
        </w:rPr>
        <w:t> </w:t>
      </w:r>
      <w:r>
        <w:rPr/>
        <w:t>日独立董事就公司</w:t>
      </w:r>
      <w:r>
        <w:rPr>
          <w:spacing w:val="-61"/>
        </w:rPr>
        <w:t> </w:t>
      </w:r>
      <w:r>
        <w:rPr>
          <w:rFonts w:ascii="Calibri" w:hAnsi="Calibri" w:cs="Calibri" w:eastAsia="Calibri" w:hint="default"/>
        </w:rPr>
        <w:t>2015</w:t>
      </w:r>
      <w:r>
        <w:rPr>
          <w:rFonts w:ascii="Calibri" w:hAnsi="Calibri" w:cs="Calibri" w:eastAsia="Calibri" w:hint="default"/>
          <w:spacing w:val="11"/>
        </w:rPr>
        <w:t> </w:t>
      </w:r>
      <w:r>
        <w:rPr/>
        <w:t>年半年度控股股东及其他关联方占用公 司资金、公司对外担保情况、募集资金的存放和使用情况等相关事项发表独立意见并被公 司采纳。</w:t>
      </w:r>
    </w:p>
    <w:p>
      <w:pPr>
        <w:pStyle w:val="BodyText"/>
        <w:spacing w:line="340" w:lineRule="auto" w:before="53"/>
        <w:ind w:right="286" w:firstLine="480"/>
        <w:jc w:val="both"/>
      </w:pPr>
      <w:r>
        <w:rPr/>
        <w:t>（</w:t>
      </w:r>
      <w:r>
        <w:rPr>
          <w:rFonts w:ascii="Calibri" w:hAnsi="Calibri" w:cs="Calibri" w:eastAsia="Calibri" w:hint="default"/>
        </w:rPr>
        <w:t>5</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10</w:t>
      </w:r>
      <w:r>
        <w:rPr>
          <w:rFonts w:ascii="Calibri" w:hAnsi="Calibri" w:cs="Calibri" w:eastAsia="Calibri" w:hint="default"/>
          <w:spacing w:val="5"/>
        </w:rPr>
        <w:t> </w:t>
      </w:r>
      <w:r>
        <w:rPr/>
        <w:t>月</w:t>
      </w:r>
      <w:r>
        <w:rPr>
          <w:spacing w:val="-61"/>
        </w:rPr>
        <w:t> </w:t>
      </w:r>
      <w:r>
        <w:rPr>
          <w:rFonts w:ascii="Calibri" w:hAnsi="Calibri" w:cs="Calibri" w:eastAsia="Calibri" w:hint="default"/>
        </w:rPr>
        <w:t>22</w:t>
      </w:r>
      <w:r>
        <w:rPr>
          <w:rFonts w:ascii="Calibri" w:hAnsi="Calibri" w:cs="Calibri" w:eastAsia="Calibri" w:hint="default"/>
          <w:spacing w:val="3"/>
        </w:rPr>
        <w:t> </w:t>
      </w:r>
      <w:r>
        <w:rPr/>
        <w:t>日第三届董事会第十次会议独立董事就增补杜胜利先生为公司 独立董事候选人、公司参与投资设立产业并购基金暨关联交易等相关事项发表独立意见并 被公司采纳。</w:t>
      </w:r>
    </w:p>
    <w:p>
      <w:pPr>
        <w:pStyle w:val="BodyText"/>
        <w:spacing w:line="340" w:lineRule="auto" w:before="53"/>
        <w:ind w:right="212" w:firstLine="480"/>
        <w:jc w:val="both"/>
      </w:pPr>
      <w:r>
        <w:rPr/>
        <w:t>（</w:t>
      </w:r>
      <w:r>
        <w:rPr>
          <w:rFonts w:ascii="Calibri" w:hAnsi="Calibri" w:cs="Calibri" w:eastAsia="Calibri" w:hint="default"/>
        </w:rPr>
        <w:t>6</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11</w:t>
      </w:r>
      <w:r>
        <w:rPr>
          <w:rFonts w:ascii="Calibri" w:hAnsi="Calibri" w:cs="Calibri" w:eastAsia="Calibri" w:hint="default"/>
          <w:spacing w:val="5"/>
        </w:rPr>
        <w:t> </w:t>
      </w:r>
      <w:r>
        <w:rPr/>
        <w:t>月</w:t>
      </w:r>
      <w:r>
        <w:rPr>
          <w:spacing w:val="-61"/>
        </w:rPr>
        <w:t> </w:t>
      </w:r>
      <w:r>
        <w:rPr>
          <w:rFonts w:ascii="Calibri" w:hAnsi="Calibri" w:cs="Calibri" w:eastAsia="Calibri" w:hint="default"/>
        </w:rPr>
        <w:t>5</w:t>
      </w:r>
      <w:r>
        <w:rPr>
          <w:rFonts w:ascii="Calibri" w:hAnsi="Calibri" w:cs="Calibri" w:eastAsia="Calibri" w:hint="default"/>
          <w:spacing w:val="3"/>
        </w:rPr>
        <w:t> </w:t>
      </w:r>
      <w:r>
        <w:rPr/>
        <w:t>日独立董事就回购注销部分激励对象已获授但尚未解锁的限制性 股票、公司股权激励计划首次授予的限制性股票第二个解锁期条件成就可解锁等相关事项 发表独立意见并被公司采纳。</w:t>
      </w:r>
    </w:p>
    <w:p>
      <w:pPr>
        <w:pStyle w:val="BodyText"/>
        <w:spacing w:line="326" w:lineRule="auto" w:before="53"/>
        <w:ind w:right="212" w:firstLine="480"/>
        <w:jc w:val="both"/>
      </w:pPr>
      <w:r>
        <w:rPr/>
        <w:t>（</w:t>
      </w:r>
      <w:r>
        <w:rPr>
          <w:rFonts w:ascii="Calibri" w:hAnsi="Calibri" w:cs="Calibri" w:eastAsia="Calibri" w:hint="default"/>
        </w:rPr>
        <w:t>7</w:t>
      </w:r>
      <w:r>
        <w:rPr/>
        <w:t>）</w:t>
      </w:r>
      <w:r>
        <w:rPr>
          <w:rFonts w:ascii="Calibri" w:hAnsi="Calibri" w:cs="Calibri" w:eastAsia="Calibri" w:hint="default"/>
        </w:rPr>
        <w:t>2015</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4</w:t>
      </w:r>
      <w:r>
        <w:rPr>
          <w:rFonts w:ascii="Calibri" w:hAnsi="Calibri" w:cs="Calibri" w:eastAsia="Calibri" w:hint="default"/>
          <w:spacing w:val="3"/>
        </w:rPr>
        <w:t> </w:t>
      </w:r>
      <w:r>
        <w:rPr/>
        <w:t>日第三届董事会第十三次会议独立董事就改聘卢学慧先生为公司 副总经理、聘任任翔女士为公司财务总监、公司参与投资设立产业并购基金暨关联交易等</w:t>
      </w:r>
    </w:p>
    <w:p>
      <w:pPr>
        <w:spacing w:after="0" w:line="326" w:lineRule="auto"/>
        <w:jc w:val="both"/>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spacing w:line="470" w:lineRule="auto" w:before="26"/>
        <w:ind w:left="137" w:right="22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相关事项发表独立意见并被公司采纳。 </w:t>
      </w:r>
      <w:bookmarkStart w:name="_bookmark63" w:id="64"/>
      <w:bookmarkEnd w:id="64"/>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六、董事会下设专门委员会在报告期内履行职责情况</w:t>
      </w:r>
      <w:r>
        <w:rPr>
          <w:rFonts w:ascii="Microsoft JhengHei" w:hAnsi="Microsoft JhengHei" w:cs="Microsoft JhengHei" w:eastAsia="Microsoft JhengHei" w:hint="default"/>
          <w:sz w:val="24"/>
          <w:szCs w:val="24"/>
        </w:rPr>
      </w:r>
    </w:p>
    <w:p>
      <w:pPr>
        <w:pStyle w:val="BodyText"/>
        <w:spacing w:line="357" w:lineRule="auto" w:before="43"/>
        <w:ind w:right="269" w:firstLine="480"/>
        <w:jc w:val="left"/>
      </w:pPr>
      <w:r>
        <w:rPr/>
        <w:t>公司董事会下设四个专业委员会：审计委员会、薪酬与考核委员会、提名委员会以及 战略与发展委员会。</w:t>
      </w:r>
    </w:p>
    <w:p>
      <w:pPr>
        <w:spacing w:line="240" w:lineRule="auto" w:before="11"/>
        <w:rPr>
          <w:rFonts w:ascii="宋体" w:hAnsi="宋体" w:cs="宋体" w:eastAsia="宋体" w:hint="default"/>
          <w:sz w:val="19"/>
          <w:szCs w:val="19"/>
        </w:rPr>
      </w:pPr>
    </w:p>
    <w:p>
      <w:pPr>
        <w:pStyle w:val="Heading2"/>
        <w:spacing w:line="240" w:lineRule="auto"/>
        <w:ind w:left="137" w:right="229"/>
        <w:jc w:val="left"/>
        <w:rPr>
          <w:b w:val="0"/>
          <w:bCs w:val="0"/>
        </w:rPr>
      </w:pPr>
      <w:r>
        <w:rPr>
          <w:rFonts w:ascii="Times New Roman" w:hAnsi="Times New Roman" w:cs="Times New Roman" w:eastAsia="Times New Roman" w:hint="default"/>
        </w:rPr>
        <w:t>1</w:t>
      </w:r>
      <w:r>
        <w:rPr/>
        <w:t>、审计委员会</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352" w:lineRule="auto" w:before="0"/>
        <w:ind w:right="146" w:firstLine="480"/>
        <w:jc w:val="both"/>
      </w:pPr>
      <w:r>
        <w:rPr/>
        <w:t>公司董事会审计委员会由</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7"/>
        </w:rPr>
        <w:t>名成员组成，其中</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4"/>
        </w:rPr>
        <w:t>名为独立董事，并由会计专业的独立董</w:t>
      </w:r>
      <w:r>
        <w:rPr/>
        <w:t> </w:t>
      </w:r>
      <w:r>
        <w:rPr>
          <w:spacing w:val="-3"/>
        </w:rPr>
        <w:t>事担任召集人。报告期内，审议委员会对公司内控情况、控股股东及关联方资金占用等事项</w:t>
      </w:r>
      <w:r>
        <w:rPr>
          <w:spacing w:val="-101"/>
        </w:rPr>
        <w:t> </w:t>
      </w:r>
      <w:r>
        <w:rPr>
          <w:spacing w:val="-101"/>
        </w:rPr>
      </w:r>
      <w:r>
        <w:rPr>
          <w:spacing w:val="-3"/>
        </w:rPr>
        <w:t>进行核查，并定期召开会议，审议了定期报告相关事项及内部审计部门提交的工作计划和报</w:t>
      </w:r>
      <w:r>
        <w:rPr>
          <w:spacing w:val="-106"/>
        </w:rPr>
        <w:t> </w:t>
      </w:r>
      <w:r>
        <w:rPr>
          <w:spacing w:val="-106"/>
        </w:rPr>
      </w:r>
      <w:r>
        <w:rPr>
          <w:spacing w:val="-3"/>
        </w:rPr>
        <w:t>告等事项。审计委员会与年审注册会计师进行沟通，督促其按计划进行审计工作，就年度审</w:t>
      </w:r>
      <w:r>
        <w:rPr>
          <w:spacing w:val="-102"/>
        </w:rPr>
        <w:t> </w:t>
      </w:r>
      <w:r>
        <w:rPr>
          <w:spacing w:val="-102"/>
        </w:rPr>
      </w:r>
      <w:r>
        <w:rPr>
          <w:spacing w:val="-3"/>
        </w:rPr>
        <w:t>计事宜与公司管理层、年审机构进行了沟通，并对会计师事务所从事公司年度审计的工作进</w:t>
      </w:r>
      <w:r>
        <w:rPr>
          <w:spacing w:val="-106"/>
        </w:rPr>
        <w:t> </w:t>
      </w:r>
      <w:r>
        <w:rPr>
          <w:spacing w:val="-106"/>
        </w:rPr>
      </w:r>
      <w:r>
        <w:rPr/>
        <w:t>行了总结评价，提出续聘会计师事务所的建议。</w:t>
      </w:r>
    </w:p>
    <w:p>
      <w:pPr>
        <w:spacing w:line="768" w:lineRule="exact" w:before="7"/>
        <w:ind w:left="617" w:right="338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）报告期内审计委员会会议情况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报告期内，审计委员会共召开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次会议，主要内容为：</w:t>
      </w:r>
    </w:p>
    <w:p>
      <w:pPr>
        <w:pStyle w:val="BodyText"/>
        <w:spacing w:line="338" w:lineRule="auto" w:before="34"/>
        <w:ind w:right="166" w:firstLine="480"/>
        <w:jc w:val="both"/>
      </w:pPr>
      <w:r>
        <w:rPr>
          <w:rFonts w:ascii="Times New Roman" w:hAnsi="Times New Roman" w:cs="Times New Roman" w:eastAsia="Times New Roman" w:hint="default"/>
        </w:rPr>
        <w:t>1</w:t>
      </w:r>
      <w:r>
        <w:rPr>
          <w:spacing w:val="-1"/>
        </w:rPr>
        <w:t>）</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日，会议主要内容为：审核《</w:t>
      </w:r>
      <w:r>
        <w:rPr>
          <w:rFonts w:ascii="Times New Roman" w:hAnsi="Times New Roman" w:cs="Times New Roman" w:eastAsia="Times New Roman" w:hint="default"/>
        </w:rPr>
        <w:t>2014 </w:t>
      </w:r>
      <w:r>
        <w:rPr/>
        <w:t>年度审计报告</w:t>
      </w:r>
      <w:r>
        <w:rPr>
          <w:spacing w:val="-120"/>
        </w:rPr>
        <w:t>》、</w:t>
      </w:r>
      <w:r>
        <w:rPr/>
        <w:t>《公司内部控制</w:t>
      </w:r>
      <w:r>
        <w:rPr/>
        <w:t> 自我评价报告</w:t>
      </w:r>
      <w:r>
        <w:rPr>
          <w:spacing w:val="-120"/>
        </w:rPr>
        <w:t>》、</w:t>
      </w:r>
      <w:r>
        <w:rPr/>
        <w:t>《关于</w:t>
      </w:r>
      <w:r>
        <w:rPr>
          <w:spacing w:val="-60"/>
        </w:rPr>
        <w:t> </w:t>
      </w:r>
      <w:r>
        <w:rPr>
          <w:rFonts w:ascii="Times New Roman" w:hAnsi="Times New Roman" w:cs="Times New Roman" w:eastAsia="Times New Roman" w:hint="default"/>
        </w:rPr>
        <w:t>2014 </w:t>
      </w:r>
      <w:r>
        <w:rPr/>
        <w:t>年募集资金存放与使用情况的专项报告</w:t>
      </w:r>
      <w:r>
        <w:rPr>
          <w:spacing w:val="-120"/>
        </w:rPr>
        <w:t>》、</w:t>
      </w:r>
      <w:r>
        <w:rPr/>
        <w:t>《关于公司控股股东</w:t>
      </w:r>
      <w:r>
        <w:rPr/>
        <w:t> 及其他关联方占用资金情况报告</w:t>
      </w:r>
      <w:r>
        <w:rPr>
          <w:spacing w:val="-120"/>
        </w:rPr>
        <w:t>》、</w:t>
      </w:r>
      <w:r>
        <w:rPr/>
        <w:t>《关于续聘致同会计师事务所有限公司的议案</w:t>
      </w:r>
      <w:r>
        <w:rPr>
          <w:spacing w:val="-120"/>
        </w:rPr>
        <w:t>》</w:t>
      </w:r>
      <w:r>
        <w:rPr/>
        <w:t>。</w:t>
      </w:r>
    </w:p>
    <w:p>
      <w:pPr>
        <w:pStyle w:val="BodyText"/>
        <w:spacing w:line="338" w:lineRule="auto" w:before="53"/>
        <w:ind w:right="226"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日，会议主要内容为审阅公司第一季度财务报表，并对公司第一季 度募集资金存放和使用情况以及公司会计估计变更事项进行了审议。</w:t>
      </w:r>
    </w:p>
    <w:p>
      <w:pPr>
        <w:pStyle w:val="BodyText"/>
        <w:spacing w:line="338" w:lineRule="auto" w:before="55"/>
        <w:ind w:right="166"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日，会议主要内容为审议公司半年度财务报告、公司上半年度募集 资金使用情况、</w:t>
      </w:r>
      <w:r>
        <w:rPr>
          <w:rFonts w:ascii="Times New Roman" w:hAnsi="Times New Roman" w:cs="Times New Roman" w:eastAsia="Times New Roman" w:hint="default"/>
        </w:rPr>
        <w:t>2015</w:t>
      </w:r>
      <w:r>
        <w:rPr>
          <w:rFonts w:ascii="Times New Roman" w:hAnsi="Times New Roman" w:cs="Times New Roman" w:eastAsia="Times New Roman" w:hint="default"/>
          <w:spacing w:val="59"/>
        </w:rPr>
        <w:t> </w:t>
      </w:r>
      <w:r>
        <w:rPr/>
        <w:t>年半年度控股股东及其他关联方占用公司资金、公司对外担保情况。</w:t>
      </w:r>
    </w:p>
    <w:p>
      <w:pPr>
        <w:pStyle w:val="BodyText"/>
        <w:spacing w:line="240" w:lineRule="auto" w:before="27"/>
        <w:ind w:left="617" w:right="229"/>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日，会议主要内容为认真审议公司第三季度财务报表，同意公司</w:t>
      </w:r>
    </w:p>
    <w:p>
      <w:pPr>
        <w:pStyle w:val="BodyText"/>
        <w:spacing w:line="240" w:lineRule="auto" w:before="135"/>
        <w:ind w:right="229"/>
        <w:jc w:val="left"/>
      </w:pP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年第三季度报告全文》中所引用的财务数据，并提交董事会审议。</w:t>
      </w:r>
    </w:p>
    <w:p>
      <w:pPr>
        <w:pStyle w:val="BodyText"/>
        <w:spacing w:line="338" w:lineRule="auto" w:before="135"/>
        <w:ind w:right="226" w:firstLine="48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日，与会委员对公司财务总监候选人进行事前审核并同意提名委员 会将候选人提名至董事会审议。</w:t>
      </w:r>
    </w:p>
    <w:p>
      <w:pPr>
        <w:spacing w:after="0" w:line="338" w:lineRule="auto"/>
        <w:jc w:val="both"/>
        <w:sectPr>
          <w:pgSz w:w="11910" w:h="16840"/>
          <w:pgMar w:header="877" w:footer="1085" w:top="1220" w:bottom="1280" w:left="1140" w:right="980"/>
        </w:sectPr>
      </w:pPr>
    </w:p>
    <w:p>
      <w:pPr>
        <w:spacing w:line="240" w:lineRule="auto" w:before="8"/>
        <w:rPr>
          <w:rFonts w:ascii="宋体" w:hAnsi="宋体" w:cs="宋体" w:eastAsia="宋体" w:hint="default"/>
          <w:sz w:val="16"/>
          <w:szCs w:val="16"/>
        </w:rPr>
      </w:pPr>
    </w:p>
    <w:p>
      <w:pPr>
        <w:pStyle w:val="Heading2"/>
        <w:spacing w:line="367" w:lineRule="exact"/>
        <w:ind w:left="137" w:right="0"/>
        <w:jc w:val="both"/>
        <w:rPr>
          <w:b w:val="0"/>
          <w:bCs w:val="0"/>
        </w:rPr>
      </w:pPr>
      <w:r>
        <w:rPr/>
        <w:t>（</w:t>
      </w:r>
      <w:r>
        <w:rPr>
          <w:rFonts w:ascii="Times New Roman" w:hAnsi="Times New Roman" w:cs="Times New Roman" w:eastAsia="Times New Roman" w:hint="default"/>
        </w:rPr>
        <w:t>2</w:t>
      </w:r>
      <w:r>
        <w:rPr/>
        <w:t>）对公司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年度财务报告审计的工作情况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229"/>
        <w:jc w:val="left"/>
      </w:pPr>
      <w:r>
        <w:rPr>
          <w:rFonts w:ascii="Times New Roman" w:hAnsi="Times New Roman" w:cs="Times New Roman" w:eastAsia="Times New Roman" w:hint="default"/>
        </w:rPr>
        <w:t>1</w:t>
      </w:r>
      <w:r>
        <w:rPr/>
        <w:t>）确定总体审计计划</w:t>
      </w:r>
    </w:p>
    <w:p>
      <w:pPr>
        <w:pStyle w:val="BodyText"/>
        <w:spacing w:line="345" w:lineRule="auto" w:before="135"/>
        <w:ind w:right="149"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27 </w:t>
      </w:r>
      <w:r>
        <w:rPr/>
        <w:t>日，审计委员会认真审阅了致同会计师事务所关于对公司</w:t>
      </w:r>
      <w:r>
        <w:rPr>
          <w:spacing w:val="-59"/>
        </w:rPr>
        <w:t> </w:t>
      </w:r>
      <w:r>
        <w:rPr>
          <w:rFonts w:ascii="Times New Roman" w:hAnsi="Times New Roman" w:cs="Times New Roman" w:eastAsia="Times New Roman" w:hint="default"/>
        </w:rPr>
        <w:t>2015 </w:t>
      </w:r>
      <w:r>
        <w:rPr/>
        <w:t>年度 </w:t>
      </w:r>
      <w:r>
        <w:rPr>
          <w:spacing w:val="-3"/>
        </w:rPr>
        <w:t>审计工作计划以及审计要点，与负责审计工作的会计师（以下称“年审会计师”）就公司预</w:t>
      </w:r>
      <w:r>
        <w:rPr/>
        <w:t> 审问题进行了沟通，并协商确定了公司</w:t>
      </w:r>
      <w:r>
        <w:rPr>
          <w:spacing w:val="-60"/>
        </w:rPr>
        <w:t> </w:t>
      </w:r>
      <w:r>
        <w:rPr>
          <w:rFonts w:ascii="Times New Roman" w:hAnsi="Times New Roman" w:cs="Times New Roman" w:eastAsia="Times New Roman" w:hint="default"/>
        </w:rPr>
        <w:t>2015 </w:t>
      </w:r>
      <w:r>
        <w:rPr/>
        <w:t>年度财务及相关专项报告审计工作的时间安排 和审计方案。</w:t>
      </w:r>
    </w:p>
    <w:p>
      <w:pPr>
        <w:pStyle w:val="BodyText"/>
        <w:spacing w:line="338" w:lineRule="auto" w:before="48"/>
        <w:ind w:left="617" w:right="209"/>
        <w:jc w:val="left"/>
      </w:pPr>
      <w:r>
        <w:rPr>
          <w:rFonts w:ascii="Times New Roman" w:hAnsi="Times New Roman" w:cs="Times New Roman" w:eastAsia="Times New Roman" w:hint="default"/>
        </w:rPr>
        <w:t>2</w:t>
      </w:r>
      <w:r>
        <w:rPr/>
        <w:t>）对公司财务报告的两次审计意见 在年审会计师进场前，审计委员会审阅了公司财务部门编制的财务报表。</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p>
    <w:p>
      <w:pPr>
        <w:pStyle w:val="BodyText"/>
        <w:spacing w:line="350" w:lineRule="auto" w:before="27"/>
        <w:ind w:right="227"/>
        <w:jc w:val="both"/>
      </w:pPr>
      <w:r>
        <w:rPr>
          <w:rFonts w:ascii="Times New Roman" w:hAnsi="Times New Roman" w:cs="Times New Roman" w:eastAsia="Times New Roman" w:hint="default"/>
        </w:rPr>
        <w:t>15 </w:t>
      </w:r>
      <w:r>
        <w:rPr/>
        <w:t>日审计委员会就财务报表审阅的问题向财务部询问了相关情况，听取了财务负责人对公 司财务情况的汇报，认为：公司财务报表依照公司会计政策编制、会计政策运用恰当，会 计估计合理，符合新企业会计准则及财政部发布的有关规定要求，审计委员会同意以此财 务报表提交年审注册会计师开展审计工作。</w:t>
      </w:r>
    </w:p>
    <w:p>
      <w:pPr>
        <w:pStyle w:val="BodyText"/>
        <w:spacing w:line="345" w:lineRule="auto" w:before="43"/>
        <w:ind w:right="269" w:firstLine="48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日，年审会计师初步完成审计工作，形成初审意见，拟出具标准无保 留意见的审计报告，认为“公司财务报表已经按照企业会计准则的规定编制，在所有重大 方面公允反映了公司</w:t>
      </w:r>
      <w:r>
        <w:rPr>
          <w:spacing w:val="-61"/>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2015 </w:t>
      </w:r>
      <w:r>
        <w:rPr/>
        <w:t>年度的经营成果和现金流 </w:t>
      </w:r>
      <w:r>
        <w:rPr>
          <w:spacing w:val="-4"/>
        </w:rPr>
        <w:t>量”。审计委员会认真审阅了拟出具审计意见的财务报告，与年审会计师进行了讨论。</w:t>
      </w:r>
    </w:p>
    <w:p>
      <w:pPr>
        <w:pStyle w:val="BodyText"/>
        <w:spacing w:line="357" w:lineRule="auto" w:before="48"/>
        <w:ind w:right="269" w:firstLine="480"/>
        <w:jc w:val="left"/>
      </w:pPr>
      <w:r>
        <w:rPr/>
        <w:t>审计委员会审议后认为：公司财务报表已经按照企业会计准则的规定编制，在所有重 大方面公允反映了公司</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2015 </w:t>
      </w:r>
      <w:r>
        <w:rPr/>
        <w:t>年度的经营成果和现金流</w:t>
      </w:r>
    </w:p>
    <w:p>
      <w:pPr>
        <w:pStyle w:val="BodyText"/>
        <w:spacing w:line="338" w:lineRule="auto" w:before="5"/>
        <w:ind w:right="389"/>
        <w:jc w:val="left"/>
      </w:pPr>
      <w:r>
        <w:rPr/>
        <w:t>量，同意年审会计师拟发表的标准无保留审计意见的</w:t>
      </w:r>
      <w:r>
        <w:rPr>
          <w:spacing w:val="-60"/>
        </w:rPr>
        <w:t> </w:t>
      </w:r>
      <w:r>
        <w:rPr>
          <w:rFonts w:ascii="Times New Roman" w:hAnsi="Times New Roman" w:cs="Times New Roman" w:eastAsia="Times New Roman" w:hint="default"/>
        </w:rPr>
        <w:t>2015 </w:t>
      </w:r>
      <w:r>
        <w:rPr/>
        <w:t>年度财务报告，并提请董事审 议。同时，会计师事务所按照计划如期完成了相关专项审核报告。</w:t>
      </w:r>
    </w:p>
    <w:p>
      <w:pPr>
        <w:pStyle w:val="BodyText"/>
        <w:spacing w:line="240" w:lineRule="auto" w:before="55"/>
        <w:ind w:left="617" w:right="229"/>
        <w:jc w:val="left"/>
      </w:pPr>
      <w:r>
        <w:rPr>
          <w:rFonts w:ascii="Times New Roman" w:hAnsi="Times New Roman" w:cs="Times New Roman" w:eastAsia="Times New Roman" w:hint="default"/>
        </w:rPr>
        <w:t>3</w:t>
      </w:r>
      <w:r>
        <w:rPr/>
        <w:t>）对会计师事务所审计工作的督促情况</w:t>
      </w:r>
    </w:p>
    <w:p>
      <w:pPr>
        <w:pStyle w:val="BodyText"/>
        <w:spacing w:line="240" w:lineRule="auto" w:before="135"/>
        <w:ind w:left="617" w:right="229"/>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15 </w:t>
      </w:r>
      <w:r>
        <w:rPr/>
        <w:t>日，审计委员会就年审关注的重点领域向年审会计师提出要求。</w:t>
      </w:r>
      <w:r>
        <w:rPr>
          <w:rFonts w:ascii="Times New Roman" w:hAnsi="Times New Roman" w:cs="Times New Roman" w:eastAsia="Times New Roman" w:hint="default"/>
        </w:rPr>
        <w:t>2016</w:t>
      </w:r>
    </w:p>
    <w:p>
      <w:pPr>
        <w:pStyle w:val="BodyText"/>
        <w:spacing w:line="338" w:lineRule="auto" w:before="136"/>
        <w:ind w:right="150"/>
        <w:jc w:val="left"/>
      </w:pPr>
      <w:r>
        <w:rPr/>
        <w:t>年</w:t>
      </w:r>
      <w:r>
        <w:rPr>
          <w:spacing w:val="-60"/>
        </w:rPr>
        <w:t> </w:t>
      </w:r>
      <w:r>
        <w:rPr>
          <w:rFonts w:ascii="Times New Roman" w:hAnsi="Times New Roman" w:cs="Times New Roman" w:eastAsia="Times New Roman" w:hint="default"/>
        </w:rPr>
        <w:t>3 </w:t>
      </w:r>
      <w:r>
        <w:rPr/>
        <w:t>月</w:t>
      </w:r>
      <w:r>
        <w:rPr>
          <w:spacing w:val="-61"/>
        </w:rPr>
        <w:t> </w:t>
      </w:r>
      <w:r>
        <w:rPr>
          <w:rFonts w:ascii="Times New Roman" w:hAnsi="Times New Roman" w:cs="Times New Roman" w:eastAsia="Times New Roman" w:hint="default"/>
        </w:rPr>
        <w:t>18 </w:t>
      </w:r>
      <w:r>
        <w:rPr/>
        <w:t>日，审计委员会在审阅了拟出具初步审计意见的财务会计报表后与年审会计师进 行审计情况沟通，并交换了意见。</w:t>
      </w:r>
    </w:p>
    <w:p>
      <w:pPr>
        <w:pStyle w:val="BodyText"/>
        <w:spacing w:line="240" w:lineRule="auto" w:before="55"/>
        <w:ind w:left="617" w:right="229"/>
        <w:jc w:val="left"/>
      </w:pPr>
      <w:r>
        <w:rPr>
          <w:rFonts w:ascii="Times New Roman" w:hAnsi="Times New Roman" w:cs="Times New Roman" w:eastAsia="Times New Roman" w:hint="default"/>
        </w:rPr>
        <w:t>4</w:t>
      </w:r>
      <w:r>
        <w:rPr/>
        <w:t>）年审会计师从事</w:t>
      </w:r>
      <w:r>
        <w:rPr>
          <w:spacing w:val="-60"/>
        </w:rPr>
        <w:t> </w:t>
      </w:r>
      <w:r>
        <w:rPr>
          <w:rFonts w:ascii="Times New Roman" w:hAnsi="Times New Roman" w:cs="Times New Roman" w:eastAsia="Times New Roman" w:hint="default"/>
        </w:rPr>
        <w:t>2015 </w:t>
      </w:r>
      <w:r>
        <w:rPr/>
        <w:t>年公司审计工作的总结报告</w:t>
      </w:r>
    </w:p>
    <w:p>
      <w:pPr>
        <w:pStyle w:val="BodyText"/>
        <w:spacing w:line="240" w:lineRule="auto" w:before="135"/>
        <w:ind w:left="617" w:right="22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日，审计委员会会议，审议通过了</w:t>
      </w:r>
      <w:r>
        <w:rPr>
          <w:spacing w:val="1"/>
        </w:rPr>
        <w:t>《</w:t>
      </w:r>
      <w:r>
        <w:rPr>
          <w:rFonts w:ascii="Times New Roman" w:hAnsi="Times New Roman" w:cs="Times New Roman" w:eastAsia="Times New Roman" w:hint="default"/>
        </w:rPr>
        <w:t>2015 </w:t>
      </w:r>
      <w:r>
        <w:rPr/>
        <w:t>年度审计报告</w:t>
      </w:r>
      <w:r>
        <w:rPr>
          <w:spacing w:val="-120"/>
        </w:rPr>
        <w:t>》。</w:t>
      </w:r>
      <w:r>
        <w:rPr/>
      </w:r>
    </w:p>
    <w:p>
      <w:pPr>
        <w:pStyle w:val="BodyText"/>
        <w:spacing w:line="338" w:lineRule="auto" w:before="135"/>
        <w:ind w:right="149" w:firstLine="480"/>
        <w:jc w:val="left"/>
      </w:pPr>
      <w:r>
        <w:rPr>
          <w:rFonts w:ascii="Times New Roman" w:hAnsi="Times New Roman" w:cs="Times New Roman" w:eastAsia="Times New Roman" w:hint="default"/>
        </w:rPr>
        <w:t>5</w:t>
      </w:r>
      <w:r>
        <w:rPr/>
        <w:t>）对公司内部控制的自我评价报告、公司控股股东及其他关联方占用资金情况报告的 审议情况</w:t>
      </w:r>
    </w:p>
    <w:p>
      <w:pPr>
        <w:pStyle w:val="BodyText"/>
        <w:spacing w:line="240" w:lineRule="auto" w:before="55"/>
        <w:ind w:left="617" w:right="22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18 </w:t>
      </w:r>
      <w:r>
        <w:rPr/>
        <w:t>日，审计委员会召开会议审议通过了《关于公司控股股东及其他关联</w:t>
      </w:r>
    </w:p>
    <w:p>
      <w:pPr>
        <w:spacing w:after="0" w:line="240" w:lineRule="auto"/>
        <w:jc w:val="left"/>
        <w:sectPr>
          <w:footerReference w:type="default" r:id="rId34"/>
          <w:pgSz w:w="11910" w:h="16840"/>
          <w:pgMar w:footer="1085" w:header="877" w:top="1220" w:bottom="1280" w:left="1140" w:right="980"/>
        </w:sectPr>
      </w:pPr>
    </w:p>
    <w:p>
      <w:pPr>
        <w:spacing w:line="240" w:lineRule="auto" w:before="8"/>
        <w:rPr>
          <w:rFonts w:ascii="宋体" w:hAnsi="宋体" w:cs="宋体" w:eastAsia="宋体" w:hint="default"/>
          <w:sz w:val="16"/>
          <w:szCs w:val="16"/>
        </w:rPr>
      </w:pPr>
    </w:p>
    <w:p>
      <w:pPr>
        <w:pStyle w:val="BodyText"/>
        <w:spacing w:line="357" w:lineRule="auto" w:before="26"/>
        <w:ind w:left="617" w:right="209" w:hanging="480"/>
        <w:jc w:val="left"/>
      </w:pPr>
      <w:r>
        <w:rPr>
          <w:spacing w:val="-10"/>
        </w:rPr>
        <w:t>方占用资金情况报告的审议意见》、《关于内部控制的自我评价报告的审议意见》。</w:t>
      </w:r>
      <w:r>
        <w:rPr>
          <w:spacing w:val="-110"/>
        </w:rPr>
        <w:t> </w:t>
      </w:r>
      <w:r>
        <w:rPr>
          <w:spacing w:val="-110"/>
        </w:rPr>
      </w:r>
      <w:r>
        <w:rPr/>
        <w:t>审计委员会认为：</w:t>
      </w:r>
      <w:r>
        <w:rPr>
          <w:rFonts w:ascii="Times New Roman" w:hAnsi="Times New Roman" w:cs="Times New Roman" w:eastAsia="Times New Roman" w:hint="default"/>
        </w:rPr>
        <w:t>2015 </w:t>
      </w:r>
      <w:r>
        <w:rPr/>
        <w:t>年度控股股东及其他关联方占用资金情况报告符合公司的实际</w:t>
      </w:r>
    </w:p>
    <w:p>
      <w:pPr>
        <w:pStyle w:val="BodyText"/>
        <w:spacing w:line="357" w:lineRule="auto" w:before="5"/>
        <w:ind w:right="287"/>
        <w:jc w:val="both"/>
      </w:pPr>
      <w:r>
        <w:rPr/>
        <w:t>情况。公司内部控制体系符合公司目前经营管理需要，公司重点控制活动规范有效，公司 内控制度的自我评价，真实客观地反映了内部控制运行情况，同意公司内部控制自我评价 报告。</w:t>
      </w:r>
    </w:p>
    <w:p>
      <w:pPr>
        <w:spacing w:line="768" w:lineRule="exact" w:before="2"/>
        <w:ind w:left="617" w:right="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、薪酬与考核委员会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sz w:val="24"/>
          <w:szCs w:val="24"/>
        </w:rPr>
        <w:t>公司第三届薪酬与考核委员会现有委员庄行方先生（召集人）、王惠芳女士、杜庆娥女</w:t>
      </w:r>
    </w:p>
    <w:p>
      <w:pPr>
        <w:pStyle w:val="BodyText"/>
        <w:spacing w:line="357" w:lineRule="auto" w:before="34"/>
        <w:ind w:right="286"/>
        <w:jc w:val="both"/>
      </w:pPr>
      <w:r>
        <w:rPr/>
        <w:t>士，人员数目以及人员结构符合《公司章程》以及《公司薪酬与考核委员会实施细则》的 要求。</w:t>
      </w:r>
    </w:p>
    <w:p>
      <w:pPr>
        <w:pStyle w:val="BodyText"/>
        <w:spacing w:line="240" w:lineRule="auto"/>
        <w:ind w:left="617" w:right="229"/>
        <w:jc w:val="left"/>
      </w:pPr>
      <w:r>
        <w:rPr/>
        <w:t>报告期内，薪酬与考核委员会召开了</w:t>
      </w:r>
      <w:r>
        <w:rPr>
          <w:spacing w:val="-60"/>
        </w:rPr>
        <w:t> </w:t>
      </w:r>
      <w:r>
        <w:rPr>
          <w:rFonts w:ascii="Times New Roman" w:hAnsi="Times New Roman" w:cs="Times New Roman" w:eastAsia="Times New Roman" w:hint="default"/>
        </w:rPr>
        <w:t>5 </w:t>
      </w:r>
      <w:r>
        <w:rPr/>
        <w:t>次会议，主要内容为：</w:t>
      </w:r>
    </w:p>
    <w:p>
      <w:pPr>
        <w:pStyle w:val="BodyText"/>
        <w:spacing w:line="240" w:lineRule="auto" w:before="135"/>
        <w:ind w:left="617"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27 </w:t>
      </w:r>
      <w:r>
        <w:rPr/>
        <w:t>日，会议审议通过了人力资源部门提交的</w:t>
      </w:r>
      <w:r>
        <w:rPr>
          <w:spacing w:val="-59"/>
        </w:rPr>
        <w:t> </w:t>
      </w:r>
      <w:r>
        <w:rPr>
          <w:rFonts w:ascii="Times New Roman" w:hAnsi="Times New Roman" w:cs="Times New Roman" w:eastAsia="Times New Roman" w:hint="default"/>
        </w:rPr>
        <w:t>2014 </w:t>
      </w:r>
      <w:r>
        <w:rPr/>
        <w:t>年董、监、高薪酬考核</w:t>
      </w:r>
    </w:p>
    <w:p>
      <w:pPr>
        <w:pStyle w:val="BodyText"/>
        <w:spacing w:line="338" w:lineRule="auto" w:before="135"/>
        <w:ind w:right="149"/>
        <w:jc w:val="left"/>
      </w:pPr>
      <w:r>
        <w:rPr/>
        <w:t>结果，认为公司董事、监事、高管人员</w:t>
      </w:r>
      <w:r>
        <w:rPr>
          <w:spacing w:val="-60"/>
        </w:rPr>
        <w:t> </w:t>
      </w:r>
      <w:r>
        <w:rPr>
          <w:rFonts w:ascii="Times New Roman" w:hAnsi="Times New Roman" w:cs="Times New Roman" w:eastAsia="Times New Roman" w:hint="default"/>
        </w:rPr>
        <w:t>2014 </w:t>
      </w:r>
      <w:r>
        <w:rPr/>
        <w:t>年度薪酬体系符合公司的总体薪酬方案，薪酬 水平与公司的经营情况和发展水平相适应，不存在损害公司及股东利益的情形。</w:t>
      </w:r>
    </w:p>
    <w:p>
      <w:pPr>
        <w:pStyle w:val="BodyText"/>
        <w:spacing w:line="338" w:lineRule="auto" w:before="55"/>
        <w:ind w:right="330"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10 </w:t>
      </w:r>
      <w:r>
        <w:rPr/>
        <w:t>日，会议审议通过了《关于公司股权激励计划预留部分限制性股票第 </w:t>
      </w:r>
      <w:r>
        <w:rPr>
          <w:spacing w:val="-15"/>
        </w:rPr>
        <w:t>一个解锁期条件成就可解锁的议案》。</w:t>
      </w:r>
      <w:r>
        <w:rPr/>
      </w:r>
    </w:p>
    <w:p>
      <w:pPr>
        <w:pStyle w:val="BodyText"/>
        <w:spacing w:line="338" w:lineRule="auto" w:before="55"/>
        <w:ind w:right="330"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14 </w:t>
      </w:r>
      <w:r>
        <w:rPr/>
        <w:t>日，会议审查了公司董事及高管人员半年度的履职情况；审查了公司 董事及高管人员的半年度薪酬情况，认为符合公司实际经营情况以及公司薪酬制度。</w:t>
      </w:r>
    </w:p>
    <w:p>
      <w:pPr>
        <w:pStyle w:val="BodyText"/>
        <w:spacing w:line="348" w:lineRule="auto" w:before="55"/>
        <w:ind w:right="286"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日，会议审议通过了《关于回购注销部分激励对象已获授但尚未解锁 的限制性股票的议案》以及《关于公司股权激励计划首次授予的限制性股票第二个解锁期 </w:t>
      </w:r>
      <w:r>
        <w:rPr>
          <w:spacing w:val="-10"/>
        </w:rPr>
        <w:t>条件成就可解锁的议案》。</w:t>
      </w:r>
    </w:p>
    <w:p>
      <w:pPr>
        <w:pStyle w:val="BodyText"/>
        <w:spacing w:line="338" w:lineRule="auto" w:before="46"/>
        <w:ind w:right="213" w:firstLine="480"/>
        <w:jc w:val="left"/>
      </w:pPr>
      <w:r>
        <w:rPr>
          <w:rFonts w:ascii="Times New Roman" w:hAnsi="Times New Roman" w:cs="Times New Roman" w:eastAsia="Times New Roman" w:hint="default"/>
        </w:rPr>
        <w:t>2015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8"/>
        </w:rPr>
        <w:t>日，会议审议通过了《公司第一期员工持股计划（草案）》，同意提交</w:t>
      </w:r>
      <w:r>
        <w:rPr/>
        <w:t> 董事会审议。</w:t>
      </w:r>
    </w:p>
    <w:p>
      <w:pPr>
        <w:spacing w:line="240" w:lineRule="auto" w:before="4"/>
        <w:rPr>
          <w:rFonts w:ascii="宋体" w:hAnsi="宋体" w:cs="宋体" w:eastAsia="宋体" w:hint="default"/>
          <w:sz w:val="21"/>
          <w:szCs w:val="21"/>
        </w:rPr>
      </w:pPr>
    </w:p>
    <w:p>
      <w:pPr>
        <w:pStyle w:val="Heading2"/>
        <w:spacing w:line="240" w:lineRule="auto"/>
        <w:ind w:left="137" w:right="229"/>
        <w:jc w:val="left"/>
        <w:rPr>
          <w:b w:val="0"/>
          <w:bCs w:val="0"/>
        </w:rPr>
      </w:pPr>
      <w:r>
        <w:rPr>
          <w:rFonts w:ascii="Times New Roman" w:hAnsi="Times New Roman" w:cs="Times New Roman" w:eastAsia="Times New Roman" w:hint="default"/>
        </w:rPr>
        <w:t>3</w:t>
      </w:r>
      <w:r>
        <w:rPr/>
        <w:t>、提名委员会</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before="0"/>
        <w:ind w:right="0" w:firstLine="480"/>
        <w:jc w:val="left"/>
      </w:pPr>
      <w:r>
        <w:rPr>
          <w:spacing w:val="-4"/>
        </w:rPr>
        <w:t>公司第三届提名委员会委员为庄行方先生（召集人）、王浩先生、钟耳顺先生人员，数</w:t>
      </w:r>
      <w:r>
        <w:rPr/>
        <w:t> 目以及人员结构符合《公司章程》以及《公司提名委员会实施细则》的要求。</w:t>
      </w:r>
    </w:p>
    <w:p>
      <w:pPr>
        <w:pStyle w:val="BodyText"/>
        <w:spacing w:line="240" w:lineRule="auto"/>
        <w:ind w:left="617" w:right="229"/>
        <w:jc w:val="left"/>
      </w:pPr>
      <w:r>
        <w:rPr/>
        <w:t>报告期内，提名委员会召开了</w:t>
      </w:r>
      <w:r>
        <w:rPr>
          <w:spacing w:val="-60"/>
        </w:rPr>
        <w:t> </w:t>
      </w:r>
      <w:r>
        <w:rPr>
          <w:rFonts w:ascii="Times New Roman" w:hAnsi="Times New Roman" w:cs="Times New Roman" w:eastAsia="Times New Roman" w:hint="default"/>
        </w:rPr>
        <w:t>2 </w:t>
      </w:r>
      <w:r>
        <w:rPr/>
        <w:t>次会议。</w:t>
      </w:r>
    </w:p>
    <w:p>
      <w:pPr>
        <w:pStyle w:val="BodyText"/>
        <w:spacing w:line="240" w:lineRule="auto" w:before="135"/>
        <w:ind w:left="617" w:right="22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21 </w:t>
      </w:r>
      <w:r>
        <w:rPr/>
        <w:t>日，对第三届董事会独立董事候选人进行审核并提名至董事会。</w:t>
      </w:r>
    </w:p>
    <w:p>
      <w:pPr>
        <w:spacing w:after="0" w:line="240" w:lineRule="auto"/>
        <w:jc w:val="left"/>
        <w:sectPr>
          <w:footerReference w:type="default" r:id="rId35"/>
          <w:pgSz w:w="11910" w:h="16840"/>
          <w:pgMar w:footer="1085" w:header="877" w:top="1220" w:bottom="1280" w:left="1140" w:right="980"/>
          <w:pgNumType w:start="91"/>
        </w:sectPr>
      </w:pPr>
    </w:p>
    <w:p>
      <w:pPr>
        <w:spacing w:line="240" w:lineRule="auto" w:before="8"/>
        <w:rPr>
          <w:rFonts w:ascii="宋体" w:hAnsi="宋体" w:cs="宋体" w:eastAsia="宋体" w:hint="default"/>
          <w:sz w:val="16"/>
          <w:szCs w:val="16"/>
        </w:rPr>
      </w:pPr>
    </w:p>
    <w:p>
      <w:pPr>
        <w:pStyle w:val="BodyText"/>
        <w:spacing w:line="338" w:lineRule="auto" w:before="26"/>
        <w:ind w:right="330"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 </w:t>
      </w:r>
      <w:r>
        <w:rPr/>
        <w:t>日，对公司分管投资和内部审计工作的副总经理候选人、财务总监候 选人进行审核并提名至董事会。</w:t>
      </w:r>
    </w:p>
    <w:p>
      <w:pPr>
        <w:spacing w:line="768" w:lineRule="exact" w:before="21"/>
        <w:ind w:left="617" w:right="229"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、战略与发展委员会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4"/>
          <w:sz w:val="24"/>
          <w:szCs w:val="24"/>
        </w:rPr>
        <w:t>公司第三届战略与发展委员会委员为王浩先生（召集人）、钟耳顺先生以及庄行方先</w:t>
      </w:r>
    </w:p>
    <w:p>
      <w:pPr>
        <w:pStyle w:val="BodyText"/>
        <w:spacing w:line="357" w:lineRule="auto" w:before="34"/>
        <w:ind w:right="269"/>
        <w:jc w:val="left"/>
      </w:pPr>
      <w:r>
        <w:rPr/>
        <w:t>生，共计三名，人员数目以及人员结构符合《公司章程》以及《公司战略与发展委员会实 施细则》的要求。</w:t>
      </w:r>
    </w:p>
    <w:p>
      <w:pPr>
        <w:pStyle w:val="BodyText"/>
        <w:spacing w:line="240" w:lineRule="auto" w:before="37"/>
        <w:ind w:left="617" w:right="229"/>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年度，公司战略与发展委员召开</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次会议。</w:t>
      </w:r>
    </w:p>
    <w:p>
      <w:pPr>
        <w:pStyle w:val="BodyText"/>
        <w:spacing w:line="240" w:lineRule="auto" w:before="135"/>
        <w:ind w:left="617"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5 </w:t>
      </w:r>
      <w:r>
        <w:rPr/>
        <w:t>日，会议审议通过了《收购上海南康科技有限公司</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w:t>
      </w:r>
      <w:r>
        <w:rPr/>
        <w:t>股权的议案</w:t>
      </w:r>
      <w:r>
        <w:rPr>
          <w:spacing w:val="-120"/>
        </w:rPr>
        <w:t>》</w:t>
      </w:r>
      <w:r>
        <w:rPr/>
        <w:t>；</w:t>
      </w:r>
    </w:p>
    <w:p>
      <w:pPr>
        <w:pStyle w:val="BodyText"/>
        <w:spacing w:line="338" w:lineRule="auto" w:before="135"/>
        <w:ind w:right="210" w:firstLine="48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日，会议审议通过了《发行股份及支付现金购买南京国图信息产业股 </w:t>
      </w:r>
      <w:r>
        <w:rPr>
          <w:spacing w:val="-25"/>
        </w:rPr>
        <w:t>份有限公司的议案》。</w:t>
      </w:r>
      <w:r>
        <w:rPr/>
      </w:r>
    </w:p>
    <w:p>
      <w:pPr>
        <w:spacing w:line="441" w:lineRule="auto" w:before="202"/>
        <w:ind w:left="617" w:right="3629" w:hanging="480"/>
        <w:jc w:val="left"/>
        <w:rPr>
          <w:rFonts w:ascii="宋体" w:hAnsi="宋体" w:cs="宋体" w:eastAsia="宋体" w:hint="default"/>
          <w:sz w:val="24"/>
          <w:szCs w:val="24"/>
        </w:rPr>
      </w:pPr>
      <w:bookmarkStart w:name="_bookmark64" w:id="65"/>
      <w:bookmarkEnd w:id="65"/>
      <w:r>
        <w:rPr/>
      </w:r>
      <w:r>
        <w:rPr>
          <w:rFonts w:ascii="Microsoft JhengHei" w:hAnsi="Microsoft JhengHei" w:cs="Microsoft JhengHei" w:eastAsia="Microsoft JhengHei" w:hint="default"/>
          <w:b/>
          <w:bCs/>
          <w:sz w:val="24"/>
          <w:szCs w:val="24"/>
        </w:rPr>
        <w:t>七、监事会工作情况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监事会在报告期内的监督活动是否发现公司存在风险</w:t>
      </w:r>
    </w:p>
    <w:p>
      <w:pPr>
        <w:pStyle w:val="BodyText"/>
        <w:spacing w:line="297" w:lineRule="exact" w:before="0"/>
        <w:ind w:left="617" w:right="229"/>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21"/>
        </w:rPr>
        <w:t> </w:t>
      </w:r>
      <w:r>
        <w:rPr/>
        <w:t>否</w:t>
      </w:r>
    </w:p>
    <w:p>
      <w:pPr>
        <w:spacing w:line="470" w:lineRule="auto" w:before="123"/>
        <w:ind w:left="137" w:right="458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公司监事会对报告期内的监督事项无异议。 </w:t>
      </w:r>
      <w:bookmarkStart w:name="_bookmark65" w:id="66"/>
      <w:bookmarkEnd w:id="66"/>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sz w:val="24"/>
          <w:szCs w:val="24"/>
        </w:rPr>
      </w:r>
    </w:p>
    <w:p>
      <w:pPr>
        <w:pStyle w:val="BodyText"/>
        <w:spacing w:line="357" w:lineRule="auto" w:before="41"/>
        <w:ind w:right="149" w:firstLine="480"/>
        <w:jc w:val="left"/>
      </w:pPr>
      <w:r>
        <w:rPr/>
        <w:t>公司高级管理人员的薪酬分配与考核以公司规模与经济效益为基础，根据公司年度经 营目标和岗位分管工作的年度工作目标，进行综合考核，根据考核结果确定高级管理人员 年度薪酬。公司董事会薪酬与考核委员会是对高级管理人员进行薪酬方案制定和考核管理 的机构。经营年度开始前，公司与全体高管人员分别签署绩效考核任务书。高级管理人员 签订的绩效考核任务书将作为高级管理人员年度薪酬考核的依据。在经营年度结束后，人 力资源中心比照工作计划和目标完成情况，对高级管理人员进行绩效考核评价，并依据考 核结果公司确定绩效年薪。根据公司整体业绩完成情况和高级管理人员绩效评价结果，人 力资源中心提出高级管理人员的业绩奖金分配方案，报薪酬与考核委员会审核。公司实现 业绩低于考核目标</w:t>
      </w:r>
      <w:r>
        <w:rPr>
          <w:rFonts w:ascii="宋体" w:hAnsi="宋体" w:cs="宋体" w:eastAsia="宋体" w:hint="default"/>
        </w:rPr>
        <w:t>70%</w:t>
      </w:r>
      <w:r>
        <w:rPr/>
        <w:t>，不兑付绩效薪酬；公司实现业绩低于考核目标</w:t>
      </w:r>
      <w:r>
        <w:rPr>
          <w:rFonts w:ascii="宋体" w:hAnsi="宋体" w:cs="宋体" w:eastAsia="宋体" w:hint="default"/>
        </w:rPr>
        <w:t>70%~100%</w:t>
      </w:r>
      <w:r>
        <w:rPr/>
        <w:t>之间的，按 实现完成百分比兑付经营绩效薪酬。</w:t>
      </w:r>
    </w:p>
    <w:p>
      <w:pPr>
        <w:spacing w:after="0" w:line="357" w:lineRule="auto"/>
        <w:jc w:val="left"/>
        <w:sectPr>
          <w:pgSz w:w="11910" w:h="16840"/>
          <w:pgMar w:header="877" w:footer="1085" w:top="1220" w:bottom="1280" w:left="1140" w:right="980"/>
        </w:sectPr>
      </w:pPr>
    </w:p>
    <w:p>
      <w:pPr>
        <w:spacing w:line="240" w:lineRule="auto" w:before="10"/>
        <w:rPr>
          <w:rFonts w:ascii="宋体" w:hAnsi="宋体" w:cs="宋体" w:eastAsia="宋体" w:hint="default"/>
          <w:sz w:val="10"/>
          <w:szCs w:val="10"/>
        </w:rPr>
      </w:pPr>
    </w:p>
    <w:p>
      <w:pPr>
        <w:pStyle w:val="Heading2"/>
        <w:spacing w:line="367" w:lineRule="exact"/>
        <w:ind w:left="137" w:right="346"/>
        <w:jc w:val="left"/>
        <w:rPr>
          <w:b w:val="0"/>
          <w:bCs w:val="0"/>
        </w:rPr>
      </w:pPr>
      <w:bookmarkStart w:name="_bookmark66" w:id="67"/>
      <w:bookmarkEnd w:id="67"/>
      <w:r>
        <w:rPr>
          <w:b w:val="0"/>
          <w:bCs w:val="0"/>
        </w:rPr>
      </w:r>
      <w:r>
        <w:rPr/>
        <w:t>九、内部控制评价报告</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34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、报告期内发现的内部控制重大缺陷的具体情况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617" w:right="346"/>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21"/>
        </w:rPr>
        <w:t> </w:t>
      </w:r>
      <w:r>
        <w:rPr/>
        <w:t>否</w:t>
      </w:r>
    </w:p>
    <w:p>
      <w:pPr>
        <w:spacing w:line="240" w:lineRule="auto" w:before="7"/>
        <w:rPr>
          <w:rFonts w:ascii="宋体" w:hAnsi="宋体" w:cs="宋体" w:eastAsia="宋体" w:hint="default"/>
          <w:sz w:val="26"/>
          <w:szCs w:val="26"/>
        </w:rPr>
      </w:pPr>
    </w:p>
    <w:p>
      <w:pPr>
        <w:pStyle w:val="Heading2"/>
        <w:spacing w:line="240" w:lineRule="auto"/>
        <w:ind w:left="137" w:right="346"/>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5"/>
        <w:rPr>
          <w:rFonts w:ascii="Microsoft JhengHei" w:hAnsi="Microsoft JhengHei" w:cs="Microsoft JhengHei" w:eastAsia="Microsoft JhengHei" w:hint="default"/>
          <w:b/>
          <w:bCs/>
          <w:sz w:val="22"/>
          <w:szCs w:val="22"/>
        </w:rPr>
      </w:pPr>
    </w:p>
    <w:tbl>
      <w:tblPr>
        <w:tblW w:w="0" w:type="auto"/>
        <w:jc w:val="left"/>
        <w:tblInd w:w="166" w:type="dxa"/>
        <w:tblLayout w:type="fixed"/>
        <w:tblCellMar>
          <w:top w:w="0" w:type="dxa"/>
          <w:left w:w="0" w:type="dxa"/>
          <w:bottom w:w="0" w:type="dxa"/>
          <w:right w:w="0" w:type="dxa"/>
        </w:tblCellMar>
        <w:tblLook w:val="01E0"/>
      </w:tblPr>
      <w:tblGrid>
        <w:gridCol w:w="1559"/>
        <w:gridCol w:w="3822"/>
        <w:gridCol w:w="4188"/>
      </w:tblGrid>
      <w:tr>
        <w:trPr>
          <w:trHeight w:val="322" w:hRule="exact"/>
        </w:trPr>
        <w:tc>
          <w:tcPr>
            <w:tcW w:w="5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1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p>
        </w:tc>
      </w:tr>
      <w:tr>
        <w:trPr>
          <w:trHeight w:val="322" w:hRule="exact"/>
        </w:trPr>
        <w:tc>
          <w:tcPr>
            <w:tcW w:w="5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14"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634" w:hRule="exact"/>
        </w:trPr>
        <w:tc>
          <w:tcPr>
            <w:tcW w:w="5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71" w:right="52" w:hanging="2312"/>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纳入评价范围单位资产总额占公司合并财务报表资产总额</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的比例</w:t>
            </w:r>
          </w:p>
        </w:tc>
        <w:tc>
          <w:tcPr>
            <w:tcW w:w="4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w:t>
            </w:r>
          </w:p>
        </w:tc>
      </w:tr>
      <w:tr>
        <w:trPr>
          <w:trHeight w:val="638" w:hRule="exact"/>
        </w:trPr>
        <w:tc>
          <w:tcPr>
            <w:tcW w:w="5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71" w:right="52" w:hanging="2312"/>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纳入评价范围单位营业收入占公司合并财务报表营业收入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的比例</w:t>
            </w:r>
          </w:p>
        </w:tc>
        <w:tc>
          <w:tcPr>
            <w:tcW w:w="4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w:t>
            </w:r>
          </w:p>
        </w:tc>
      </w:tr>
      <w:tr>
        <w:trPr>
          <w:trHeight w:val="31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32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5"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4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7"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219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定量标准</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2" w:right="143"/>
              <w:jc w:val="both"/>
              <w:rPr>
                <w:rFonts w:ascii="宋体" w:hAnsi="宋体" w:cs="宋体" w:eastAsia="宋体"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营业</w:t>
            </w:r>
            <w:r>
              <w:rPr>
                <w:rFonts w:ascii="宋体" w:hAnsi="宋体" w:cs="宋体" w:eastAsia="宋体" w:hint="default"/>
                <w:spacing w:val="-74"/>
                <w:sz w:val="21"/>
                <w:szCs w:val="21"/>
              </w:rPr>
              <w:t> </w:t>
            </w:r>
            <w:r>
              <w:rPr>
                <w:rFonts w:ascii="宋体" w:hAnsi="宋体" w:cs="宋体" w:eastAsia="宋体" w:hint="default"/>
                <w:spacing w:val="-2"/>
                <w:sz w:val="21"/>
                <w:szCs w:val="21"/>
              </w:rPr>
              <w:t>收入或利润总额潜在错报≥</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利润总额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重要缺陷：营业收入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营业收</w:t>
            </w:r>
          </w:p>
          <w:p>
            <w:pPr>
              <w:pStyle w:val="TableParagraph"/>
              <w:spacing w:line="295" w:lineRule="auto" w:before="5"/>
              <w:ind w:left="22" w:right="270"/>
              <w:jc w:val="left"/>
              <w:rPr>
                <w:rFonts w:ascii="Times New Roman" w:hAnsi="Times New Roman" w:cs="Times New Roman" w:eastAsia="Times New Roman" w:hint="default"/>
                <w:sz w:val="21"/>
                <w:szCs w:val="21"/>
              </w:rPr>
            </w:pPr>
            <w:r>
              <w:rPr>
                <w:rFonts w:ascii="宋体" w:hAnsi="宋体" w:cs="宋体" w:eastAsia="宋体" w:hint="default"/>
                <w:sz w:val="21"/>
                <w:szCs w:val="21"/>
              </w:rPr>
              <w:t>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利润总额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p>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一般缺陷：营业收入潜在错报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营业收入</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利润总额</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29" w:right="82"/>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重大缺陷：营业收入潜在错报≥</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营业收入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5%</w:t>
            </w:r>
            <w:r>
              <w:rPr>
                <w:rFonts w:ascii="宋体" w:hAnsi="宋体" w:cs="宋体" w:eastAsia="宋体" w:hint="default"/>
                <w:sz w:val="21"/>
                <w:szCs w:val="21"/>
              </w:rPr>
              <w:t>利润总额</w:t>
            </w:r>
            <w:r>
              <w:rPr>
                <w:rFonts w:ascii="宋体" w:hAnsi="宋体" w:cs="宋体" w:eastAsia="宋体" w:hint="default"/>
                <w:w w:val="100"/>
                <w:sz w:val="21"/>
                <w:szCs w:val="21"/>
              </w:rPr>
              <w:t> </w:t>
            </w:r>
            <w:r>
              <w:rPr>
                <w:rFonts w:ascii="宋体" w:hAnsi="宋体" w:cs="宋体" w:eastAsia="宋体" w:hint="default"/>
                <w:sz w:val="21"/>
                <w:szCs w:val="21"/>
              </w:rPr>
              <w:t>重要缺陷：营业收入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或利润总额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p>
            <w:pPr>
              <w:pStyle w:val="TableParagraph"/>
              <w:spacing w:line="240" w:lineRule="auto" w:before="5"/>
              <w:ind w:left="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一般缺陷：营业收入潜在错报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营业收入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或利润总额潜在错报</w:t>
            </w:r>
            <w:r>
              <w:rPr>
                <w:rFonts w:ascii="Times New Roman" w:hAnsi="Times New Roman" w:cs="Times New Roman" w:eastAsia="Times New Roman" w:hint="default"/>
                <w:sz w:val="21"/>
                <w:szCs w:val="21"/>
              </w:rPr>
              <w:t>&lt;</w:t>
            </w:r>
            <w:r>
              <w:rPr>
                <w:rFonts w:ascii="宋体" w:hAnsi="宋体" w:cs="宋体" w:eastAsia="宋体" w:hint="default"/>
                <w:sz w:val="21"/>
                <w:szCs w:val="21"/>
              </w:rPr>
              <w:t>利润总额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6250"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定性标准</w:t>
            </w:r>
          </w:p>
        </w:tc>
        <w:tc>
          <w:tcPr>
            <w:tcW w:w="3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财务报告重大缺陷的迹象包括：</w:t>
            </w:r>
          </w:p>
          <w:p>
            <w:pPr>
              <w:pStyle w:val="TableParagraph"/>
              <w:spacing w:line="256" w:lineRule="auto" w:before="37"/>
              <w:ind w:left="22"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）公司已经上报或披露的财务报告出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现的重大差错进行错报更正；</w:t>
            </w:r>
          </w:p>
          <w:p>
            <w:pPr>
              <w:pStyle w:val="TableParagraph"/>
              <w:spacing w:line="264" w:lineRule="auto" w:before="22"/>
              <w:ind w:left="22"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）公司的审计机构发现当期财务报告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存在重大错报，而公司内部控制运行过</w:t>
            </w:r>
            <w:r>
              <w:rPr>
                <w:rFonts w:ascii="宋体" w:hAnsi="宋体" w:cs="宋体" w:eastAsia="宋体" w:hint="default"/>
                <w:w w:val="100"/>
                <w:sz w:val="21"/>
                <w:szCs w:val="21"/>
              </w:rPr>
              <w:t> </w:t>
            </w:r>
            <w:r>
              <w:rPr>
                <w:rFonts w:ascii="宋体" w:hAnsi="宋体" w:cs="宋体" w:eastAsia="宋体" w:hint="default"/>
                <w:sz w:val="21"/>
                <w:szCs w:val="21"/>
              </w:rPr>
              <w:t>程中未能发现；</w:t>
            </w:r>
          </w:p>
          <w:p>
            <w:pPr>
              <w:pStyle w:val="TableParagraph"/>
              <w:spacing w:line="256" w:lineRule="auto" w:before="16"/>
              <w:ind w:left="22"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）公司审计委员会以及内部审计部门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对内部控制监督无效；</w:t>
            </w:r>
          </w:p>
          <w:p>
            <w:pPr>
              <w:pStyle w:val="TableParagraph"/>
              <w:spacing w:line="266" w:lineRule="auto" w:before="22"/>
              <w:ind w:left="22" w:right="11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）董事、监事或高级管理层中出现重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大舞弊行为；</w:t>
            </w:r>
            <w:r>
              <w:rPr>
                <w:rFonts w:ascii="宋体" w:hAnsi="宋体" w:cs="宋体" w:eastAsia="宋体" w:hint="default"/>
                <w:w w:val="100"/>
                <w:sz w:val="21"/>
                <w:szCs w:val="21"/>
              </w:rPr>
              <w:t> </w:t>
            </w:r>
            <w:r>
              <w:rPr>
                <w:rFonts w:ascii="宋体" w:hAnsi="宋体" w:cs="宋体" w:eastAsia="宋体" w:hint="default"/>
                <w:sz w:val="21"/>
                <w:szCs w:val="21"/>
              </w:rPr>
              <w:t>财务报告重要缺陷的迹象包括</w:t>
            </w:r>
            <w:r>
              <w:rPr>
                <w:rFonts w:ascii="Times New Roman" w:hAnsi="Times New Roman" w:cs="Times New Roman" w:eastAsia="Times New Roman" w:hint="default"/>
                <w:sz w:val="21"/>
                <w:szCs w:val="21"/>
              </w:rPr>
              <w:t>:</w:t>
            </w:r>
          </w:p>
          <w:p>
            <w:pPr>
              <w:pStyle w:val="TableParagraph"/>
              <w:spacing w:line="256" w:lineRule="auto"/>
              <w:ind w:left="22"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）未依照公认会计准则选择和应用会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计政策；</w:t>
            </w:r>
          </w:p>
          <w:p>
            <w:pPr>
              <w:pStyle w:val="TableParagraph"/>
              <w:spacing w:line="264" w:lineRule="auto" w:before="22"/>
              <w:ind w:left="22" w:right="10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）对于非常规或特殊交易的账务处理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没有建立相应的控制机制或没有实施且</w:t>
            </w:r>
            <w:r>
              <w:rPr>
                <w:rFonts w:ascii="宋体" w:hAnsi="宋体" w:cs="宋体" w:eastAsia="宋体" w:hint="default"/>
                <w:w w:val="100"/>
                <w:sz w:val="21"/>
                <w:szCs w:val="21"/>
              </w:rPr>
              <w:t> </w:t>
            </w:r>
            <w:r>
              <w:rPr>
                <w:rFonts w:ascii="宋体" w:hAnsi="宋体" w:cs="宋体" w:eastAsia="宋体" w:hint="default"/>
                <w:sz w:val="21"/>
                <w:szCs w:val="21"/>
              </w:rPr>
              <w:t>没有相应的补偿性控制；</w:t>
            </w:r>
          </w:p>
          <w:p>
            <w:pPr>
              <w:pStyle w:val="TableParagraph"/>
              <w:spacing w:line="266" w:lineRule="auto" w:before="16"/>
              <w:ind w:left="22" w:right="11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）对于期末财务报告过程的控制存在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一项或多项缺陷且不能合理保证编制的</w:t>
            </w:r>
            <w:r>
              <w:rPr>
                <w:rFonts w:ascii="宋体" w:hAnsi="宋体" w:cs="宋体" w:eastAsia="宋体" w:hint="default"/>
                <w:w w:val="100"/>
                <w:sz w:val="21"/>
                <w:szCs w:val="21"/>
              </w:rPr>
              <w:t> </w:t>
            </w:r>
            <w:r>
              <w:rPr>
                <w:rFonts w:ascii="宋体" w:hAnsi="宋体" w:cs="宋体" w:eastAsia="宋体" w:hint="default"/>
                <w:sz w:val="21"/>
                <w:szCs w:val="21"/>
              </w:rPr>
              <w:t>财务报表达到真实、完整的目标。</w:t>
            </w:r>
            <w:r>
              <w:rPr>
                <w:rFonts w:ascii="宋体" w:hAnsi="宋体" w:cs="宋体" w:eastAsia="宋体" w:hint="default"/>
                <w:w w:val="100"/>
                <w:sz w:val="21"/>
                <w:szCs w:val="21"/>
              </w:rPr>
              <w:t> </w:t>
            </w:r>
            <w:r>
              <w:rPr>
                <w:rFonts w:ascii="宋体" w:hAnsi="宋体" w:cs="宋体" w:eastAsia="宋体" w:hint="default"/>
                <w:sz w:val="21"/>
                <w:szCs w:val="21"/>
              </w:rPr>
              <w:t>一般缺陷：</w:t>
            </w:r>
          </w:p>
        </w:tc>
        <w:tc>
          <w:tcPr>
            <w:tcW w:w="4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 w:right="0"/>
              <w:jc w:val="left"/>
              <w:rPr>
                <w:rFonts w:ascii="宋体" w:hAnsi="宋体" w:cs="宋体" w:eastAsia="宋体" w:hint="default"/>
                <w:sz w:val="21"/>
                <w:szCs w:val="21"/>
              </w:rPr>
            </w:pPr>
            <w:r>
              <w:rPr>
                <w:rFonts w:ascii="宋体" w:hAnsi="宋体" w:cs="宋体" w:eastAsia="宋体" w:hint="default"/>
                <w:sz w:val="21"/>
                <w:szCs w:val="21"/>
              </w:rPr>
              <w:t>出现以下情形的，可认定为重大缺陷：</w:t>
            </w:r>
          </w:p>
          <w:p>
            <w:pPr>
              <w:pStyle w:val="TableParagraph"/>
              <w:spacing w:line="264" w:lineRule="auto" w:before="37"/>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）公司重大事项决策违反国家有关法律法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规，决策程序缺乏集体民主决策程序，或集</w:t>
            </w:r>
            <w:r>
              <w:rPr>
                <w:rFonts w:ascii="宋体" w:hAnsi="宋体" w:cs="宋体" w:eastAsia="宋体" w:hint="default"/>
                <w:w w:val="100"/>
                <w:sz w:val="21"/>
                <w:szCs w:val="21"/>
              </w:rPr>
              <w:t> </w:t>
            </w:r>
            <w:r>
              <w:rPr>
                <w:rFonts w:ascii="宋体" w:hAnsi="宋体" w:cs="宋体" w:eastAsia="宋体" w:hint="default"/>
                <w:sz w:val="21"/>
                <w:szCs w:val="21"/>
              </w:rPr>
              <w:t>体民主决策程序不规范；</w:t>
            </w:r>
          </w:p>
          <w:p>
            <w:pPr>
              <w:pStyle w:val="TableParagraph"/>
              <w:spacing w:line="256" w:lineRule="auto" w:before="16"/>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）公司决策程序不科学，或决策出现重大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失误；</w:t>
            </w:r>
          </w:p>
          <w:p>
            <w:pPr>
              <w:pStyle w:val="TableParagraph"/>
              <w:spacing w:line="256" w:lineRule="auto" w:before="22"/>
              <w:ind w:left="29" w:right="25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）公司经营或决策严重违反国家法律法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规；</w:t>
            </w:r>
          </w:p>
          <w:p>
            <w:pPr>
              <w:pStyle w:val="TableParagraph"/>
              <w:spacing w:line="259" w:lineRule="auto" w:before="22"/>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）公司出现重大环境污染或其他严重影响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社会公共利益的事件；</w:t>
            </w:r>
          </w:p>
          <w:p>
            <w:pPr>
              <w:pStyle w:val="TableParagraph"/>
              <w:spacing w:line="264" w:lineRule="auto" w:before="20"/>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）缺乏重要的业务管理制度或制度运行系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统性失效，持续经营受到挑战，且缺乏有效</w:t>
            </w:r>
            <w:r>
              <w:rPr>
                <w:rFonts w:ascii="宋体" w:hAnsi="宋体" w:cs="宋体" w:eastAsia="宋体" w:hint="default"/>
                <w:w w:val="100"/>
                <w:sz w:val="21"/>
                <w:szCs w:val="21"/>
              </w:rPr>
              <w:t> </w:t>
            </w:r>
            <w:r>
              <w:rPr>
                <w:rFonts w:ascii="宋体" w:hAnsi="宋体" w:cs="宋体" w:eastAsia="宋体" w:hint="default"/>
                <w:sz w:val="21"/>
                <w:szCs w:val="21"/>
              </w:rPr>
              <w:t>的补偿机制；</w:t>
            </w:r>
          </w:p>
          <w:p>
            <w:pPr>
              <w:pStyle w:val="TableParagraph"/>
              <w:spacing w:line="256" w:lineRule="auto" w:before="16"/>
              <w:ind w:left="29" w:right="25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）公司的重大或重要内控缺陷未得到整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改；</w:t>
            </w:r>
          </w:p>
          <w:p>
            <w:pPr>
              <w:pStyle w:val="TableParagraph"/>
              <w:spacing w:line="240" w:lineRule="auto" w:before="22"/>
              <w:ind w:left="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）公司持续或大量出现重要内控缺陷；</w:t>
            </w:r>
          </w:p>
          <w:p>
            <w:pPr>
              <w:pStyle w:val="TableParagraph"/>
              <w:spacing w:line="256" w:lineRule="auto" w:before="21"/>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）中高级管理人员和高级技术人员流失严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重；</w:t>
            </w:r>
          </w:p>
          <w:p>
            <w:pPr>
              <w:pStyle w:val="TableParagraph"/>
              <w:spacing w:line="256" w:lineRule="auto" w:before="22"/>
              <w:ind w:left="29"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）其他可能导致公司严重偏离控制目标的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情况。</w:t>
            </w:r>
          </w:p>
        </w:tc>
      </w:tr>
    </w:tbl>
    <w:p>
      <w:pPr>
        <w:spacing w:after="0" w:line="256" w:lineRule="auto"/>
        <w:jc w:val="left"/>
        <w:rPr>
          <w:rFonts w:ascii="宋体" w:hAnsi="宋体" w:cs="宋体" w:eastAsia="宋体" w:hint="default"/>
          <w:sz w:val="21"/>
          <w:szCs w:val="21"/>
        </w:rPr>
        <w:sectPr>
          <w:pgSz w:w="11910" w:h="16840"/>
          <w:pgMar w:header="877" w:footer="1085" w:top="1220" w:bottom="1280" w:left="1140" w:right="900"/>
        </w:sectPr>
      </w:pP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166" w:type="dxa"/>
        <w:tblLayout w:type="fixed"/>
        <w:tblCellMar>
          <w:top w:w="0" w:type="dxa"/>
          <w:left w:w="0" w:type="dxa"/>
          <w:bottom w:w="0" w:type="dxa"/>
          <w:right w:w="0" w:type="dxa"/>
        </w:tblCellMar>
        <w:tblLook w:val="01E0"/>
      </w:tblPr>
      <w:tblGrid>
        <w:gridCol w:w="1559"/>
        <w:gridCol w:w="3828"/>
        <w:gridCol w:w="4182"/>
      </w:tblGrid>
      <w:tr>
        <w:trPr>
          <w:trHeight w:val="344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219"/>
              <w:jc w:val="left"/>
              <w:rPr>
                <w:rFonts w:ascii="宋体" w:hAnsi="宋体" w:cs="宋体" w:eastAsia="宋体" w:hint="default"/>
                <w:sz w:val="21"/>
                <w:szCs w:val="21"/>
              </w:rPr>
            </w:pPr>
            <w:r>
              <w:rPr>
                <w:rFonts w:ascii="宋体" w:hAnsi="宋体" w:cs="宋体" w:eastAsia="宋体" w:hint="default"/>
                <w:spacing w:val="-2"/>
                <w:sz w:val="21"/>
                <w:szCs w:val="21"/>
              </w:rPr>
              <w:t>是指除上述重大缺陷、重要缺陷之外的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其他控制缺陷。</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出现以下情形，可以认定为重要缺陷：</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）重要制度或流程指引的缺失；</w:t>
            </w:r>
          </w:p>
          <w:p>
            <w:pPr>
              <w:pStyle w:val="TableParagraph"/>
              <w:spacing w:line="266" w:lineRule="auto" w:before="21"/>
              <w:ind w:left="23" w:right="4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）违反法律、法规、规章、政府政策、其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他规范性文件等，导致地方政府或监管机构</w:t>
            </w:r>
            <w:r>
              <w:rPr>
                <w:rFonts w:ascii="宋体" w:hAnsi="宋体" w:cs="宋体" w:eastAsia="宋体" w:hint="default"/>
                <w:w w:val="100"/>
                <w:sz w:val="21"/>
                <w:szCs w:val="21"/>
              </w:rPr>
              <w:t> </w:t>
            </w:r>
            <w:r>
              <w:rPr>
                <w:rFonts w:ascii="宋体" w:hAnsi="宋体" w:cs="宋体" w:eastAsia="宋体" w:hint="default"/>
                <w:sz w:val="21"/>
                <w:szCs w:val="21"/>
              </w:rPr>
              <w:t>的调查，并被处以罚款或罚金，同时被责令</w:t>
            </w:r>
            <w:r>
              <w:rPr>
                <w:rFonts w:ascii="宋体" w:hAnsi="宋体" w:cs="宋体" w:eastAsia="宋体" w:hint="default"/>
                <w:spacing w:val="-3"/>
                <w:w w:val="100"/>
                <w:sz w:val="21"/>
                <w:szCs w:val="21"/>
              </w:rPr>
              <w:t> </w:t>
            </w:r>
            <w:r>
              <w:rPr>
                <w:rFonts w:ascii="宋体" w:hAnsi="宋体" w:cs="宋体" w:eastAsia="宋体" w:hint="default"/>
                <w:sz w:val="21"/>
                <w:szCs w:val="21"/>
              </w:rPr>
              <w:t>停业整顿等；</w:t>
            </w:r>
          </w:p>
          <w:p>
            <w:pPr>
              <w:pStyle w:val="TableParagraph"/>
              <w:spacing w:line="256" w:lineRule="auto" w:before="14"/>
              <w:ind w:left="23" w:right="57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）内部控制重要缺陷未得到整改。</w:t>
            </w:r>
            <w:r>
              <w:rPr>
                <w:rFonts w:ascii="宋体" w:hAnsi="宋体" w:cs="宋体" w:eastAsia="宋体" w:hint="default"/>
                <w:w w:val="100"/>
                <w:sz w:val="21"/>
                <w:szCs w:val="21"/>
              </w:rPr>
              <w:t> </w:t>
            </w:r>
            <w:r>
              <w:rPr>
                <w:rFonts w:ascii="宋体" w:hAnsi="宋体" w:cs="宋体" w:eastAsia="宋体" w:hint="default"/>
                <w:spacing w:val="-2"/>
                <w:sz w:val="21"/>
                <w:szCs w:val="21"/>
              </w:rPr>
              <w:t>出现以下情形，可以认定为一般缺陷：</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）公司一般业务制度或系统存在缺陷；</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）公司一般缺陷未得到整改；</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）公司存在其他缺陷。</w:t>
            </w:r>
          </w:p>
        </w:tc>
      </w:tr>
      <w:tr>
        <w:trPr>
          <w:trHeight w:val="63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3" w:right="35" w:hanging="106"/>
              <w:jc w:val="left"/>
              <w:rPr>
                <w:rFonts w:ascii="宋体" w:hAnsi="宋体" w:cs="宋体" w:eastAsia="宋体" w:hint="default"/>
                <w:sz w:val="21"/>
                <w:szCs w:val="21"/>
              </w:rPr>
            </w:pPr>
            <w:r>
              <w:rPr>
                <w:rFonts w:ascii="宋体" w:hAnsi="宋体" w:cs="宋体" w:eastAsia="宋体" w:hint="default"/>
                <w:sz w:val="21"/>
                <w:szCs w:val="21"/>
              </w:rPr>
              <w:t>财务报告重大缺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陷数量（个）</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5"/>
              <w:jc w:val="left"/>
              <w:rPr>
                <w:rFonts w:ascii="宋体" w:hAnsi="宋体" w:cs="宋体" w:eastAsia="宋体" w:hint="default"/>
                <w:sz w:val="21"/>
                <w:szCs w:val="21"/>
              </w:rPr>
            </w:pPr>
            <w:r>
              <w:rPr>
                <w:rFonts w:ascii="宋体" w:hAnsi="宋体" w:cs="宋体" w:eastAsia="宋体" w:hint="default"/>
                <w:sz w:val="21"/>
                <w:szCs w:val="21"/>
              </w:rPr>
              <w:t>非财务报告重大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缺陷数量（个）</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r>
      <w:tr>
        <w:trPr>
          <w:trHeight w:val="63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3" w:right="35" w:hanging="106"/>
              <w:jc w:val="left"/>
              <w:rPr>
                <w:rFonts w:ascii="宋体" w:hAnsi="宋体" w:cs="宋体" w:eastAsia="宋体" w:hint="default"/>
                <w:sz w:val="21"/>
                <w:szCs w:val="21"/>
              </w:rPr>
            </w:pPr>
            <w:r>
              <w:rPr>
                <w:rFonts w:ascii="宋体" w:hAnsi="宋体" w:cs="宋体" w:eastAsia="宋体" w:hint="default"/>
                <w:sz w:val="21"/>
                <w:szCs w:val="21"/>
              </w:rPr>
              <w:t>财务报告重要缺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陷数量（个）</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r>
      <w:tr>
        <w:trPr>
          <w:trHeight w:val="634"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5"/>
              <w:jc w:val="left"/>
              <w:rPr>
                <w:rFonts w:ascii="宋体" w:hAnsi="宋体" w:cs="宋体" w:eastAsia="宋体" w:hint="default"/>
                <w:sz w:val="21"/>
                <w:szCs w:val="21"/>
              </w:rPr>
            </w:pPr>
            <w:r>
              <w:rPr>
                <w:rFonts w:ascii="宋体" w:hAnsi="宋体" w:cs="宋体" w:eastAsia="宋体" w:hint="default"/>
                <w:sz w:val="21"/>
                <w:szCs w:val="21"/>
              </w:rPr>
              <w:t>非财务报告重要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缺陷数量（个）</w:t>
            </w:r>
          </w:p>
        </w:tc>
        <w:tc>
          <w:tcPr>
            <w:tcW w:w="8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137" w:right="346"/>
        <w:jc w:val="left"/>
        <w:rPr>
          <w:b w:val="0"/>
          <w:bCs w:val="0"/>
        </w:rPr>
      </w:pPr>
      <w:bookmarkStart w:name="_bookmark67" w:id="68"/>
      <w:bookmarkEnd w:id="68"/>
      <w:r>
        <w:rPr>
          <w:b w:val="0"/>
          <w:bCs w:val="0"/>
        </w:rPr>
      </w:r>
      <w:r>
        <w:rPr/>
        <w:t>十、内部控制审计报告或鉴证报告</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617" w:right="346"/>
        <w:jc w:val="left"/>
      </w:pPr>
      <w:r>
        <w:rPr/>
        <w:t>内部控制鉴证报告</w:t>
      </w:r>
    </w:p>
    <w:p>
      <w:pPr>
        <w:spacing w:line="240" w:lineRule="auto" w:before="10"/>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86"/>
        <w:gridCol w:w="6483"/>
      </w:tblGrid>
      <w:tr>
        <w:trPr>
          <w:trHeight w:val="32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内部控制鉴证报告中的审议意见段</w:t>
            </w:r>
          </w:p>
        </w:tc>
      </w:tr>
      <w:tr>
        <w:trPr>
          <w:trHeight w:val="63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782" w:right="51" w:hanging="2735"/>
              <w:jc w:val="left"/>
              <w:rPr>
                <w:rFonts w:ascii="宋体" w:hAnsi="宋体" w:cs="宋体" w:eastAsia="宋体" w:hint="default"/>
                <w:sz w:val="21"/>
                <w:szCs w:val="21"/>
              </w:rPr>
            </w:pPr>
            <w:r>
              <w:rPr>
                <w:rFonts w:ascii="宋体" w:hAnsi="宋体" w:cs="宋体" w:eastAsia="宋体" w:hint="default"/>
                <w:sz w:val="21"/>
                <w:szCs w:val="21"/>
              </w:rPr>
              <w:t>我们认为，超图软件公司于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日在所有重大方面有效地保持了按照《企业内部控制基本</w:t>
            </w:r>
            <w:r>
              <w:rPr>
                <w:rFonts w:ascii="宋体" w:hAnsi="宋体" w:cs="宋体" w:eastAsia="宋体" w:hint="default"/>
                <w:w w:val="100"/>
                <w:sz w:val="21"/>
                <w:szCs w:val="21"/>
              </w:rPr>
              <w:t> </w:t>
            </w:r>
            <w:r>
              <w:rPr>
                <w:rFonts w:ascii="宋体" w:hAnsi="宋体" w:cs="宋体" w:eastAsia="宋体" w:hint="default"/>
                <w:sz w:val="21"/>
                <w:szCs w:val="21"/>
              </w:rPr>
              <w:t>规范》建立的与财务报表相关的内部控制。</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内部鉴证报告披露情况</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披露</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内部控制鉴证报告全文披露日期</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2016-03-22</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内部控制鉴证报告全文披露索引</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324"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内控鉴证报告意见类型</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标准无保留意见</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非财务报告是否存在重大缺陷</w:t>
            </w:r>
          </w:p>
        </w:tc>
        <w:tc>
          <w:tcPr>
            <w:tcW w:w="6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0" w:lineRule="auto" w:before="39"/>
        <w:ind w:left="617" w:right="346"/>
        <w:jc w:val="left"/>
      </w:pPr>
      <w:r>
        <w:rPr/>
        <w:t>会计师事务所是否出具非标准意见的内部控制鉴证报告</w:t>
      </w:r>
    </w:p>
    <w:p>
      <w:pPr>
        <w:pStyle w:val="BodyText"/>
        <w:spacing w:line="326" w:lineRule="auto" w:before="154"/>
        <w:ind w:left="617" w:right="1069"/>
        <w:jc w:val="left"/>
      </w:pPr>
      <w:r>
        <w:rPr>
          <w:rFonts w:ascii="Calibri" w:hAnsi="Calibri" w:cs="Calibri" w:eastAsia="Calibri" w:hint="default"/>
        </w:rPr>
        <w:t>□ </w:t>
      </w:r>
      <w:r>
        <w:rPr/>
        <w:t>是 </w:t>
      </w:r>
      <w:r>
        <w:rPr>
          <w:rFonts w:ascii="Calibri" w:hAnsi="Calibri" w:cs="Calibri" w:eastAsia="Calibri" w:hint="default"/>
        </w:rPr>
        <w:t>√</w:t>
      </w:r>
      <w:r>
        <w:rPr>
          <w:rFonts w:ascii="Calibri" w:hAnsi="Calibri" w:cs="Calibri" w:eastAsia="Calibri" w:hint="default"/>
          <w:spacing w:val="21"/>
        </w:rPr>
        <w:t> </w:t>
      </w:r>
      <w:r>
        <w:rPr/>
        <w:t>否</w:t>
      </w:r>
      <w:r>
        <w:rPr>
          <w:w w:val="99"/>
        </w:rPr>
        <w:t> </w:t>
      </w:r>
      <w:r>
        <w:rPr/>
        <w:t>会计师事务所出具的内部控制鉴证报告与董事会的自我评价报告意见是否一致</w:t>
      </w:r>
    </w:p>
    <w:p>
      <w:pPr>
        <w:pStyle w:val="BodyText"/>
        <w:spacing w:line="240" w:lineRule="auto" w:before="67"/>
        <w:ind w:left="617" w:right="346"/>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19"/>
        </w:rPr>
        <w:t> </w:t>
      </w:r>
      <w:r>
        <w:rPr/>
        <w:t>否</w:t>
      </w:r>
    </w:p>
    <w:p>
      <w:pPr>
        <w:spacing w:after="0" w:line="240" w:lineRule="auto"/>
        <w:jc w:val="left"/>
        <w:sectPr>
          <w:pgSz w:w="11910" w:h="16840"/>
          <w:pgMar w:header="877" w:footer="1085" w:top="1220" w:bottom="1280" w:left="1140" w:right="900"/>
        </w:sectPr>
      </w:pPr>
    </w:p>
    <w:p>
      <w:pPr>
        <w:spacing w:line="240" w:lineRule="auto" w:before="1"/>
        <w:rPr>
          <w:rFonts w:ascii="宋体" w:hAnsi="宋体" w:cs="宋体" w:eastAsia="宋体" w:hint="default"/>
          <w:sz w:val="11"/>
          <w:szCs w:val="11"/>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tabs>
          <w:tab w:pos="1259" w:val="left" w:leader="none"/>
        </w:tabs>
        <w:spacing w:line="456" w:lineRule="exact"/>
        <w:ind w:right="6"/>
        <w:jc w:val="center"/>
        <w:rPr>
          <w:b w:val="0"/>
          <w:bCs w:val="0"/>
        </w:rPr>
      </w:pPr>
      <w:bookmarkStart w:name="_bookmark68" w:id="69"/>
      <w:bookmarkEnd w:id="69"/>
      <w:r>
        <w:rPr>
          <w:b w:val="0"/>
          <w:bCs w:val="0"/>
        </w:rPr>
      </w:r>
      <w:r>
        <w:rPr>
          <w:spacing w:val="4"/>
          <w:w w:val="95"/>
        </w:rPr>
        <w:t>第十节</w:t>
        <w:tab/>
      </w:r>
      <w:r>
        <w:rPr>
          <w:spacing w:val="4"/>
        </w:rPr>
        <w:t>财务报告</w:t>
      </w:r>
      <w:r>
        <w:rPr>
          <w:b w:val="0"/>
          <w:bCs w:val="0"/>
          <w:spacing w:val="4"/>
        </w:rPr>
      </w:r>
    </w:p>
    <w:p>
      <w:pPr>
        <w:spacing w:line="240" w:lineRule="auto" w:before="7"/>
        <w:rPr>
          <w:rFonts w:ascii="Microsoft JhengHei" w:hAnsi="Microsoft JhengHei" w:cs="Microsoft JhengHei" w:eastAsia="Microsoft JhengHei" w:hint="default"/>
          <w:b/>
          <w:bCs/>
          <w:sz w:val="26"/>
          <w:szCs w:val="26"/>
        </w:rPr>
      </w:pPr>
    </w:p>
    <w:p>
      <w:pPr>
        <w:pStyle w:val="Heading2"/>
        <w:spacing w:line="367" w:lineRule="exact"/>
        <w:ind w:left="635" w:right="173"/>
        <w:jc w:val="left"/>
        <w:rPr>
          <w:b w:val="0"/>
          <w:bCs w:val="0"/>
        </w:rPr>
      </w:pPr>
      <w:bookmarkStart w:name="_bookmark69" w:id="70"/>
      <w:bookmarkEnd w:id="70"/>
      <w:r>
        <w:rPr>
          <w:b w:val="0"/>
          <w:bCs w:val="0"/>
        </w:rPr>
      </w:r>
      <w:r>
        <w:rPr/>
        <w:t>一、审计报告</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7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03</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18</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47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致同审字</w:t>
            </w:r>
            <w:r>
              <w:rPr>
                <w:rFonts w:ascii="Calibri" w:hAnsi="Calibri" w:cs="Calibri" w:eastAsia="Calibri" w:hint="default"/>
                <w:sz w:val="21"/>
                <w:szCs w:val="21"/>
              </w:rPr>
              <w:t>(2016)</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Calibri" w:hAnsi="Calibri" w:cs="Calibri" w:eastAsia="Calibri" w:hint="default"/>
                <w:sz w:val="21"/>
                <w:szCs w:val="21"/>
              </w:rPr>
              <w:t>110ZA2790</w:t>
            </w:r>
            <w:r>
              <w:rPr>
                <w:rFonts w:ascii="Calibri" w:hAnsi="Calibri" w:cs="Calibri" w:eastAsia="Calibri" w:hint="default"/>
                <w:spacing w:val="2"/>
                <w:sz w:val="21"/>
                <w:szCs w:val="21"/>
              </w:rPr>
              <w:t> </w:t>
            </w:r>
            <w:r>
              <w:rPr>
                <w:rFonts w:ascii="宋体" w:hAnsi="宋体" w:cs="宋体" w:eastAsia="宋体" w:hint="default"/>
                <w:sz w:val="21"/>
                <w:szCs w:val="21"/>
              </w:rPr>
              <w:t>号</w:t>
            </w:r>
          </w:p>
        </w:tc>
      </w:tr>
      <w:tr>
        <w:trPr>
          <w:trHeight w:val="47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王涛、</w:t>
            </w:r>
            <w:r>
              <w:rPr>
                <w:rFonts w:ascii="宋体" w:hAnsi="宋体" w:cs="宋体" w:eastAsia="宋体" w:hint="default"/>
                <w:spacing w:val="4"/>
                <w:sz w:val="21"/>
                <w:szCs w:val="21"/>
              </w:rPr>
              <w:t> </w:t>
            </w:r>
            <w:r>
              <w:rPr>
                <w:rFonts w:ascii="宋体" w:hAnsi="宋体" w:cs="宋体" w:eastAsia="宋体" w:hint="default"/>
                <w:spacing w:val="-3"/>
                <w:sz w:val="21"/>
                <w:szCs w:val="21"/>
              </w:rPr>
              <w:t>赵明</w:t>
            </w:r>
            <w:r>
              <w:rPr>
                <w:rFonts w:ascii="宋体" w:hAnsi="宋体" w:cs="宋体" w:eastAsia="宋体" w:hint="default"/>
                <w:sz w:val="21"/>
                <w:szCs w:val="21"/>
              </w:rPr>
            </w:r>
          </w:p>
        </w:tc>
      </w:tr>
    </w:tbl>
    <w:p>
      <w:pPr>
        <w:spacing w:line="380" w:lineRule="exact" w:before="0"/>
        <w:ind w:left="635" w:right="17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审计报告正文</w:t>
      </w:r>
      <w:r>
        <w:rPr>
          <w:rFonts w:ascii="Microsoft JhengHei" w:hAnsi="Microsoft JhengHei" w:cs="Microsoft JhengHei" w:eastAsia="Microsoft JhengHei" w:hint="default"/>
          <w:sz w:val="24"/>
          <w:szCs w:val="24"/>
        </w:rPr>
      </w:r>
    </w:p>
    <w:p>
      <w:pPr>
        <w:spacing w:line="312" w:lineRule="auto" w:before="50"/>
        <w:ind w:left="633" w:right="173"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北京超图软件股份有限公司全体股东：</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我们审计了后附的北京超图软件股份有限公司（以下简称超图软件公司）财务报表，包</w:t>
      </w:r>
    </w:p>
    <w:p>
      <w:pPr>
        <w:pStyle w:val="BodyText"/>
        <w:spacing w:line="326" w:lineRule="auto" w:before="82"/>
        <w:ind w:left="153" w:right="153"/>
        <w:jc w:val="left"/>
      </w:pPr>
      <w:r>
        <w:rPr/>
        <w:t>括</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日的合并及公司资产负债表，</w:t>
      </w:r>
      <w:r>
        <w:rPr>
          <w:rFonts w:ascii="Calibri" w:hAnsi="Calibri" w:cs="Calibri" w:eastAsia="Calibri" w:hint="default"/>
        </w:rPr>
        <w:t>2015</w:t>
      </w:r>
      <w:r>
        <w:rPr/>
        <w:t>年度的合并及公司利润表、合并及公司现 金流量表、合并及公司股东权益变动表以及财务报表附注。</w:t>
      </w:r>
    </w:p>
    <w:p>
      <w:pPr>
        <w:spacing w:line="312" w:lineRule="auto" w:before="0"/>
        <w:ind w:left="633" w:right="291"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编制和公允列报财务报表是超图软件公司管理层的责任，这种责任包括：（</w:t>
      </w:r>
      <w:r>
        <w:rPr>
          <w:rFonts w:ascii="Calibri" w:hAnsi="Calibri" w:cs="Calibri" w:eastAsia="Calibri" w:hint="default"/>
          <w:sz w:val="24"/>
          <w:szCs w:val="24"/>
        </w:rPr>
        <w:t>1</w:t>
      </w:r>
      <w:r>
        <w:rPr>
          <w:rFonts w:ascii="宋体" w:hAnsi="宋体" w:cs="宋体" w:eastAsia="宋体" w:hint="default"/>
          <w:sz w:val="24"/>
          <w:szCs w:val="24"/>
        </w:rPr>
        <w:t>）按照企</w:t>
      </w:r>
    </w:p>
    <w:p>
      <w:pPr>
        <w:pStyle w:val="BodyText"/>
        <w:spacing w:line="326" w:lineRule="auto" w:before="35"/>
        <w:ind w:left="153" w:right="291"/>
        <w:jc w:val="left"/>
      </w:pPr>
      <w:r>
        <w:rPr/>
        <w:t>业会计准则的规定编制财务报表，并使其实现公允反映；（</w:t>
      </w:r>
      <w:r>
        <w:rPr>
          <w:rFonts w:ascii="Calibri" w:hAnsi="Calibri" w:cs="Calibri" w:eastAsia="Calibri" w:hint="default"/>
        </w:rPr>
        <w:t>2</w:t>
      </w:r>
      <w:r>
        <w:rPr/>
        <w:t>）设计、执行和维护必要的内 部控制，以使财务报表不存在由于舞弊或错误导致的重大错报。</w:t>
      </w:r>
    </w:p>
    <w:p>
      <w:pPr>
        <w:spacing w:line="312" w:lineRule="auto" w:before="0"/>
        <w:ind w:left="633" w:right="173"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7" w:lineRule="auto" w:before="82"/>
        <w:ind w:left="153" w:right="173"/>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before="37"/>
        <w:ind w:left="153" w:right="173" w:firstLine="480"/>
        <w:jc w:val="left"/>
      </w:pPr>
      <w:r>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计恰当的审计程序，但目的并非对内部控制的有效性发表意见。审计工作还包括评价管理层 选用会计政策的恰当性和作出会计估计的合理性，以及评价财务报表的总体列报。</w:t>
      </w:r>
    </w:p>
    <w:p>
      <w:pPr>
        <w:pStyle w:val="BodyText"/>
        <w:spacing w:line="304" w:lineRule="auto"/>
        <w:ind w:left="633" w:right="173"/>
        <w:jc w:val="left"/>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我们认为，超图软件公司财务报表在所有重大方面按照企业会计准则的规定编制，公允</w:t>
      </w:r>
    </w:p>
    <w:p>
      <w:pPr>
        <w:spacing w:after="0" w:line="304" w:lineRule="auto"/>
        <w:jc w:val="left"/>
        <w:sectPr>
          <w:headerReference w:type="default" r:id="rId36"/>
          <w:pgSz w:w="11910" w:h="16840"/>
          <w:pgMar w:header="877" w:footer="1085" w:top="1060" w:bottom="1280" w:left="980" w:right="980"/>
        </w:sectPr>
      </w:pPr>
    </w:p>
    <w:p>
      <w:pPr>
        <w:spacing w:line="240" w:lineRule="auto" w:before="8"/>
        <w:rPr>
          <w:rFonts w:ascii="宋体" w:hAnsi="宋体" w:cs="宋体" w:eastAsia="宋体" w:hint="default"/>
          <w:sz w:val="16"/>
          <w:szCs w:val="16"/>
        </w:rPr>
      </w:pPr>
    </w:p>
    <w:p>
      <w:pPr>
        <w:pStyle w:val="BodyText"/>
        <w:spacing w:line="326" w:lineRule="auto" w:before="26"/>
        <w:ind w:left="153" w:right="153"/>
        <w:jc w:val="left"/>
      </w:pPr>
      <w:r>
        <w:rPr/>
        <w:t>反映了超图软件公司</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日的合并及公司财务状况以及</w:t>
      </w:r>
      <w:r>
        <w:rPr>
          <w:rFonts w:ascii="Calibri" w:hAnsi="Calibri" w:cs="Calibri" w:eastAsia="Calibri" w:hint="default"/>
        </w:rPr>
        <w:t>2015</w:t>
      </w:r>
      <w:r>
        <w:rPr/>
        <w:t>年度的合并及公司经营 成果和合并及公司现金流量。</w:t>
      </w:r>
    </w:p>
    <w:p>
      <w:pPr>
        <w:spacing w:line="307" w:lineRule="auto" w:before="0"/>
        <w:ind w:left="633" w:right="5453" w:firstLine="2"/>
        <w:jc w:val="left"/>
        <w:rPr>
          <w:rFonts w:ascii="Microsoft JhengHei" w:hAnsi="Microsoft JhengHei" w:cs="Microsoft JhengHei" w:eastAsia="Microsoft JhengHei" w:hint="default"/>
          <w:sz w:val="24"/>
          <w:szCs w:val="24"/>
        </w:rPr>
      </w:pPr>
      <w:bookmarkStart w:name="_bookmark70" w:id="71"/>
      <w:bookmarkEnd w:id="71"/>
      <w:r>
        <w:rPr/>
      </w:r>
      <w:r>
        <w:rPr>
          <w:rFonts w:ascii="Microsoft JhengHei" w:hAnsi="Microsoft JhengHei" w:cs="Microsoft JhengHei" w:eastAsia="Microsoft JhengHei" w:hint="default"/>
          <w:b/>
          <w:bCs/>
          <w:sz w:val="24"/>
          <w:szCs w:val="24"/>
        </w:rPr>
        <w:t>二、财务报表 </w:t>
      </w:r>
      <w:r>
        <w:rPr>
          <w:rFonts w:ascii="宋体" w:hAnsi="宋体" w:cs="宋体" w:eastAsia="宋体" w:hint="default"/>
          <w:sz w:val="24"/>
          <w:szCs w:val="24"/>
        </w:rPr>
        <w:t>财务附注中报表的单位为：人民币元 </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、合并资产负债表</w:t>
      </w:r>
      <w:r>
        <w:rPr>
          <w:rFonts w:ascii="Microsoft JhengHei" w:hAnsi="Microsoft JhengHei" w:cs="Microsoft JhengHei" w:eastAsia="Microsoft JhengHei" w:hint="default"/>
          <w:sz w:val="24"/>
          <w:szCs w:val="24"/>
        </w:rPr>
      </w:r>
    </w:p>
    <w:p>
      <w:pPr>
        <w:tabs>
          <w:tab w:pos="8977" w:val="left" w:leader="none"/>
        </w:tabs>
        <w:spacing w:before="62"/>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1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2"/>
                <w:sz w:val="21"/>
              </w:rPr>
              <w:t>373,976,558.12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315,351,540.47</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1,677,500.00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164,785,262.74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139,591,688.69</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6,148,971.76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29,928,557.38</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2,025,024.54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18,838,434.17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14,956,469.16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2,776,773.72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2,500,981.98</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481,674.04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4,502,094.73</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10,000,000.00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105,342.19</w:t>
            </w:r>
          </w:p>
        </w:tc>
      </w:tr>
      <w:tr>
        <w:trPr>
          <w:trHeight w:val="32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580,710,199.09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508,427,787.12</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8,011,313.75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3,010,787.91</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678,112.77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650,951.12</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1,394,528.08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1,347,552.64</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123,479,424.17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90,473,206.66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174,290,035.70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206,484,396.07</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pgSz w:w="11910" w:h="16840"/>
          <w:pgMar w:header="877" w:footer="1085" w:top="1220" w:bottom="1280" w:left="98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47,812,218.58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33,963,111.07</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29,162,593.50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3,868,705.20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62,504,221.18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1,312,138.80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355,941.95</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8,556,614.81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5,140,623.19</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10,842,652.00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456,245,004.49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357,094,124.66</w:t>
            </w:r>
          </w:p>
        </w:tc>
      </w:tr>
      <w:tr>
        <w:trPr>
          <w:trHeight w:val="32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1,036,955,203.58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865,521,911.78</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1"/>
                <w:sz w:val="21"/>
              </w:rPr>
              <w:t>4,823,428.75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1"/>
                <w:sz w:val="21"/>
              </w:rPr>
              <w:t>4,644,965.82</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113,693,422.23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83,858,945.61</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47,816,735.96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39,614,310.26</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23,226,634.82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16,098,396.24</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18,030,991.59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19,447,016.47</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26,974.84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24,884.99</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1,708,322.60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821,321.30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47,581,250.95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25,718,997.76</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18,243,867.63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3,634,928.19</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269,230.76</w:t>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275,151,629.37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194,132,997.40</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1"/>
                <w:sz w:val="21"/>
              </w:rPr>
              <w:t>5,655,934.34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1"/>
                <w:sz w:val="21"/>
              </w:rPr>
              <w:t>6,010,545.19</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8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41,429,637.72</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85" w:top="1220" w:bottom="1280" w:left="98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10,190,763.43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153,029.25</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57,429,364.74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9,393,453.54</w:t>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332,580,994.11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203,526,450.94</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2"/>
                <w:sz w:val="21"/>
              </w:rPr>
              <w:t>195,821,670.00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122,434,680.00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8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267,699,785.03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339,962,376.70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19,070,999.24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12,629,972.16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-7,607,528.80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-8,672,946.51</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28,317,668.58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23,763,352.48</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226,281,467.76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184,340,245.96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691,442,063.33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649,197,736.47</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12,932,146.14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12,797,724.37</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704,374,209.47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661,995,460.84</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1,036,955,203.58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865,521,911.78</w:t>
            </w:r>
          </w:p>
        </w:tc>
      </w:tr>
    </w:tbl>
    <w:p>
      <w:pPr>
        <w:tabs>
          <w:tab w:pos="3513" w:val="left" w:leader="none"/>
          <w:tab w:pos="7085" w:val="left" w:leader="none"/>
        </w:tabs>
        <w:spacing w:before="64"/>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ind w:left="635" w:right="173"/>
        <w:jc w:val="left"/>
        <w:rPr>
          <w:b w:val="0"/>
          <w:bCs w:val="0"/>
        </w:rPr>
      </w:pPr>
      <w:r>
        <w:rPr>
          <w:rFonts w:ascii="Calibri" w:hAnsi="Calibri" w:cs="Calibri" w:eastAsia="Calibri" w:hint="default"/>
        </w:rPr>
        <w:t>2</w:t>
      </w:r>
      <w:r>
        <w:rPr/>
        <w:t>、母公司资产负债表</w:t>
      </w:r>
      <w:r>
        <w:rPr>
          <w:b w:val="0"/>
          <w:bCs w:val="0"/>
        </w:rPr>
      </w:r>
    </w:p>
    <w:p>
      <w:pPr>
        <w:tabs>
          <w:tab w:pos="8977" w:val="left" w:leader="none"/>
        </w:tabs>
        <w:spacing w:before="148"/>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1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2"/>
                <w:sz w:val="21"/>
              </w:rPr>
              <w:t>328,435,061.65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293,609,091.13</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1,677,500.00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147,438,648.75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134,570,697.02</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5,407,768.58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6,391,972.37</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2,025,024.54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22,385,081.87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17,117,652.63</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481,674.04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4,502,094.73</w:t>
            </w:r>
          </w:p>
        </w:tc>
      </w:tr>
    </w:tbl>
    <w:p>
      <w:pPr>
        <w:spacing w:after="0" w:line="240" w:lineRule="auto"/>
        <w:jc w:val="right"/>
        <w:rPr>
          <w:rFonts w:ascii="Calibri" w:hAnsi="Calibri" w:cs="Calibri" w:eastAsia="Calibri" w:hint="default"/>
          <w:sz w:val="21"/>
          <w:szCs w:val="21"/>
        </w:rPr>
        <w:sectPr>
          <w:pgSz w:w="11910" w:h="16840"/>
          <w:pgMar w:header="877" w:footer="1085" w:top="1220" w:bottom="1280" w:left="98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507,850,759.43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457,682,620.40</w:t>
            </w:r>
          </w:p>
        </w:tc>
      </w:tr>
      <w:tr>
        <w:trPr>
          <w:trHeight w:val="31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8,000,000.00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3,000,000.00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121,624,756.08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30,741,404.42</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123,479,424.17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90,473,206.66</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169,705,917.43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205,774,539.72</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37,025,107.58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22,778,058.73</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3,496,447.93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3,868,705.20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352,497.50</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8,080,939.51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5,158,501.92</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10,842,652.00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471,765,090.20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372,637,068.65</w:t>
            </w:r>
          </w:p>
        </w:tc>
      </w:tr>
      <w:tr>
        <w:trPr>
          <w:trHeight w:val="32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979,615,849.63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830,319,689.05</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110,322,489.98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81,999,460.53</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44,300,066.79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38,887,850.80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22,705,555.10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15,536,262.73</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15,280,512.45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18,380,939.82</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1,708,322.60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821,321.30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45,609,515.92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24,869,433.29</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15,000,000.00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988,140.16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269,230.76</w:t>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254,926,462.84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181,752,639.39</w:t>
            </w:r>
          </w:p>
        </w:tc>
      </w:tr>
      <w:tr>
        <w:trPr>
          <w:trHeight w:val="31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8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085" w:top="1220" w:bottom="1280" w:left="980" w:right="980"/>
        </w:sectPr>
      </w:pPr>
    </w:p>
    <w:p>
      <w:pPr>
        <w:spacing w:line="240" w:lineRule="auto" w:before="9"/>
        <w:rPr>
          <w:rFonts w:ascii="Times New Roman" w:hAnsi="Times New Roman" w:cs="Times New Roman" w:eastAsia="Times New Roman" w:hint="default"/>
          <w:sz w:val="17"/>
          <w:szCs w:val="17"/>
        </w:rPr>
      </w:pPr>
    </w:p>
    <w:tbl>
      <w:tblPr>
        <w:tblW w:w="0" w:type="auto"/>
        <w:jc w:val="left"/>
        <w:tblInd w:w="153" w:type="dxa"/>
        <w:tblLayout w:type="fixed"/>
        <w:tblCellMar>
          <w:top w:w="0" w:type="dxa"/>
          <w:left w:w="0" w:type="dxa"/>
          <w:bottom w:w="0" w:type="dxa"/>
          <w:right w:w="0" w:type="dxa"/>
        </w:tblCellMar>
        <w:tblLook w:val="01E0"/>
      </w:tblPr>
      <w:tblGrid>
        <w:gridCol w:w="5521"/>
        <w:gridCol w:w="2113"/>
        <w:gridCol w:w="1997"/>
      </w:tblGrid>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41,429,637.72</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10,132,430.10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51,562,067.82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r>
      <w:tr>
        <w:trPr>
          <w:trHeight w:val="329"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306,488,530.66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185,135,547.74</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2"/>
                <w:sz w:val="21"/>
              </w:rPr>
              <w:t>195,821,670.00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122,434,680.00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86"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267,699,785.03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339,962,376.70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19,070,999.24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12,629,972.16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1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28,317,668.58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23,763,352.48</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200,359,194.60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171,653,704.29</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673,127,318.97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645,184,141.31</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979,615,849.63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830,319,689.05</w:t>
            </w:r>
          </w:p>
        </w:tc>
      </w:tr>
    </w:tbl>
    <w:p>
      <w:pPr>
        <w:tabs>
          <w:tab w:pos="3513" w:val="left" w:leader="none"/>
          <w:tab w:pos="7085" w:val="left" w:leader="none"/>
        </w:tabs>
        <w:spacing w:before="64"/>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ind w:left="635" w:right="173"/>
        <w:jc w:val="left"/>
        <w:rPr>
          <w:b w:val="0"/>
          <w:bCs w:val="0"/>
        </w:rPr>
      </w:pPr>
      <w:r>
        <w:rPr>
          <w:rFonts w:ascii="Calibri" w:hAnsi="Calibri" w:cs="Calibri" w:eastAsia="Calibri" w:hint="default"/>
        </w:rPr>
        <w:t>3</w:t>
      </w:r>
      <w:r>
        <w:rPr/>
        <w:t>、合并利润表</w:t>
      </w:r>
      <w:r>
        <w:rPr>
          <w:b w:val="0"/>
          <w:bCs w:val="0"/>
        </w:rPr>
      </w:r>
    </w:p>
    <w:p>
      <w:pPr>
        <w:tabs>
          <w:tab w:pos="8977" w:val="left" w:leader="none"/>
        </w:tabs>
        <w:spacing w:before="148"/>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5531"/>
        <w:gridCol w:w="2125"/>
        <w:gridCol w:w="1913"/>
      </w:tblGrid>
      <w:tr>
        <w:trPr>
          <w:trHeight w:val="317"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spacing w:val="-2"/>
                <w:sz w:val="21"/>
              </w:rPr>
              <w:t>467,150,995.75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Calibri" w:hAnsi="Calibri" w:cs="Calibri" w:eastAsia="Calibri" w:hint="default"/>
                <w:sz w:val="21"/>
                <w:szCs w:val="21"/>
              </w:rPr>
            </w:pPr>
            <w:r>
              <w:rPr>
                <w:rFonts w:ascii="Calibri"/>
                <w:spacing w:val="-2"/>
                <w:sz w:val="21"/>
              </w:rPr>
              <w:t>361,112,846.67</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467,150,995.75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361,112,846.67</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427,168,714.02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332,577,445.40</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166,091,386.54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121,225,315.37</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1085" w:header="877" w:top="1220" w:bottom="1280" w:left="980" w:right="980"/>
        </w:sectPr>
      </w:pPr>
    </w:p>
    <w:p>
      <w:pPr>
        <w:spacing w:line="240" w:lineRule="auto" w:before="8"/>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5531"/>
        <w:gridCol w:w="2125"/>
        <w:gridCol w:w="1913"/>
      </w:tblGrid>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7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4,191,716.99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3,436,492.86</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85,679,359.54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65,177,642.59</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spacing w:val="-2"/>
                <w:sz w:val="21"/>
              </w:rPr>
              <w:t>169,954,198.60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139,383,557.62</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-3,171,090.47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-3,471,493.51</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4,423,142.82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6,825,930.47</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866"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125,766.08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-637,802.98</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46,975.44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866"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40,108,047.81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27,897,598.29</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23,536,250.32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24,152,514.34</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270.55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7,564.11</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446,612.85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321,953.35</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394,640.10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227,725.04</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63,197,685.28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51,728,159.28</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4,884,474.13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6,008,401.34</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58,313,211.15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45,719,757.94</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58,778,892.50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45,894,440.61</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-465,681.35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-174,682.67</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1,665,520.83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-3,049,692.27</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5"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1"/>
                <w:sz w:val="21"/>
              </w:rPr>
              <w:t>1,065,417.71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-1,472,026.58</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重新计量设定受益计划净负债或净资产的变动</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81" w:firstLine="1051"/>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权益法下在被投资单位不能重分类进损益的其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他综合收益中享有的份额</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1,065,417.71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-1,472,026.58</w:t>
            </w:r>
          </w:p>
        </w:tc>
      </w:tr>
      <w:tr>
        <w:trPr>
          <w:trHeight w:val="635"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81" w:firstLine="1051"/>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权益法下在被投资单位以后将重分类进损益的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其他综合收益中享有的份额</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218,240.00</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可供出售金融资产公允价值变动损益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持有至到期投资重分类为可供出售金融资产损</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现金流量套期损益的有效部分</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1,065,417.71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-1,690,266.58</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600,103.12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-1,577,665.69</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59,978,731.98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42,670,065.67</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59,844,310.21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44,422,414.03</w:t>
            </w:r>
          </w:p>
        </w:tc>
      </w:tr>
      <w:tr>
        <w:trPr>
          <w:trHeight w:val="32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134,421.77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-1,752,348.36</w:t>
            </w:r>
          </w:p>
        </w:tc>
      </w:tr>
      <w:tr>
        <w:trPr>
          <w:trHeight w:val="31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
              <w:jc w:val="right"/>
              <w:rPr>
                <w:rFonts w:ascii="Calibri" w:hAnsi="Calibri" w:cs="Calibri" w:eastAsia="Calibri" w:hint="default"/>
                <w:sz w:val="21"/>
                <w:szCs w:val="21"/>
              </w:rPr>
            </w:pPr>
            <w:r>
              <w:rPr>
                <w:rFonts w:ascii="Calibri"/>
                <w:spacing w:val="-1"/>
                <w:sz w:val="21"/>
              </w:rPr>
              <w:t>0.3</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1"/>
                <w:sz w:val="21"/>
              </w:rPr>
              <w:t>0.23</w:t>
            </w:r>
          </w:p>
        </w:tc>
      </w:tr>
      <w:tr>
        <w:trPr>
          <w:trHeight w:val="32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right"/>
              <w:rPr>
                <w:rFonts w:ascii="Calibri" w:hAnsi="Calibri" w:cs="Calibri" w:eastAsia="Calibri" w:hint="default"/>
                <w:sz w:val="21"/>
                <w:szCs w:val="21"/>
              </w:rPr>
            </w:pPr>
            <w:r>
              <w:rPr>
                <w:rFonts w:ascii="Calibri"/>
                <w:spacing w:val="-1"/>
                <w:sz w:val="21"/>
              </w:rPr>
              <w:t>0.3</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0.23</w:t>
            </w:r>
          </w:p>
        </w:tc>
      </w:tr>
    </w:tbl>
    <w:p>
      <w:pPr>
        <w:tabs>
          <w:tab w:pos="3410" w:val="left" w:leader="none"/>
          <w:tab w:pos="7400" w:val="left" w:leader="none"/>
        </w:tabs>
        <w:spacing w:before="64"/>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after="0"/>
        <w:jc w:val="left"/>
        <w:rPr>
          <w:rFonts w:ascii="宋体" w:hAnsi="宋体" w:cs="宋体" w:eastAsia="宋体" w:hint="default"/>
          <w:sz w:val="21"/>
          <w:szCs w:val="21"/>
        </w:rPr>
        <w:sectPr>
          <w:footerReference w:type="default" r:id="rId39"/>
          <w:pgSz w:w="11910" w:h="16840"/>
          <w:pgMar w:footer="1085" w:header="877" w:top="1220" w:bottom="1280" w:left="980" w:right="98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11"/>
        <w:ind w:left="635" w:right="173"/>
        <w:jc w:val="left"/>
        <w:rPr>
          <w:b w:val="0"/>
          <w:bCs w:val="0"/>
        </w:rPr>
      </w:pPr>
      <w:r>
        <w:rPr>
          <w:rFonts w:ascii="Calibri" w:hAnsi="Calibri" w:cs="Calibri" w:eastAsia="Calibri" w:hint="default"/>
        </w:rPr>
        <w:t>4</w:t>
      </w:r>
      <w:r>
        <w:rPr/>
        <w:t>、母公司利润表</w:t>
      </w:r>
      <w:r>
        <w:rPr>
          <w:b w:val="0"/>
          <w:bCs w:val="0"/>
        </w:rPr>
      </w:r>
    </w:p>
    <w:p>
      <w:pPr>
        <w:tabs>
          <w:tab w:pos="8977" w:val="left" w:leader="none"/>
        </w:tabs>
        <w:spacing w:before="148"/>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5531"/>
        <w:gridCol w:w="2125"/>
        <w:gridCol w:w="1913"/>
      </w:tblGrid>
      <w:tr>
        <w:trPr>
          <w:trHeight w:val="317"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spacing w:val="-2"/>
                <w:sz w:val="21"/>
              </w:rPr>
              <w:t>418,098,420.25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339,727,317.07</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160,894,658.77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111,786,281.50</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6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1"/>
                <w:sz w:val="21"/>
              </w:rPr>
              <w:t>3,718,055.08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3,403,213.43</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79,139,015.55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62,529,979.70</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6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147,378,276.37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133,108,646.46</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-3,446,399.51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-3,741,718.13</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2,524,863.22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6,672,206.43</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866"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46,975.44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-638,227.66</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46,975.44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27,936,926.21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25,330,480.02</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22,092,431.17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23,994,662.50</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270.55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7,564.11</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345,291.98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287,265.97</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6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1"/>
                <w:sz w:val="21"/>
              </w:rPr>
              <w:t>345,291.98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227,725.04</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49,684,065.40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49,037,876.55</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4,140,904.39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5,128,392.00</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45,543,161.01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43,909,484.55</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218,240.00</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重新计量设定受益计划净负债或净资产的变动</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81" w:firstLine="1051"/>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权益法下在被投资单位不能重分类进损益的其</w:t>
            </w:r>
            <w:r>
              <w:rPr>
                <w:rFonts w:ascii="宋体" w:hAnsi="宋体" w:cs="宋体" w:eastAsia="宋体" w:hint="default"/>
                <w:w w:val="100"/>
                <w:sz w:val="21"/>
                <w:szCs w:val="21"/>
              </w:rPr>
              <w:t> </w:t>
            </w:r>
            <w:r>
              <w:rPr>
                <w:rFonts w:ascii="宋体" w:hAnsi="宋体" w:cs="宋体" w:eastAsia="宋体" w:hint="default"/>
                <w:sz w:val="21"/>
                <w:szCs w:val="21"/>
              </w:rPr>
              <w:t>他综合收益中享有的份额</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218,240.00</w:t>
            </w:r>
          </w:p>
        </w:tc>
      </w:tr>
      <w:tr>
        <w:trPr>
          <w:trHeight w:val="634"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81" w:firstLine="1051"/>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权益法下在被投资单位以后将重分类进损益的</w:t>
            </w:r>
            <w:r>
              <w:rPr>
                <w:rFonts w:ascii="宋体" w:hAnsi="宋体" w:cs="宋体" w:eastAsia="宋体" w:hint="default"/>
                <w:w w:val="100"/>
                <w:sz w:val="21"/>
                <w:szCs w:val="21"/>
              </w:rPr>
              <w:t> </w:t>
            </w:r>
            <w:r>
              <w:rPr>
                <w:rFonts w:ascii="宋体" w:hAnsi="宋体" w:cs="宋体" w:eastAsia="宋体" w:hint="default"/>
                <w:sz w:val="21"/>
                <w:szCs w:val="21"/>
              </w:rPr>
              <w:t>其他综合收益中享有的份额</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218,240.00</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可供出售金融资产公允价值变动损益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持有至到期投资重分类为可供出售金融资产损</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12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现金流量套期损益的有效部分</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75"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45,543,161.01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44,127,724.55</w:t>
            </w:r>
          </w:p>
        </w:tc>
      </w:tr>
      <w:tr>
        <w:trPr>
          <w:trHeight w:val="312"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8"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
              <w:jc w:val="right"/>
              <w:rPr>
                <w:rFonts w:ascii="Calibri" w:hAnsi="Calibri" w:cs="Calibri" w:eastAsia="Calibri" w:hint="default"/>
                <w:sz w:val="21"/>
                <w:szCs w:val="21"/>
              </w:rPr>
            </w:pPr>
            <w:r>
              <w:rPr>
                <w:rFonts w:ascii="Calibri"/>
                <w:spacing w:val="-1"/>
                <w:sz w:val="21"/>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spacing w:val="-1"/>
                <w:sz w:val="21"/>
              </w:rPr>
              <w:t>0.36</w:t>
            </w:r>
          </w:p>
        </w:tc>
      </w:tr>
      <w:tr>
        <w:trPr>
          <w:trHeight w:val="323"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Calibri" w:hAnsi="Calibri" w:cs="Calibri" w:eastAsia="Calibri" w:hint="default"/>
                <w:sz w:val="21"/>
                <w:szCs w:val="21"/>
              </w:rPr>
            </w:pPr>
            <w:r>
              <w:rPr>
                <w:rFonts w:ascii="Calibri"/>
                <w:spacing w:val="-1"/>
                <w:sz w:val="21"/>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spacing w:val="-1"/>
                <w:sz w:val="21"/>
              </w:rPr>
              <w:t>0.36</w:t>
            </w:r>
          </w:p>
        </w:tc>
      </w:tr>
    </w:tbl>
    <w:p>
      <w:pPr>
        <w:spacing w:after="0" w:line="240" w:lineRule="auto"/>
        <w:jc w:val="right"/>
        <w:rPr>
          <w:rFonts w:ascii="Calibri" w:hAnsi="Calibri" w:cs="Calibri" w:eastAsia="Calibri" w:hint="default"/>
          <w:sz w:val="21"/>
          <w:szCs w:val="21"/>
        </w:rPr>
        <w:sectPr>
          <w:pgSz w:w="11910" w:h="16840"/>
          <w:pgMar w:header="877" w:footer="1085" w:top="1220" w:bottom="1280" w:left="980" w:right="980"/>
        </w:sectPr>
      </w:pPr>
    </w:p>
    <w:p>
      <w:pPr>
        <w:spacing w:line="240" w:lineRule="auto" w:before="10"/>
        <w:rPr>
          <w:rFonts w:ascii="宋体" w:hAnsi="宋体" w:cs="宋体" w:eastAsia="宋体" w:hint="default"/>
          <w:sz w:val="17"/>
          <w:szCs w:val="17"/>
        </w:rPr>
      </w:pPr>
    </w:p>
    <w:p>
      <w:pPr>
        <w:tabs>
          <w:tab w:pos="3513" w:val="left" w:leader="none"/>
          <w:tab w:pos="7085" w:val="left" w:leader="none"/>
        </w:tabs>
        <w:spacing w:before="36"/>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ind w:left="635" w:right="173"/>
        <w:jc w:val="left"/>
        <w:rPr>
          <w:b w:val="0"/>
          <w:bCs w:val="0"/>
        </w:rPr>
      </w:pPr>
      <w:r>
        <w:rPr>
          <w:rFonts w:ascii="Calibri" w:hAnsi="Calibri" w:cs="Calibri" w:eastAsia="Calibri" w:hint="default"/>
        </w:rPr>
        <w:t>5</w:t>
      </w:r>
      <w:r>
        <w:rPr/>
        <w:t>、合并现金流量表</w:t>
      </w:r>
      <w:r>
        <w:rPr>
          <w:b w:val="0"/>
          <w:bCs w:val="0"/>
        </w:rPr>
      </w:r>
    </w:p>
    <w:p>
      <w:pPr>
        <w:tabs>
          <w:tab w:pos="8977" w:val="left" w:leader="none"/>
        </w:tabs>
        <w:spacing w:before="148"/>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5811"/>
        <w:gridCol w:w="1988"/>
        <w:gridCol w:w="1769"/>
      </w:tblGrid>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503,573,332.31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399,589,542.58</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98" w:firstLine="422"/>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处置以公允价值计量且其变动计入当期损益的金融资产净</w:t>
            </w:r>
            <w:r>
              <w:rPr>
                <w:rFonts w:ascii="宋体" w:hAnsi="宋体" w:cs="宋体" w:eastAsia="宋体" w:hint="default"/>
                <w:w w:val="100"/>
                <w:sz w:val="21"/>
                <w:szCs w:val="21"/>
              </w:rPr>
              <w:t> </w:t>
            </w:r>
            <w:r>
              <w:rPr>
                <w:rFonts w:ascii="宋体" w:hAnsi="宋体" w:cs="宋体" w:eastAsia="宋体" w:hint="default"/>
                <w:sz w:val="21"/>
                <w:szCs w:val="21"/>
              </w:rPr>
              <w:t>增加额</w:t>
            </w:r>
          </w:p>
        </w:tc>
        <w:tc>
          <w:tcPr>
            <w:tcW w:w="1988" w:type="dxa"/>
            <w:tcBorders>
              <w:top w:val="single" w:sz="4" w:space="0" w:color="000000"/>
              <w:left w:val="single" w:sz="10" w:space="0" w:color="D2D2D2"/>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17,046,608.41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14,727,190.07</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22,488,236.89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8,222,609.31</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543,108,177.61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422,539,341.96</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138,902,156.44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104,029,581.89</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136,676,724.53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112,314,190.75</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38,537,134.87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35,386,213.05</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99,945,281.57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91,997,149.17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414,061,297.41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343,727,134.86</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129,046,880.20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78,812,207.10</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78,377.26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143,250.63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167,631.57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128,183,265.74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2,515,448.99</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128,404,893.63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right"/>
              <w:rPr>
                <w:rFonts w:ascii="Calibri" w:hAnsi="Calibri" w:cs="Calibri" w:eastAsia="Calibri" w:hint="default"/>
                <w:sz w:val="21"/>
                <w:szCs w:val="21"/>
              </w:rPr>
            </w:pPr>
            <w:r>
              <w:rPr>
                <w:rFonts w:ascii="Calibri"/>
                <w:spacing w:val="-1"/>
                <w:sz w:val="21"/>
              </w:rPr>
              <w:t>2,683,080.56</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31,388,870.07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44,680,201.85</w:t>
            </w:r>
          </w:p>
        </w:tc>
      </w:tr>
    </w:tbl>
    <w:p>
      <w:pPr>
        <w:spacing w:after="0" w:line="240" w:lineRule="auto"/>
        <w:jc w:val="right"/>
        <w:rPr>
          <w:rFonts w:ascii="Calibri" w:hAnsi="Calibri" w:cs="Calibri" w:eastAsia="Calibri" w:hint="default"/>
          <w:sz w:val="21"/>
          <w:szCs w:val="21"/>
        </w:rPr>
        <w:sectPr>
          <w:pgSz w:w="11910" w:h="16840"/>
          <w:pgMar w:header="877" w:footer="1085" w:top="1220" w:bottom="1280" w:left="980" w:right="980"/>
        </w:sectPr>
      </w:pPr>
    </w:p>
    <w:p>
      <w:pPr>
        <w:spacing w:line="240" w:lineRule="auto" w:before="8"/>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5811"/>
        <w:gridCol w:w="1988"/>
        <w:gridCol w:w="1769"/>
      </w:tblGrid>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23,117,035.45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1,055,019.00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136,000,000.00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70,560,924.52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180,680,201.85</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57,843,969.11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-177,997,121.29</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2,430,000.00</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1"/>
                <w:sz w:val="21"/>
              </w:rPr>
              <w:t>403,727.20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right"/>
              <w:rPr>
                <w:rFonts w:ascii="Calibri" w:hAnsi="Calibri" w:cs="Calibri" w:eastAsia="Calibri" w:hint="default"/>
                <w:sz w:val="21"/>
                <w:szCs w:val="21"/>
              </w:rPr>
            </w:pPr>
            <w:r>
              <w:rPr>
                <w:rFonts w:ascii="Calibri"/>
                <w:spacing w:val="-1"/>
                <w:sz w:val="21"/>
              </w:rPr>
              <w:t>1,061,700.00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8,802,511.59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9,206,238.79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3,491,700.00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252,474.28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11,650,387.97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11,388,862.61</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361"/>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394,286.08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868,550.00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12,297,148.33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12,257,412.61</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-3,090,909.54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-8,765,712.61</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466,333.13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-101,203.29</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184,266,272.90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-108,051,830.09</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165,564,161.57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273,615,991.66</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349,830,434.47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165,564,161.57</w:t>
            </w:r>
          </w:p>
        </w:tc>
      </w:tr>
    </w:tbl>
    <w:p>
      <w:pPr>
        <w:tabs>
          <w:tab w:pos="3513" w:val="left" w:leader="none"/>
          <w:tab w:pos="7085" w:val="left" w:leader="none"/>
        </w:tabs>
        <w:spacing w:before="64"/>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ind w:left="635" w:right="173"/>
        <w:jc w:val="left"/>
        <w:rPr>
          <w:b w:val="0"/>
          <w:bCs w:val="0"/>
        </w:rPr>
      </w:pPr>
      <w:r>
        <w:rPr>
          <w:rFonts w:ascii="Calibri" w:hAnsi="Calibri" w:cs="Calibri" w:eastAsia="Calibri" w:hint="default"/>
        </w:rPr>
        <w:t>6</w:t>
      </w:r>
      <w:r>
        <w:rPr/>
        <w:t>、母公司现金流量表</w:t>
      </w:r>
      <w:r>
        <w:rPr>
          <w:b w:val="0"/>
          <w:bCs w:val="0"/>
        </w:rPr>
      </w:r>
    </w:p>
    <w:p>
      <w:pPr>
        <w:tabs>
          <w:tab w:pos="8977" w:val="left" w:leader="none"/>
        </w:tabs>
        <w:spacing w:before="148"/>
        <w:ind w:left="153" w:right="173"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10"/>
        <w:rPr>
          <w:rFonts w:ascii="宋体" w:hAnsi="宋体" w:cs="宋体" w:eastAsia="宋体" w:hint="default"/>
          <w:sz w:val="14"/>
          <w:szCs w:val="14"/>
        </w:rPr>
      </w:pPr>
    </w:p>
    <w:p>
      <w:pPr>
        <w:spacing w:before="0"/>
        <w:ind w:left="153" w:right="173"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5811"/>
        <w:gridCol w:w="1988"/>
        <w:gridCol w:w="1769"/>
      </w:tblGrid>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442,188,750.12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381,529,096.37</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15,758,854.82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right"/>
              <w:rPr>
                <w:rFonts w:ascii="Calibri" w:hAnsi="Calibri" w:cs="Calibri" w:eastAsia="Calibri" w:hint="default"/>
                <w:sz w:val="21"/>
                <w:szCs w:val="21"/>
              </w:rPr>
            </w:pPr>
            <w:r>
              <w:rPr>
                <w:rFonts w:ascii="Calibri"/>
                <w:spacing w:val="-2"/>
                <w:sz w:val="21"/>
              </w:rPr>
              <w:t>14,600,514.04</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23,267,713.33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8,150,402.74</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481,215,318.27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404,280,013.15</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133,964,093.20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100,763,994.82</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114,885,929.59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104,450,412.23</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34,638,744.57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34,749,514.23</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90,554,539.69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right"/>
              <w:rPr>
                <w:rFonts w:ascii="Calibri" w:hAnsi="Calibri" w:cs="Calibri" w:eastAsia="Calibri" w:hint="default"/>
                <w:sz w:val="21"/>
                <w:szCs w:val="21"/>
              </w:rPr>
            </w:pPr>
            <w:r>
              <w:rPr>
                <w:rFonts w:ascii="Calibri"/>
                <w:spacing w:val="-2"/>
                <w:sz w:val="21"/>
              </w:rPr>
              <w:t>87,952,453.05</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374,043,307.05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327,916,374.33</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107,172,011.22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76,363,638.82</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085" w:top="1220" w:bottom="1280" w:left="980" w:right="980"/>
        </w:sectPr>
      </w:pPr>
    </w:p>
    <w:p>
      <w:pPr>
        <w:spacing w:line="240" w:lineRule="auto" w:before="8"/>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5811"/>
        <w:gridCol w:w="1988"/>
        <w:gridCol w:w="1769"/>
      </w:tblGrid>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143,250.63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167,631.57</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128,183,265.74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2,450,100.97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128,326,516.37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2,617,732.54</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30,979,237.80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44,564,090.76</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1,055,019.00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136,000,000.00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72,034,256.80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180,564,090.76</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56,292,259.57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-177,946,358.22</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2,430,000.00</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8,802,511.59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8,802,511.59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2,430,000.00</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11,405,270.53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2"/>
                <w:sz w:val="21"/>
              </w:rPr>
              <w:t>11,067,646.07</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394,286.08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868,550.00</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11,799,556.61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6"/>
              <w:jc w:val="right"/>
              <w:rPr>
                <w:rFonts w:ascii="Calibri" w:hAnsi="Calibri" w:cs="Calibri" w:eastAsia="Calibri" w:hint="default"/>
                <w:sz w:val="21"/>
                <w:szCs w:val="21"/>
              </w:rPr>
            </w:pPr>
            <w:r>
              <w:rPr>
                <w:rFonts w:ascii="Calibri"/>
                <w:spacing w:val="-2"/>
                <w:sz w:val="21"/>
              </w:rPr>
              <w:t>11,936,196.07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-2,997,045.02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-9,506,196.07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160,467,225.77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-111,088,915.47</w:t>
            </w:r>
          </w:p>
        </w:tc>
      </w:tr>
      <w:tr>
        <w:trPr>
          <w:trHeight w:val="322"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143,821,712.23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254,910,627.70</w:t>
            </w:r>
          </w:p>
        </w:tc>
      </w:tr>
      <w:tr>
        <w:trPr>
          <w:trHeight w:val="323" w:hRule="exact"/>
        </w:trPr>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304,288,938.00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143,821,712.23</w:t>
            </w:r>
          </w:p>
        </w:tc>
      </w:tr>
    </w:tbl>
    <w:p>
      <w:pPr>
        <w:tabs>
          <w:tab w:pos="3513" w:val="left" w:leader="none"/>
          <w:tab w:pos="7085" w:val="left" w:leader="none"/>
        </w:tabs>
        <w:spacing w:before="65"/>
        <w:ind w:left="153" w:right="17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after="0"/>
        <w:jc w:val="left"/>
        <w:rPr>
          <w:rFonts w:ascii="宋体" w:hAnsi="宋体" w:cs="宋体" w:eastAsia="宋体" w:hint="default"/>
          <w:sz w:val="21"/>
          <w:szCs w:val="21"/>
        </w:rPr>
        <w:sectPr>
          <w:pgSz w:w="11910" w:h="16840"/>
          <w:pgMar w:header="877" w:footer="1085" w:top="1220" w:bottom="1280" w:left="980" w:right="980"/>
        </w:sectPr>
      </w:pPr>
    </w:p>
    <w:p>
      <w:pPr>
        <w:spacing w:line="240" w:lineRule="auto" w:before="1"/>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2"/>
        <w:spacing w:line="371" w:lineRule="exact"/>
        <w:ind w:left="622" w:right="0"/>
        <w:jc w:val="left"/>
        <w:rPr>
          <w:b w:val="0"/>
          <w:bCs w:val="0"/>
        </w:rPr>
      </w:pPr>
      <w:r>
        <w:rPr>
          <w:rFonts w:ascii="Calibri" w:hAnsi="Calibri" w:cs="Calibri" w:eastAsia="Calibri" w:hint="default"/>
        </w:rPr>
        <w:t>7</w:t>
      </w:r>
      <w:r>
        <w:rPr/>
        <w:t>、合并所有者权益变动表</w:t>
      </w:r>
      <w:r>
        <w:rPr>
          <w:b w:val="0"/>
          <w:bCs w:val="0"/>
        </w:rPr>
      </w:r>
    </w:p>
    <w:p>
      <w:pPr>
        <w:pStyle w:val="BodyText"/>
        <w:spacing w:line="240" w:lineRule="auto" w:before="145"/>
        <w:ind w:left="620" w:right="0"/>
        <w:jc w:val="left"/>
      </w:pPr>
      <w:r>
        <w:rPr/>
        <w:t>本期金额</w:t>
      </w:r>
    </w:p>
    <w:p>
      <w:pPr>
        <w:tabs>
          <w:tab w:pos="13267" w:val="left" w:leader="none"/>
        </w:tabs>
        <w:spacing w:before="198"/>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5"/>
        <w:rPr>
          <w:rFonts w:ascii="宋体" w:hAnsi="宋体" w:cs="宋体" w:eastAsia="宋体" w:hint="default"/>
          <w:sz w:val="16"/>
          <w:szCs w:val="1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8"/>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1728"/>
        <w:gridCol w:w="1572"/>
        <w:gridCol w:w="356"/>
        <w:gridCol w:w="559"/>
        <w:gridCol w:w="353"/>
        <w:gridCol w:w="1219"/>
        <w:gridCol w:w="1114"/>
        <w:gridCol w:w="1064"/>
        <w:gridCol w:w="626"/>
        <w:gridCol w:w="1306"/>
        <w:gridCol w:w="559"/>
        <w:gridCol w:w="1196"/>
        <w:gridCol w:w="1104"/>
        <w:gridCol w:w="1195"/>
      </w:tblGrid>
      <w:tr>
        <w:trPr>
          <w:trHeight w:val="336" w:hRule="exact"/>
        </w:trPr>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22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w:t>
            </w:r>
            <w:r>
              <w:rPr>
                <w:rFonts w:ascii="Microsoft JhengHei" w:hAnsi="Microsoft JhengHei" w:cs="Microsoft JhengHei" w:eastAsia="Microsoft JhengHei" w:hint="default"/>
                <w:sz w:val="18"/>
                <w:szCs w:val="18"/>
              </w:rPr>
            </w:r>
          </w:p>
        </w:tc>
      </w:tr>
      <w:tr>
        <w:trPr>
          <w:trHeight w:val="336" w:hRule="exact"/>
        </w:trPr>
        <w:tc>
          <w:tcPr>
            <w:tcW w:w="1728" w:type="dxa"/>
            <w:vMerge/>
            <w:tcBorders>
              <w:left w:val="single" w:sz="4" w:space="0" w:color="000000"/>
              <w:right w:val="single" w:sz="4" w:space="0" w:color="000000"/>
            </w:tcBorders>
            <w:shd w:val="clear" w:color="auto" w:fill="D2D2D2"/>
          </w:tcPr>
          <w:p>
            <w:pPr/>
          </w:p>
        </w:tc>
        <w:tc>
          <w:tcPr>
            <w:tcW w:w="992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9" w:lineRule="auto"/>
              <w:ind w:left="455" w:right="96"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少数股东权 益</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9" w:lineRule="auto"/>
              <w:ind w:left="501" w:right="51" w:hanging="45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336" w:hRule="exact"/>
        </w:trPr>
        <w:tc>
          <w:tcPr>
            <w:tcW w:w="1728" w:type="dxa"/>
            <w:vMerge/>
            <w:tcBorders>
              <w:left w:val="single" w:sz="4" w:space="0" w:color="000000"/>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2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其他权益工具</w:t>
            </w:r>
            <w:r>
              <w:rPr>
                <w:rFonts w:ascii="Microsoft JhengHei" w:hAnsi="Microsoft JhengHei" w:cs="Microsoft JhengHei" w:eastAsia="Microsoft JhengHei" w:hint="default"/>
                <w:sz w:val="18"/>
                <w:szCs w:val="18"/>
              </w:rPr>
            </w:r>
          </w:p>
        </w:tc>
        <w:tc>
          <w:tcPr>
            <w:tcW w:w="12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9" w:lineRule="auto"/>
              <w:ind w:left="437" w:right="75"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 益</w:t>
            </w:r>
            <w:r>
              <w:rPr>
                <w:rFonts w:ascii="Microsoft JhengHei" w:hAnsi="Microsoft JhengHei" w:cs="Microsoft JhengHei" w:eastAsia="Microsoft JhengHei" w:hint="default"/>
                <w:sz w:val="18"/>
                <w:szCs w:val="18"/>
              </w:rPr>
            </w:r>
          </w:p>
        </w:tc>
        <w:tc>
          <w:tcPr>
            <w:tcW w:w="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9" w:lineRule="auto"/>
              <w:ind w:left="215" w:right="36"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 备</w:t>
            </w:r>
            <w:r>
              <w:rPr>
                <w:rFonts w:ascii="Microsoft JhengHei" w:hAnsi="Microsoft JhengHei" w:cs="Microsoft JhengHei" w:eastAsia="Microsoft JhengHei" w:hint="default"/>
                <w:sz w:val="18"/>
                <w:szCs w:val="18"/>
              </w:rPr>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559"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155"/>
              <w:ind w:left="91" w:right="91"/>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一般</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风险</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准备</w:t>
            </w:r>
            <w:r>
              <w:rPr>
                <w:rFonts w:ascii="Microsoft JhengHei" w:hAnsi="Microsoft JhengHei" w:cs="Microsoft JhengHei" w:eastAsia="Microsoft JhengHei"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10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046" w:hRule="exact"/>
        </w:trPr>
        <w:tc>
          <w:tcPr>
            <w:tcW w:w="1728" w:type="dxa"/>
            <w:vMerge/>
            <w:tcBorders>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exact"/>
              <w:ind w:left="8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优</w:t>
            </w:r>
            <w:r>
              <w:rPr>
                <w:rFonts w:ascii="Microsoft JhengHei" w:hAnsi="Microsoft JhengHei" w:cs="Microsoft JhengHei" w:eastAsia="Microsoft JhengHei" w:hint="default"/>
                <w:sz w:val="18"/>
                <w:szCs w:val="18"/>
              </w:rPr>
            </w:r>
          </w:p>
          <w:p>
            <w:pPr>
              <w:pStyle w:val="TableParagraph"/>
              <w:spacing w:line="249" w:lineRule="auto" w:before="13"/>
              <w:ind w:left="81" w:right="8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先 股</w:t>
            </w:r>
            <w:r>
              <w:rPr>
                <w:rFonts w:ascii="Microsoft JhengHei" w:hAnsi="Microsoft JhengHei" w:cs="Microsoft JhengHei" w:eastAsia="Microsoft JhengHei" w:hint="default"/>
                <w:sz w:val="18"/>
                <w:szCs w:val="18"/>
              </w:rPr>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50"/>
              <w:ind w:left="182" w:right="91"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永续</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债</w:t>
            </w:r>
            <w:r>
              <w:rPr>
                <w:rFonts w:ascii="Microsoft JhengHei" w:hAnsi="Microsoft JhengHei" w:cs="Microsoft JhengHei" w:eastAsia="Microsoft JhengHei" w:hint="default"/>
                <w:sz w:val="18"/>
                <w:szCs w:val="18"/>
              </w:rPr>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50"/>
              <w:ind w:left="81" w:right="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 他</w:t>
            </w:r>
            <w:r>
              <w:rPr>
                <w:rFonts w:ascii="Microsoft JhengHei" w:hAnsi="Microsoft JhengHei" w:cs="Microsoft JhengHei" w:eastAsia="Microsoft JhengHei" w:hint="default"/>
                <w:sz w:val="18"/>
                <w:szCs w:val="18"/>
              </w:rPr>
            </w: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626"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66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122,434,680.00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center"/>
              <w:rPr>
                <w:rFonts w:ascii="Calibri" w:hAnsi="Calibri" w:cs="Calibri" w:eastAsia="Calibri" w:hint="default"/>
                <w:sz w:val="18"/>
                <w:szCs w:val="18"/>
              </w:rPr>
            </w:pPr>
            <w:r>
              <w:rPr>
                <w:rFonts w:ascii="Calibri"/>
                <w:sz w:val="18"/>
              </w:rPr>
              <w:t>339,962,376.70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12,629,972.16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54"/>
              <w:ind w:left="23" w:right="70"/>
              <w:jc w:val="left"/>
              <w:rPr>
                <w:rFonts w:ascii="Calibri" w:hAnsi="Calibri" w:cs="Calibri" w:eastAsia="Calibri" w:hint="default"/>
                <w:sz w:val="18"/>
                <w:szCs w:val="18"/>
              </w:rPr>
            </w:pPr>
            <w:r>
              <w:rPr>
                <w:rFonts w:ascii="Calibri"/>
                <w:sz w:val="18"/>
              </w:rPr>
              <w:t>- 8,672,946.51</w:t>
            </w: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23,763,352.48</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184,340,245.96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12,797,724.37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661,995,460.84</w:t>
            </w: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4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44"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3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122,434,680.00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center"/>
              <w:rPr>
                <w:rFonts w:ascii="Calibri" w:hAnsi="Calibri" w:cs="Calibri" w:eastAsia="Calibri" w:hint="default"/>
                <w:sz w:val="18"/>
                <w:szCs w:val="18"/>
              </w:rPr>
            </w:pPr>
            <w:r>
              <w:rPr>
                <w:rFonts w:ascii="Calibri"/>
                <w:sz w:val="18"/>
              </w:rPr>
              <w:t>339,962,376.70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12,629,972.16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 w:right="70"/>
              <w:jc w:val="left"/>
              <w:rPr>
                <w:rFonts w:ascii="Calibri" w:hAnsi="Calibri" w:cs="Calibri" w:eastAsia="Calibri" w:hint="default"/>
                <w:sz w:val="18"/>
                <w:szCs w:val="18"/>
              </w:rPr>
            </w:pPr>
            <w:r>
              <w:rPr>
                <w:rFonts w:ascii="Calibri"/>
                <w:sz w:val="18"/>
              </w:rPr>
              <w:t>- 8,672,946.51</w:t>
            </w: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23,763,352.48</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184,340,245.96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12,797,724.37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661,995,460.84</w:t>
            </w:r>
          </w:p>
        </w:tc>
      </w:tr>
      <w:tr>
        <w:trPr>
          <w:trHeight w:val="98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23" w:right="72"/>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 列）</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Calibri" w:hAnsi="Calibri" w:cs="Calibri" w:eastAsia="Calibri" w:hint="default"/>
                <w:sz w:val="18"/>
                <w:szCs w:val="18"/>
              </w:rPr>
            </w:pPr>
            <w:r>
              <w:rPr>
                <w:rFonts w:ascii="Calibri"/>
                <w:sz w:val="18"/>
              </w:rPr>
              <w:t>73,386,990.00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55"/>
              <w:jc w:val="center"/>
              <w:rPr>
                <w:rFonts w:ascii="Calibri" w:hAnsi="Calibri" w:cs="Calibri" w:eastAsia="Calibri" w:hint="default"/>
                <w:sz w:val="18"/>
                <w:szCs w:val="18"/>
              </w:rPr>
            </w:pPr>
            <w:r>
              <w:rPr>
                <w:rFonts w:ascii="Calibri"/>
                <w:sz w:val="18"/>
              </w:rPr>
              <w:t>-72,262,591.67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 w:right="0"/>
              <w:jc w:val="left"/>
              <w:rPr>
                <w:rFonts w:ascii="Calibri" w:hAnsi="Calibri" w:cs="Calibri" w:eastAsia="Calibri" w:hint="default"/>
                <w:sz w:val="18"/>
                <w:szCs w:val="18"/>
              </w:rPr>
            </w:pPr>
            <w:r>
              <w:rPr>
                <w:rFonts w:ascii="Calibri"/>
                <w:sz w:val="18"/>
              </w:rPr>
              <w:t>6,441,027.08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46"/>
              <w:jc w:val="center"/>
              <w:rPr>
                <w:rFonts w:ascii="Calibri" w:hAnsi="Calibri" w:cs="Calibri" w:eastAsia="Calibri" w:hint="default"/>
                <w:sz w:val="18"/>
                <w:szCs w:val="18"/>
              </w:rPr>
            </w:pPr>
            <w:r>
              <w:rPr>
                <w:rFonts w:ascii="Calibri"/>
                <w:sz w:val="18"/>
              </w:rPr>
              <w:t>1,065,417.71</w:t>
            </w: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 w:right="0"/>
              <w:jc w:val="left"/>
              <w:rPr>
                <w:rFonts w:ascii="Calibri" w:hAnsi="Calibri" w:cs="Calibri" w:eastAsia="Calibri" w:hint="default"/>
                <w:sz w:val="18"/>
                <w:szCs w:val="18"/>
              </w:rPr>
            </w:pPr>
            <w:r>
              <w:rPr>
                <w:rFonts w:ascii="Calibri"/>
                <w:sz w:val="18"/>
              </w:rPr>
              <w:t>4,554,316.10</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Calibri" w:hAnsi="Calibri" w:cs="Calibri" w:eastAsia="Calibri" w:hint="default"/>
                <w:sz w:val="18"/>
                <w:szCs w:val="18"/>
              </w:rPr>
            </w:pPr>
            <w:r>
              <w:rPr>
                <w:rFonts w:ascii="Calibri"/>
                <w:sz w:val="18"/>
              </w:rPr>
              <w:t>41,941,221.80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 w:right="0"/>
              <w:jc w:val="left"/>
              <w:rPr>
                <w:rFonts w:ascii="Calibri" w:hAnsi="Calibri" w:cs="Calibri" w:eastAsia="Calibri" w:hint="default"/>
                <w:sz w:val="18"/>
                <w:szCs w:val="18"/>
              </w:rPr>
            </w:pPr>
            <w:r>
              <w:rPr>
                <w:rFonts w:ascii="Calibri"/>
                <w:sz w:val="18"/>
              </w:rPr>
              <w:t>134,421.77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91"/>
              <w:jc w:val="center"/>
              <w:rPr>
                <w:rFonts w:ascii="Calibri" w:hAnsi="Calibri" w:cs="Calibri" w:eastAsia="Calibri" w:hint="default"/>
                <w:sz w:val="18"/>
                <w:szCs w:val="18"/>
              </w:rPr>
            </w:pPr>
            <w:r>
              <w:rPr>
                <w:rFonts w:ascii="Calibri"/>
                <w:sz w:val="18"/>
              </w:rPr>
              <w:t>42,378,748.63</w:t>
            </w:r>
          </w:p>
        </w:tc>
      </w:tr>
      <w:tr>
        <w:trPr>
          <w:trHeight w:val="338"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6"/>
              <w:jc w:val="center"/>
              <w:rPr>
                <w:rFonts w:ascii="Calibri" w:hAnsi="Calibri" w:cs="Calibri" w:eastAsia="Calibri" w:hint="default"/>
                <w:sz w:val="18"/>
                <w:szCs w:val="18"/>
              </w:rPr>
            </w:pPr>
            <w:r>
              <w:rPr>
                <w:rFonts w:ascii="Calibri"/>
                <w:sz w:val="18"/>
              </w:rPr>
              <w:t>1,065,417.71</w:t>
            </w: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Calibri" w:hAnsi="Calibri" w:cs="Calibri" w:eastAsia="Calibri" w:hint="default"/>
                <w:sz w:val="18"/>
                <w:szCs w:val="18"/>
              </w:rPr>
            </w:pPr>
            <w:r>
              <w:rPr>
                <w:rFonts w:ascii="Calibri"/>
                <w:sz w:val="18"/>
              </w:rPr>
              <w:t>58,778,892.50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Calibri" w:hAnsi="Calibri" w:cs="Calibri" w:eastAsia="Calibri" w:hint="default"/>
                <w:sz w:val="18"/>
                <w:szCs w:val="18"/>
              </w:rPr>
            </w:pPr>
            <w:r>
              <w:rPr>
                <w:rFonts w:ascii="Calibri"/>
                <w:sz w:val="18"/>
              </w:rPr>
              <w:t>134,421.77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1"/>
              <w:jc w:val="center"/>
              <w:rPr>
                <w:rFonts w:ascii="Calibri" w:hAnsi="Calibri" w:cs="Calibri" w:eastAsia="Calibri" w:hint="default"/>
                <w:sz w:val="18"/>
                <w:szCs w:val="18"/>
              </w:rPr>
            </w:pPr>
            <w:r>
              <w:rPr>
                <w:rFonts w:ascii="Calibri"/>
                <w:sz w:val="18"/>
              </w:rPr>
              <w:t>59,978,731.98</w:t>
            </w:r>
          </w:p>
        </w:tc>
      </w:tr>
    </w:tbl>
    <w:p>
      <w:pPr>
        <w:spacing w:after="0" w:line="240" w:lineRule="auto"/>
        <w:jc w:val="center"/>
        <w:rPr>
          <w:rFonts w:ascii="Calibri" w:hAnsi="Calibri" w:cs="Calibri" w:eastAsia="Calibri" w:hint="default"/>
          <w:sz w:val="18"/>
          <w:szCs w:val="18"/>
        </w:rPr>
        <w:sectPr>
          <w:headerReference w:type="default" r:id="rId40"/>
          <w:footerReference w:type="default" r:id="rId41"/>
          <w:pgSz w:w="16840" w:h="11910" w:orient="landscape"/>
          <w:pgMar w:header="877" w:footer="1085" w:top="1060" w:bottom="1280" w:left="1300" w:right="1300"/>
          <w:pgNumType w:start="106"/>
        </w:sectPr>
      </w:pPr>
    </w:p>
    <w:p>
      <w:pPr>
        <w:spacing w:line="240" w:lineRule="auto" w:before="2"/>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728"/>
        <w:gridCol w:w="1572"/>
        <w:gridCol w:w="356"/>
        <w:gridCol w:w="559"/>
        <w:gridCol w:w="353"/>
        <w:gridCol w:w="1219"/>
        <w:gridCol w:w="1114"/>
        <w:gridCol w:w="1064"/>
        <w:gridCol w:w="626"/>
        <w:gridCol w:w="1306"/>
        <w:gridCol w:w="559"/>
        <w:gridCol w:w="1196"/>
        <w:gridCol w:w="1104"/>
        <w:gridCol w:w="1195"/>
      </w:tblGrid>
      <w:tr>
        <w:trPr>
          <w:trHeight w:val="674" w:hRule="exact"/>
        </w:trPr>
        <w:tc>
          <w:tcPr>
            <w:tcW w:w="17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20"/>
              <w:ind w:left="23" w:right="7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572" w:type="dxa"/>
            <w:tcBorders>
              <w:top w:val="single" w:sz="10" w:space="0" w:color="000000"/>
              <w:left w:val="single" w:sz="4" w:space="0" w:color="000000"/>
              <w:bottom w:val="single" w:sz="4" w:space="0" w:color="000000"/>
              <w:right w:val="single" w:sz="4" w:space="0" w:color="000000"/>
            </w:tcBorders>
          </w:tcPr>
          <w:p>
            <w:pPr/>
          </w:p>
        </w:tc>
        <w:tc>
          <w:tcPr>
            <w:tcW w:w="356" w:type="dxa"/>
            <w:tcBorders>
              <w:top w:val="single" w:sz="10" w:space="0" w:color="000000"/>
              <w:left w:val="single" w:sz="4" w:space="0" w:color="000000"/>
              <w:bottom w:val="single" w:sz="4" w:space="0" w:color="000000"/>
              <w:right w:val="single" w:sz="4" w:space="0" w:color="000000"/>
            </w:tcBorders>
          </w:tcPr>
          <w:p>
            <w:pPr/>
          </w:p>
        </w:tc>
        <w:tc>
          <w:tcPr>
            <w:tcW w:w="559" w:type="dxa"/>
            <w:tcBorders>
              <w:top w:val="single" w:sz="10" w:space="0" w:color="000000"/>
              <w:left w:val="single" w:sz="4" w:space="0" w:color="000000"/>
              <w:bottom w:val="single" w:sz="4" w:space="0" w:color="000000"/>
              <w:right w:val="single" w:sz="4" w:space="0" w:color="000000"/>
            </w:tcBorders>
          </w:tcPr>
          <w:p>
            <w:pPr/>
          </w:p>
        </w:tc>
        <w:tc>
          <w:tcPr>
            <w:tcW w:w="353" w:type="dxa"/>
            <w:tcBorders>
              <w:top w:val="single" w:sz="10" w:space="0" w:color="000000"/>
              <w:left w:val="single" w:sz="4" w:space="0" w:color="000000"/>
              <w:bottom w:val="single" w:sz="4" w:space="0" w:color="000000"/>
              <w:right w:val="single" w:sz="4" w:space="0" w:color="000000"/>
            </w:tcBorders>
          </w:tcPr>
          <w:p>
            <w:pPr/>
          </w:p>
        </w:tc>
        <w:tc>
          <w:tcPr>
            <w:tcW w:w="12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2"/>
              <w:jc w:val="center"/>
              <w:rPr>
                <w:rFonts w:ascii="Calibri" w:hAnsi="Calibri" w:cs="Calibri" w:eastAsia="Calibri" w:hint="default"/>
                <w:sz w:val="18"/>
                <w:szCs w:val="18"/>
              </w:rPr>
            </w:pPr>
            <w:r>
              <w:rPr>
                <w:rFonts w:ascii="Calibri"/>
                <w:sz w:val="18"/>
              </w:rPr>
              <w:t>1,198,216.33</w:t>
            </w:r>
          </w:p>
        </w:tc>
        <w:tc>
          <w:tcPr>
            <w:tcW w:w="11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center"/>
              <w:rPr>
                <w:rFonts w:ascii="Calibri" w:hAnsi="Calibri" w:cs="Calibri" w:eastAsia="Calibri" w:hint="default"/>
                <w:sz w:val="18"/>
                <w:szCs w:val="18"/>
              </w:rPr>
            </w:pPr>
            <w:r>
              <w:rPr>
                <w:rFonts w:ascii="Calibri"/>
                <w:sz w:val="18"/>
              </w:rPr>
              <w:t>6,441,027.08</w:t>
            </w:r>
          </w:p>
        </w:tc>
        <w:tc>
          <w:tcPr>
            <w:tcW w:w="1064"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1306" w:type="dxa"/>
            <w:tcBorders>
              <w:top w:val="single" w:sz="10" w:space="0" w:color="000000"/>
              <w:left w:val="single" w:sz="4" w:space="0" w:color="000000"/>
              <w:bottom w:val="single" w:sz="4" w:space="0" w:color="000000"/>
              <w:right w:val="single" w:sz="4" w:space="0" w:color="000000"/>
            </w:tcBorders>
          </w:tcPr>
          <w:p>
            <w:pPr/>
          </w:p>
        </w:tc>
        <w:tc>
          <w:tcPr>
            <w:tcW w:w="559"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1" w:right="0"/>
              <w:jc w:val="left"/>
              <w:rPr>
                <w:rFonts w:ascii="Calibri" w:hAnsi="Calibri" w:cs="Calibri" w:eastAsia="Calibri" w:hint="default"/>
                <w:sz w:val="18"/>
                <w:szCs w:val="18"/>
              </w:rPr>
            </w:pPr>
            <w:r>
              <w:rPr>
                <w:rFonts w:ascii="Calibri"/>
                <w:sz w:val="18"/>
              </w:rPr>
              <w:t>-5,242,810.75</w:t>
            </w: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 股</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 有者投入资本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 有者权益的金额</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02"/>
              <w:jc w:val="center"/>
              <w:rPr>
                <w:rFonts w:ascii="Calibri" w:hAnsi="Calibri" w:cs="Calibri" w:eastAsia="Calibri" w:hint="default"/>
                <w:sz w:val="18"/>
                <w:szCs w:val="18"/>
              </w:rPr>
            </w:pPr>
            <w:r>
              <w:rPr>
                <w:rFonts w:ascii="Calibri"/>
                <w:sz w:val="18"/>
              </w:rPr>
              <w:t>1,198,216.33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center"/>
              <w:rPr>
                <w:rFonts w:ascii="Calibri" w:hAnsi="Calibri" w:cs="Calibri" w:eastAsia="Calibri" w:hint="default"/>
                <w:sz w:val="18"/>
                <w:szCs w:val="18"/>
              </w:rPr>
            </w:pPr>
            <w:r>
              <w:rPr>
                <w:rFonts w:ascii="Calibri"/>
                <w:sz w:val="18"/>
              </w:rPr>
              <w:t>6,441,027.08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-5,242,810.75</w:t>
            </w: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Calibri" w:hAnsi="Calibri" w:cs="Calibri" w:eastAsia="Calibri" w:hint="default"/>
                <w:sz w:val="18"/>
                <w:szCs w:val="18"/>
              </w:rPr>
            </w:pPr>
            <w:r>
              <w:rPr>
                <w:rFonts w:ascii="Calibri"/>
                <w:sz w:val="18"/>
              </w:rPr>
              <w:t>4,554,316.10</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Calibri" w:hAnsi="Calibri" w:cs="Calibri" w:eastAsia="Calibri" w:hint="default"/>
                <w:sz w:val="18"/>
                <w:szCs w:val="18"/>
              </w:rPr>
            </w:pPr>
            <w:r>
              <w:rPr>
                <w:rFonts w:ascii="Calibri"/>
                <w:sz w:val="18"/>
              </w:rPr>
              <w:t>-16,837,670.70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Calibri" w:hAnsi="Calibri" w:cs="Calibri" w:eastAsia="Calibri" w:hint="default"/>
                <w:sz w:val="18"/>
                <w:szCs w:val="18"/>
              </w:rPr>
            </w:pPr>
            <w:r>
              <w:rPr>
                <w:rFonts w:ascii="Calibri"/>
                <w:sz w:val="18"/>
              </w:rPr>
              <w:t>-12,283,354.60</w:t>
            </w: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Calibri" w:hAnsi="Calibri" w:cs="Calibri" w:eastAsia="Calibri" w:hint="default"/>
                <w:sz w:val="18"/>
                <w:szCs w:val="18"/>
              </w:rPr>
            </w:pPr>
            <w:r>
              <w:rPr>
                <w:rFonts w:ascii="Calibri"/>
                <w:sz w:val="18"/>
              </w:rPr>
              <w:t>4,554,316.10</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Calibri" w:hAnsi="Calibri" w:cs="Calibri" w:eastAsia="Calibri" w:hint="default"/>
                <w:sz w:val="18"/>
                <w:szCs w:val="18"/>
              </w:rPr>
            </w:pPr>
            <w:r>
              <w:rPr>
                <w:rFonts w:ascii="Calibri"/>
                <w:sz w:val="18"/>
              </w:rPr>
              <w:t>-4,554,316.10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7"/>
              <w:ind w:left="23" w:right="161"/>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 备</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 东）的分配</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-12,283,354.60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-12,283,354.60</w:t>
            </w: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73,386,990.00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5"/>
              <w:jc w:val="center"/>
              <w:rPr>
                <w:rFonts w:ascii="Calibri" w:hAnsi="Calibri" w:cs="Calibri" w:eastAsia="Calibri" w:hint="default"/>
                <w:sz w:val="18"/>
                <w:szCs w:val="18"/>
              </w:rPr>
            </w:pPr>
            <w:r>
              <w:rPr>
                <w:rFonts w:ascii="Calibri"/>
                <w:sz w:val="18"/>
              </w:rPr>
              <w:t>-73,460,808.00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-73,818.00</w:t>
            </w: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 本（或股本）</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73,386,990.00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5"/>
              <w:jc w:val="center"/>
              <w:rPr>
                <w:rFonts w:ascii="Calibri" w:hAnsi="Calibri" w:cs="Calibri" w:eastAsia="Calibri" w:hint="default"/>
                <w:sz w:val="18"/>
                <w:szCs w:val="18"/>
              </w:rPr>
            </w:pPr>
            <w:r>
              <w:rPr>
                <w:rFonts w:ascii="Calibri"/>
                <w:sz w:val="18"/>
              </w:rPr>
              <w:t>-73,460,808.00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-73,818.00</w:t>
            </w:r>
          </w:p>
        </w:tc>
      </w:tr>
      <w:tr>
        <w:trPr>
          <w:trHeight w:val="663"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 本（或股本）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61"/>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 损</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572"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085" w:top="1060" w:bottom="1280" w:left="1340" w:right="1320"/>
        </w:sectPr>
      </w:pPr>
    </w:p>
    <w:p>
      <w:pPr>
        <w:spacing w:line="240" w:lineRule="auto" w:before="2"/>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728"/>
        <w:gridCol w:w="1572"/>
        <w:gridCol w:w="356"/>
        <w:gridCol w:w="559"/>
        <w:gridCol w:w="353"/>
        <w:gridCol w:w="1219"/>
        <w:gridCol w:w="1114"/>
        <w:gridCol w:w="1064"/>
        <w:gridCol w:w="626"/>
        <w:gridCol w:w="1306"/>
        <w:gridCol w:w="559"/>
        <w:gridCol w:w="1196"/>
        <w:gridCol w:w="1104"/>
        <w:gridCol w:w="1195"/>
      </w:tblGrid>
      <w:tr>
        <w:trPr>
          <w:trHeight w:val="348" w:hRule="exact"/>
        </w:trPr>
        <w:tc>
          <w:tcPr>
            <w:tcW w:w="17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2" w:type="dxa"/>
            <w:tcBorders>
              <w:top w:val="single" w:sz="10" w:space="0" w:color="000000"/>
              <w:left w:val="single" w:sz="4" w:space="0" w:color="000000"/>
              <w:bottom w:val="single" w:sz="4" w:space="0" w:color="000000"/>
              <w:right w:val="single" w:sz="4" w:space="0" w:color="000000"/>
            </w:tcBorders>
          </w:tcPr>
          <w:p>
            <w:pPr/>
          </w:p>
        </w:tc>
        <w:tc>
          <w:tcPr>
            <w:tcW w:w="356" w:type="dxa"/>
            <w:tcBorders>
              <w:top w:val="single" w:sz="10" w:space="0" w:color="000000"/>
              <w:left w:val="single" w:sz="4" w:space="0" w:color="000000"/>
              <w:bottom w:val="single" w:sz="4" w:space="0" w:color="000000"/>
              <w:right w:val="single" w:sz="4" w:space="0" w:color="000000"/>
            </w:tcBorders>
          </w:tcPr>
          <w:p>
            <w:pPr/>
          </w:p>
        </w:tc>
        <w:tc>
          <w:tcPr>
            <w:tcW w:w="559" w:type="dxa"/>
            <w:tcBorders>
              <w:top w:val="single" w:sz="10" w:space="0" w:color="000000"/>
              <w:left w:val="single" w:sz="4" w:space="0" w:color="000000"/>
              <w:bottom w:val="single" w:sz="4" w:space="0" w:color="000000"/>
              <w:right w:val="single" w:sz="4" w:space="0" w:color="000000"/>
            </w:tcBorders>
          </w:tcPr>
          <w:p>
            <w:pPr/>
          </w:p>
        </w:tc>
        <w:tc>
          <w:tcPr>
            <w:tcW w:w="353" w:type="dxa"/>
            <w:tcBorders>
              <w:top w:val="single" w:sz="10" w:space="0" w:color="000000"/>
              <w:left w:val="single" w:sz="4" w:space="0" w:color="000000"/>
              <w:bottom w:val="single" w:sz="4" w:space="0" w:color="000000"/>
              <w:right w:val="single" w:sz="4" w:space="0" w:color="000000"/>
            </w:tcBorders>
          </w:tcPr>
          <w:p>
            <w:pPr/>
          </w:p>
        </w:tc>
        <w:tc>
          <w:tcPr>
            <w:tcW w:w="1219" w:type="dxa"/>
            <w:tcBorders>
              <w:top w:val="single" w:sz="10" w:space="0" w:color="000000"/>
              <w:left w:val="single" w:sz="4" w:space="0" w:color="000000"/>
              <w:bottom w:val="single" w:sz="4" w:space="0" w:color="000000"/>
              <w:right w:val="single" w:sz="4" w:space="0" w:color="000000"/>
            </w:tcBorders>
          </w:tcPr>
          <w:p>
            <w:pPr/>
          </w:p>
        </w:tc>
        <w:tc>
          <w:tcPr>
            <w:tcW w:w="1114"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1306" w:type="dxa"/>
            <w:tcBorders>
              <w:top w:val="single" w:sz="10" w:space="0" w:color="000000"/>
              <w:left w:val="single" w:sz="4" w:space="0" w:color="000000"/>
              <w:bottom w:val="single" w:sz="4" w:space="0" w:color="000000"/>
              <w:right w:val="single" w:sz="4" w:space="0" w:color="000000"/>
            </w:tcBorders>
          </w:tcPr>
          <w:p>
            <w:pPr/>
          </w:p>
        </w:tc>
        <w:tc>
          <w:tcPr>
            <w:tcW w:w="559"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662" w:hRule="exact"/>
        </w:trPr>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195,821,670.00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267,699,785.03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19,070,999.24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 w:right="70"/>
              <w:jc w:val="left"/>
              <w:rPr>
                <w:rFonts w:ascii="Calibri" w:hAnsi="Calibri" w:cs="Calibri" w:eastAsia="Calibri" w:hint="default"/>
                <w:sz w:val="18"/>
                <w:szCs w:val="18"/>
              </w:rPr>
            </w:pPr>
            <w:r>
              <w:rPr>
                <w:rFonts w:ascii="Calibri"/>
                <w:sz w:val="18"/>
              </w:rPr>
              <w:t>- 7,607,528.80</w:t>
            </w:r>
          </w:p>
        </w:tc>
        <w:tc>
          <w:tcPr>
            <w:tcW w:w="62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28,317,668.58</w:t>
            </w:r>
          </w:p>
        </w:tc>
        <w:tc>
          <w:tcPr>
            <w:tcW w:w="55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226,281,467.76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12,932,146.14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704,374,209.47</w:t>
            </w:r>
          </w:p>
        </w:tc>
      </w:tr>
    </w:tbl>
    <w:p>
      <w:pPr>
        <w:tabs>
          <w:tab w:pos="6086" w:val="left" w:leader="none"/>
          <w:tab w:pos="11650" w:val="left" w:leader="none"/>
        </w:tabs>
        <w:spacing w:before="76"/>
        <w:ind w:left="10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0"/>
        <w:ind w:left="580" w:right="0"/>
        <w:jc w:val="left"/>
      </w:pPr>
      <w:r>
        <w:rPr/>
        <w:t>上期金额</w:t>
      </w:r>
    </w:p>
    <w:p>
      <w:pPr>
        <w:tabs>
          <w:tab w:pos="13227" w:val="left" w:leader="none"/>
        </w:tabs>
        <w:spacing w:before="201"/>
        <w:ind w:left="10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5"/>
        <w:rPr>
          <w:rFonts w:ascii="宋体" w:hAnsi="宋体" w:cs="宋体" w:eastAsia="宋体" w:hint="default"/>
          <w:sz w:val="16"/>
          <w:szCs w:val="16"/>
        </w:rPr>
      </w:pPr>
    </w:p>
    <w:p>
      <w:pPr>
        <w:spacing w:before="0"/>
        <w:ind w:left="100" w:right="0"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5"/>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836"/>
        <w:gridCol w:w="1195"/>
        <w:gridCol w:w="511"/>
        <w:gridCol w:w="514"/>
        <w:gridCol w:w="516"/>
        <w:gridCol w:w="1195"/>
        <w:gridCol w:w="1104"/>
        <w:gridCol w:w="1056"/>
        <w:gridCol w:w="713"/>
        <w:gridCol w:w="1104"/>
        <w:gridCol w:w="710"/>
        <w:gridCol w:w="1196"/>
        <w:gridCol w:w="1104"/>
        <w:gridCol w:w="1195"/>
      </w:tblGrid>
      <w:tr>
        <w:trPr>
          <w:trHeight w:val="336" w:hRule="exact"/>
        </w:trPr>
        <w:tc>
          <w:tcPr>
            <w:tcW w:w="1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211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w:t>
            </w:r>
            <w:r>
              <w:rPr>
                <w:rFonts w:ascii="Microsoft JhengHei" w:hAnsi="Microsoft JhengHei" w:cs="Microsoft JhengHei" w:eastAsia="Microsoft JhengHei" w:hint="default"/>
                <w:sz w:val="18"/>
                <w:szCs w:val="18"/>
              </w:rPr>
            </w:r>
          </w:p>
        </w:tc>
      </w:tr>
      <w:tr>
        <w:trPr>
          <w:trHeight w:val="336" w:hRule="exact"/>
        </w:trPr>
        <w:tc>
          <w:tcPr>
            <w:tcW w:w="1836" w:type="dxa"/>
            <w:vMerge/>
            <w:tcBorders>
              <w:left w:val="single" w:sz="4" w:space="0" w:color="000000"/>
              <w:right w:val="single" w:sz="4" w:space="0" w:color="000000"/>
            </w:tcBorders>
            <w:shd w:val="clear" w:color="auto" w:fill="D2D2D2"/>
          </w:tcPr>
          <w:p>
            <w:pPr/>
          </w:p>
        </w:tc>
        <w:tc>
          <w:tcPr>
            <w:tcW w:w="981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归属于母公司所有者权益</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9" w:lineRule="auto"/>
              <w:ind w:left="455" w:right="96"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少数股东权 益</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9" w:lineRule="auto"/>
              <w:ind w:left="501" w:right="51" w:hanging="45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336" w:hRule="exact"/>
        </w:trPr>
        <w:tc>
          <w:tcPr>
            <w:tcW w:w="1836" w:type="dxa"/>
            <w:vMerge/>
            <w:tcBorders>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5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其他权益工具</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126"/>
              <w:ind w:left="434" w:right="70" w:hanging="36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 益</w:t>
            </w:r>
            <w:r>
              <w:rPr>
                <w:rFonts w:ascii="Microsoft JhengHei" w:hAnsi="Microsoft JhengHei" w:cs="Microsoft JhengHei" w:eastAsia="Microsoft JhengHei" w:hint="default"/>
                <w:sz w:val="18"/>
                <w:szCs w:val="18"/>
              </w:rPr>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126"/>
              <w:ind w:left="261" w:right="79" w:hanging="18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 备</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9" w:lineRule="auto" w:before="126"/>
              <w:ind w:left="76" w:right="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一般风 险准备</w:t>
            </w:r>
            <w:r>
              <w:rPr>
                <w:rFonts w:ascii="Microsoft JhengHei" w:hAnsi="Microsoft JhengHei" w:cs="Microsoft JhengHei" w:eastAsia="Microsoft JhengHei"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10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662"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58"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优先</w:t>
            </w:r>
            <w:r>
              <w:rPr>
                <w:rFonts w:ascii="Microsoft JhengHei" w:hAnsi="Microsoft JhengHei" w:cs="Microsoft JhengHei" w:eastAsia="Microsoft JhengHei" w:hint="default"/>
                <w:sz w:val="18"/>
                <w:szCs w:val="18"/>
              </w:rPr>
            </w:r>
          </w:p>
          <w:p>
            <w:pPr>
              <w:pStyle w:val="TableParagraph"/>
              <w:spacing w:line="240" w:lineRule="auto" w:before="13"/>
              <w:ind w:left="1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61"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永续</w:t>
            </w:r>
            <w:r>
              <w:rPr>
                <w:rFonts w:ascii="Microsoft JhengHei" w:hAnsi="Microsoft JhengHei" w:cs="Microsoft JhengHei" w:eastAsia="Microsoft JhengHei" w:hint="default"/>
                <w:sz w:val="18"/>
                <w:szCs w:val="18"/>
              </w:rPr>
            </w:r>
          </w:p>
          <w:p>
            <w:pPr>
              <w:pStyle w:val="TableParagraph"/>
              <w:spacing w:line="240" w:lineRule="auto" w:before="13"/>
              <w:ind w:left="1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债</w:t>
            </w:r>
            <w:r>
              <w:rPr>
                <w:rFonts w:ascii="Microsoft JhengHei" w:hAnsi="Microsoft JhengHei" w:cs="Microsoft JhengHei" w:eastAsia="Microsoft JhengHei"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left="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122,309,680.00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Calibri" w:hAnsi="Calibri" w:cs="Calibri" w:eastAsia="Calibri" w:hint="default"/>
                <w:sz w:val="18"/>
                <w:szCs w:val="18"/>
              </w:rPr>
            </w:pPr>
            <w:r>
              <w:rPr>
                <w:rFonts w:ascii="Calibri"/>
                <w:sz w:val="18"/>
              </w:rPr>
              <w:t>336,293,212.08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Calibri" w:hAnsi="Calibri" w:cs="Calibri" w:eastAsia="Calibri" w:hint="default"/>
                <w:sz w:val="18"/>
                <w:szCs w:val="18"/>
              </w:rPr>
            </w:pPr>
            <w:r>
              <w:rPr>
                <w:rFonts w:ascii="Calibri"/>
                <w:sz w:val="18"/>
              </w:rPr>
              <w:t>13,834,983.20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 w:right="63"/>
              <w:jc w:val="left"/>
              <w:rPr>
                <w:rFonts w:ascii="Calibri" w:hAnsi="Calibri" w:cs="Calibri" w:eastAsia="Calibri" w:hint="default"/>
                <w:sz w:val="18"/>
                <w:szCs w:val="18"/>
              </w:rPr>
            </w:pPr>
            <w:r>
              <w:rPr>
                <w:rFonts w:ascii="Calibri"/>
                <w:sz w:val="18"/>
              </w:rPr>
              <w:t>- 7,200,919.93</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19,372,404.02</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155,053,221.81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14,550,072.73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626,542,687.51</w:t>
            </w: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74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44"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122,309,680.00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Calibri" w:hAnsi="Calibri" w:cs="Calibri" w:eastAsia="Calibri" w:hint="default"/>
                <w:sz w:val="18"/>
                <w:szCs w:val="18"/>
              </w:rPr>
            </w:pPr>
            <w:r>
              <w:rPr>
                <w:rFonts w:ascii="Calibri"/>
                <w:sz w:val="18"/>
              </w:rPr>
              <w:t>336,293,212.08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Calibri" w:hAnsi="Calibri" w:cs="Calibri" w:eastAsia="Calibri" w:hint="default"/>
                <w:sz w:val="18"/>
                <w:szCs w:val="18"/>
              </w:rPr>
            </w:pPr>
            <w:r>
              <w:rPr>
                <w:rFonts w:ascii="Calibri"/>
                <w:sz w:val="18"/>
              </w:rPr>
              <w:t>13,834,983.20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19,372,404.02</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155,053,221.81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14,550,072.73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626,542,687.51</w:t>
            </w:r>
          </w:p>
        </w:tc>
      </w:tr>
    </w:tbl>
    <w:p>
      <w:pPr>
        <w:spacing w:after="0" w:line="240" w:lineRule="auto"/>
        <w:jc w:val="center"/>
        <w:rPr>
          <w:rFonts w:ascii="Calibri" w:hAnsi="Calibri" w:cs="Calibri" w:eastAsia="Calibri" w:hint="default"/>
          <w:sz w:val="18"/>
          <w:szCs w:val="18"/>
        </w:rPr>
        <w:sectPr>
          <w:pgSz w:w="16840" w:h="11910" w:orient="landscape"/>
          <w:pgMar w:header="877" w:footer="1085" w:top="1060" w:bottom="1280" w:left="1340" w:right="1320"/>
        </w:sectPr>
      </w:pPr>
    </w:p>
    <w:p>
      <w:pPr>
        <w:spacing w:line="240" w:lineRule="auto" w:before="2"/>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836"/>
        <w:gridCol w:w="1195"/>
        <w:gridCol w:w="511"/>
        <w:gridCol w:w="514"/>
        <w:gridCol w:w="516"/>
        <w:gridCol w:w="1195"/>
        <w:gridCol w:w="1104"/>
        <w:gridCol w:w="1056"/>
        <w:gridCol w:w="713"/>
        <w:gridCol w:w="1104"/>
        <w:gridCol w:w="710"/>
        <w:gridCol w:w="1196"/>
        <w:gridCol w:w="1104"/>
        <w:gridCol w:w="1195"/>
      </w:tblGrid>
      <w:tr>
        <w:trPr>
          <w:trHeight w:val="348" w:hRule="exact"/>
        </w:trPr>
        <w:tc>
          <w:tcPr>
            <w:tcW w:w="183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511" w:type="dxa"/>
            <w:tcBorders>
              <w:top w:val="single" w:sz="10" w:space="0" w:color="000000"/>
              <w:left w:val="single" w:sz="4" w:space="0" w:color="000000"/>
              <w:bottom w:val="single" w:sz="4" w:space="0" w:color="000000"/>
              <w:right w:val="single" w:sz="4" w:space="0" w:color="000000"/>
            </w:tcBorders>
          </w:tcPr>
          <w:p>
            <w:pPr/>
          </w:p>
        </w:tc>
        <w:tc>
          <w:tcPr>
            <w:tcW w:w="514" w:type="dxa"/>
            <w:tcBorders>
              <w:top w:val="single" w:sz="10" w:space="0" w:color="000000"/>
              <w:left w:val="single" w:sz="4" w:space="0" w:color="000000"/>
              <w:bottom w:val="single" w:sz="4" w:space="0" w:color="000000"/>
              <w:right w:val="single" w:sz="4" w:space="0" w:color="000000"/>
            </w:tcBorders>
          </w:tcPr>
          <w:p>
            <w:pPr/>
          </w:p>
        </w:tc>
        <w:tc>
          <w:tcPr>
            <w:tcW w:w="516"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0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Calibri" w:hAnsi="Calibri" w:cs="Calibri" w:eastAsia="Calibri" w:hint="default"/>
                <w:sz w:val="18"/>
                <w:szCs w:val="18"/>
              </w:rPr>
            </w:pPr>
            <w:r>
              <w:rPr>
                <w:rFonts w:ascii="Calibri"/>
                <w:sz w:val="18"/>
              </w:rPr>
              <w:t>7,200,919.93</w:t>
            </w:r>
          </w:p>
        </w:tc>
        <w:tc>
          <w:tcPr>
            <w:tcW w:w="713"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989"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23" w:right="180"/>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 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57" w:lineRule="auto"/>
              <w:ind w:left="23" w:right="63"/>
              <w:jc w:val="left"/>
              <w:rPr>
                <w:rFonts w:ascii="Calibri" w:hAnsi="Calibri" w:cs="Calibri" w:eastAsia="Calibri" w:hint="default"/>
                <w:sz w:val="18"/>
                <w:szCs w:val="18"/>
              </w:rPr>
            </w:pPr>
            <w:r>
              <w:rPr>
                <w:rFonts w:ascii="Calibri"/>
                <w:sz w:val="18"/>
              </w:rPr>
              <w:t>- 1,472,026.58</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Calibri" w:hAnsi="Calibri" w:cs="Calibri" w:eastAsia="Calibri" w:hint="default"/>
                <w:sz w:val="18"/>
                <w:szCs w:val="18"/>
              </w:rPr>
            </w:pPr>
            <w:r>
              <w:rPr>
                <w:rFonts w:ascii="Calibri"/>
                <w:sz w:val="18"/>
              </w:rPr>
              <w:t>4,390,948.46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Calibri" w:hAnsi="Calibri" w:cs="Calibri" w:eastAsia="Calibri" w:hint="default"/>
                <w:sz w:val="18"/>
                <w:szCs w:val="18"/>
              </w:rPr>
            </w:pPr>
            <w:r>
              <w:rPr>
                <w:rFonts w:ascii="Calibri"/>
                <w:sz w:val="18"/>
              </w:rPr>
              <w:t>29,287,024.15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-1,752,348.36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1"/>
              <w:jc w:val="center"/>
              <w:rPr>
                <w:rFonts w:ascii="Calibri" w:hAnsi="Calibri" w:cs="Calibri" w:eastAsia="Calibri" w:hint="default"/>
                <w:sz w:val="18"/>
                <w:szCs w:val="18"/>
              </w:rPr>
            </w:pPr>
            <w:r>
              <w:rPr>
                <w:rFonts w:ascii="Calibri"/>
                <w:sz w:val="18"/>
              </w:rPr>
              <w:t>35,452,773.33</w:t>
            </w: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 w:right="63"/>
              <w:jc w:val="left"/>
              <w:rPr>
                <w:rFonts w:ascii="Calibri" w:hAnsi="Calibri" w:cs="Calibri" w:eastAsia="Calibri" w:hint="default"/>
                <w:sz w:val="18"/>
                <w:szCs w:val="18"/>
              </w:rPr>
            </w:pPr>
            <w:r>
              <w:rPr>
                <w:rFonts w:ascii="Calibri"/>
                <w:sz w:val="18"/>
              </w:rPr>
              <w:t>- 1,472,026.58</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45,894,440.61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-1,752,348.36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1"/>
              <w:jc w:val="center"/>
              <w:rPr>
                <w:rFonts w:ascii="Calibri" w:hAnsi="Calibri" w:cs="Calibri" w:eastAsia="Calibri" w:hint="default"/>
                <w:sz w:val="18"/>
                <w:szCs w:val="18"/>
              </w:rPr>
            </w:pPr>
            <w:r>
              <w:rPr>
                <w:rFonts w:ascii="Calibri"/>
                <w:sz w:val="18"/>
              </w:rPr>
              <w:t>42,670,065.67</w:t>
            </w:r>
          </w:p>
        </w:tc>
      </w:tr>
      <w:tr>
        <w:trPr>
          <w:trHeight w:val="66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180"/>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2"/>
              <w:jc w:val="center"/>
              <w:rPr>
                <w:rFonts w:ascii="Calibri" w:hAnsi="Calibri" w:cs="Calibri" w:eastAsia="Calibri" w:hint="default"/>
                <w:sz w:val="18"/>
                <w:szCs w:val="18"/>
              </w:rPr>
            </w:pPr>
            <w:r>
              <w:rPr>
                <w:rFonts w:ascii="Calibri"/>
                <w:sz w:val="18"/>
              </w:rPr>
              <w:t>4,999,175.66</w:t>
            </w: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7"/>
              <w:ind w:left="23" w:right="89"/>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 者投入资本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89"/>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 者权益的金额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82"/>
              <w:jc w:val="center"/>
              <w:rPr>
                <w:rFonts w:ascii="Calibri" w:hAnsi="Calibri" w:cs="Calibri" w:eastAsia="Calibri" w:hint="default"/>
                <w:sz w:val="18"/>
                <w:szCs w:val="18"/>
              </w:rPr>
            </w:pPr>
            <w:r>
              <w:rPr>
                <w:rFonts w:ascii="Calibri"/>
                <w:sz w:val="18"/>
              </w:rPr>
              <w:t>4,999,175.66</w:t>
            </w: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4,390,948.46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-16,607,416.46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
              <w:jc w:val="center"/>
              <w:rPr>
                <w:rFonts w:ascii="Calibri" w:hAnsi="Calibri" w:cs="Calibri" w:eastAsia="Calibri" w:hint="default"/>
                <w:sz w:val="18"/>
                <w:szCs w:val="18"/>
              </w:rPr>
            </w:pPr>
            <w:r>
              <w:rPr>
                <w:rFonts w:ascii="Calibri"/>
                <w:sz w:val="18"/>
              </w:rPr>
              <w:t>-12,216,468.00</w:t>
            </w: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4,390,948.46</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-4,390,948.46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269"/>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 东）的分配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-12,216,468.00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6"/>
              <w:jc w:val="center"/>
              <w:rPr>
                <w:rFonts w:ascii="Calibri" w:hAnsi="Calibri" w:cs="Calibri" w:eastAsia="Calibri" w:hint="default"/>
                <w:sz w:val="18"/>
                <w:szCs w:val="18"/>
              </w:rPr>
            </w:pPr>
            <w:r>
              <w:rPr>
                <w:rFonts w:ascii="Calibri"/>
                <w:sz w:val="18"/>
              </w:rPr>
              <w:t>-12,216,468.00</w:t>
            </w: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180"/>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085" w:top="1060" w:bottom="1280" w:left="1340" w:right="1320"/>
        </w:sectPr>
      </w:pPr>
    </w:p>
    <w:p>
      <w:pPr>
        <w:spacing w:line="240" w:lineRule="auto" w:before="2"/>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836"/>
        <w:gridCol w:w="1195"/>
        <w:gridCol w:w="511"/>
        <w:gridCol w:w="514"/>
        <w:gridCol w:w="516"/>
        <w:gridCol w:w="1195"/>
        <w:gridCol w:w="1104"/>
        <w:gridCol w:w="1056"/>
        <w:gridCol w:w="713"/>
        <w:gridCol w:w="1104"/>
        <w:gridCol w:w="710"/>
        <w:gridCol w:w="1196"/>
        <w:gridCol w:w="1104"/>
        <w:gridCol w:w="1195"/>
      </w:tblGrid>
      <w:tr>
        <w:trPr>
          <w:trHeight w:val="348" w:hRule="exact"/>
        </w:trPr>
        <w:tc>
          <w:tcPr>
            <w:tcW w:w="18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5" w:type="dxa"/>
            <w:tcBorders>
              <w:top w:val="single" w:sz="10" w:space="0" w:color="000000"/>
              <w:left w:val="single" w:sz="4" w:space="0" w:color="000000"/>
              <w:bottom w:val="single" w:sz="4" w:space="0" w:color="000000"/>
              <w:right w:val="single" w:sz="4" w:space="0" w:color="000000"/>
            </w:tcBorders>
          </w:tcPr>
          <w:p>
            <w:pPr/>
          </w:p>
        </w:tc>
        <w:tc>
          <w:tcPr>
            <w:tcW w:w="511" w:type="dxa"/>
            <w:tcBorders>
              <w:top w:val="single" w:sz="10" w:space="0" w:color="000000"/>
              <w:left w:val="single" w:sz="4" w:space="0" w:color="000000"/>
              <w:bottom w:val="single" w:sz="4" w:space="0" w:color="000000"/>
              <w:right w:val="single" w:sz="4" w:space="0" w:color="000000"/>
            </w:tcBorders>
          </w:tcPr>
          <w:p>
            <w:pPr/>
          </w:p>
        </w:tc>
        <w:tc>
          <w:tcPr>
            <w:tcW w:w="514" w:type="dxa"/>
            <w:tcBorders>
              <w:top w:val="single" w:sz="10" w:space="0" w:color="000000"/>
              <w:left w:val="single" w:sz="4" w:space="0" w:color="000000"/>
              <w:bottom w:val="single" w:sz="4" w:space="0" w:color="000000"/>
              <w:right w:val="single" w:sz="4" w:space="0" w:color="000000"/>
            </w:tcBorders>
          </w:tcPr>
          <w:p>
            <w:pPr/>
          </w:p>
        </w:tc>
        <w:tc>
          <w:tcPr>
            <w:tcW w:w="516"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056" w:type="dxa"/>
            <w:tcBorders>
              <w:top w:val="single" w:sz="10" w:space="0" w:color="000000"/>
              <w:left w:val="single" w:sz="4" w:space="0" w:color="000000"/>
              <w:bottom w:val="single" w:sz="4" w:space="0" w:color="000000"/>
              <w:right w:val="single" w:sz="4" w:space="0" w:color="000000"/>
            </w:tcBorders>
          </w:tcPr>
          <w:p>
            <w:pPr/>
          </w:p>
        </w:tc>
        <w:tc>
          <w:tcPr>
            <w:tcW w:w="713"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122,434,680.00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Calibri" w:hAnsi="Calibri" w:cs="Calibri" w:eastAsia="Calibri" w:hint="default"/>
                <w:sz w:val="18"/>
                <w:szCs w:val="18"/>
              </w:rPr>
            </w:pPr>
            <w:r>
              <w:rPr>
                <w:rFonts w:ascii="Calibri"/>
                <w:sz w:val="18"/>
              </w:rPr>
              <w:t>339,962,376.70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12,629,972.16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3" w:right="63"/>
              <w:jc w:val="left"/>
              <w:rPr>
                <w:rFonts w:ascii="Calibri" w:hAnsi="Calibri" w:cs="Calibri" w:eastAsia="Calibri" w:hint="default"/>
                <w:sz w:val="18"/>
                <w:szCs w:val="18"/>
              </w:rPr>
            </w:pPr>
            <w:r>
              <w:rPr>
                <w:rFonts w:ascii="Calibri"/>
                <w:sz w:val="18"/>
              </w:rPr>
              <w:t>- 8,672,946.51</w:t>
            </w:r>
          </w:p>
        </w:tc>
        <w:tc>
          <w:tcPr>
            <w:tcW w:w="71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23,763,352.48</w:t>
            </w:r>
          </w:p>
        </w:tc>
        <w:tc>
          <w:tcPr>
            <w:tcW w:w="71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184,340,245.96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12,797,724.37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Calibri" w:hAnsi="Calibri" w:cs="Calibri" w:eastAsia="Calibri" w:hint="default"/>
                <w:sz w:val="18"/>
                <w:szCs w:val="18"/>
              </w:rPr>
            </w:pPr>
            <w:r>
              <w:rPr>
                <w:rFonts w:ascii="Calibri"/>
                <w:sz w:val="18"/>
              </w:rPr>
              <w:t>661,995,460.84</w:t>
            </w:r>
          </w:p>
        </w:tc>
      </w:tr>
    </w:tbl>
    <w:p>
      <w:pPr>
        <w:tabs>
          <w:tab w:pos="6086" w:val="left" w:leader="none"/>
          <w:tab w:pos="11650" w:val="left" w:leader="none"/>
        </w:tabs>
        <w:spacing w:before="77"/>
        <w:ind w:left="10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2"/>
        <w:spacing w:line="240" w:lineRule="auto"/>
        <w:ind w:left="582" w:right="0"/>
        <w:jc w:val="left"/>
        <w:rPr>
          <w:b w:val="0"/>
          <w:bCs w:val="0"/>
        </w:rPr>
      </w:pPr>
      <w:r>
        <w:rPr>
          <w:rFonts w:ascii="Calibri" w:hAnsi="Calibri" w:cs="Calibri" w:eastAsia="Calibri" w:hint="default"/>
        </w:rPr>
        <w:t>8</w:t>
      </w:r>
      <w:r>
        <w:rPr/>
        <w:t>、母公司所有者权益变动表</w:t>
      </w:r>
      <w:r>
        <w:rPr>
          <w:b w:val="0"/>
          <w:bCs w:val="0"/>
        </w:rPr>
      </w:r>
    </w:p>
    <w:p>
      <w:pPr>
        <w:spacing w:before="168"/>
        <w:ind w:left="100" w:right="0" w:firstLine="0"/>
        <w:jc w:val="left"/>
        <w:rPr>
          <w:rFonts w:ascii="宋体" w:hAnsi="宋体" w:cs="宋体" w:eastAsia="宋体" w:hint="default"/>
          <w:sz w:val="21"/>
          <w:szCs w:val="21"/>
        </w:rPr>
      </w:pPr>
      <w:r>
        <w:rPr>
          <w:rFonts w:ascii="宋体" w:hAnsi="宋体" w:cs="宋体" w:eastAsia="宋体" w:hint="default"/>
          <w:sz w:val="21"/>
          <w:szCs w:val="21"/>
        </w:rPr>
        <w:t>本期金额</w:t>
      </w:r>
    </w:p>
    <w:p>
      <w:pPr>
        <w:spacing w:line="240" w:lineRule="auto" w:before="5"/>
        <w:rPr>
          <w:rFonts w:ascii="宋体" w:hAnsi="宋体" w:cs="宋体" w:eastAsia="宋体" w:hint="default"/>
          <w:sz w:val="16"/>
          <w:szCs w:val="16"/>
        </w:rPr>
      </w:pPr>
    </w:p>
    <w:p>
      <w:pPr>
        <w:tabs>
          <w:tab w:pos="13227" w:val="left" w:leader="none"/>
        </w:tabs>
        <w:spacing w:before="0"/>
        <w:ind w:left="10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6"/>
        <w:rPr>
          <w:rFonts w:ascii="宋体" w:hAnsi="宋体" w:cs="宋体" w:eastAsia="宋体" w:hint="default"/>
          <w:sz w:val="16"/>
          <w:szCs w:val="16"/>
        </w:rPr>
      </w:pPr>
    </w:p>
    <w:p>
      <w:pPr>
        <w:spacing w:before="0"/>
        <w:ind w:left="100" w:right="0"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40"/>
        <w:gridCol w:w="1195"/>
        <w:gridCol w:w="905"/>
        <w:gridCol w:w="907"/>
        <w:gridCol w:w="907"/>
        <w:gridCol w:w="1196"/>
        <w:gridCol w:w="1104"/>
        <w:gridCol w:w="1097"/>
        <w:gridCol w:w="1104"/>
        <w:gridCol w:w="1105"/>
        <w:gridCol w:w="1195"/>
        <w:gridCol w:w="1195"/>
      </w:tblGrid>
      <w:tr>
        <w:trPr>
          <w:trHeight w:val="336" w:hRule="exact"/>
        </w:trPr>
        <w:tc>
          <w:tcPr>
            <w:tcW w:w="2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9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w:t>
            </w:r>
            <w:r>
              <w:rPr>
                <w:rFonts w:ascii="Microsoft JhengHei" w:hAnsi="Microsoft JhengHei" w:cs="Microsoft JhengHei" w:eastAsia="Microsoft JhengHei" w:hint="default"/>
                <w:sz w:val="18"/>
                <w:szCs w:val="18"/>
              </w:rPr>
            </w:r>
          </w:p>
        </w:tc>
      </w:tr>
      <w:tr>
        <w:trPr>
          <w:trHeight w:val="336" w:hRule="exact"/>
        </w:trPr>
        <w:tc>
          <w:tcPr>
            <w:tcW w:w="2040" w:type="dxa"/>
            <w:vMerge/>
            <w:tcBorders>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2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其他权益工具</w:t>
            </w:r>
            <w:r>
              <w:rPr>
                <w:rFonts w:ascii="Microsoft JhengHei" w:hAnsi="Microsoft JhengHei" w:cs="Microsoft JhengHei" w:eastAsia="Microsoft JhengHei"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w:t>
            </w:r>
            <w:r>
              <w:rPr>
                <w:rFonts w:ascii="Microsoft JhengHei" w:hAnsi="Microsoft JhengHei" w:cs="Microsoft JhengHei" w:eastAsia="Microsoft JhengHei" w:hint="default"/>
                <w:sz w:val="18"/>
                <w:szCs w:val="18"/>
              </w:rPr>
            </w:r>
          </w:p>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益</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w:t>
            </w:r>
            <w:r>
              <w:rPr>
                <w:rFonts w:ascii="Microsoft JhengHei" w:hAnsi="Microsoft JhengHei" w:cs="Microsoft JhengHei" w:eastAsia="Microsoft JhengHei" w:hint="default"/>
                <w:sz w:val="18"/>
                <w:szCs w:val="18"/>
              </w:rPr>
            </w:r>
          </w:p>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336" w:hRule="exact"/>
        </w:trPr>
        <w:tc>
          <w:tcPr>
            <w:tcW w:w="204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优先股</w:t>
            </w:r>
            <w:r>
              <w:rPr>
                <w:rFonts w:ascii="Microsoft JhengHei" w:hAnsi="Microsoft JhengHei" w:cs="Microsoft JhengHei" w:eastAsia="Microsoft JhengHei"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永续债</w:t>
            </w:r>
            <w:r>
              <w:rPr>
                <w:rFonts w:ascii="Microsoft JhengHei" w:hAnsi="Microsoft JhengHei" w:cs="Microsoft JhengHei" w:eastAsia="Microsoft JhengHei"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122,434,680.00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339,962,376.70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12,629,972.16</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23,763,352.48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171,653,704.29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645,184,141.31</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8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122,434,680.00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339,962,376.70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12,629,972.16</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23,763,352.48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171,653,704.29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645,184,141.31</w:t>
            </w:r>
          </w:p>
        </w:tc>
      </w:tr>
      <w:tr>
        <w:trPr>
          <w:trHeight w:val="660"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73,386,990.00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-72,262,591.67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6,441,027.08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4,554,316.10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28,705,490.31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1"/>
              <w:jc w:val="center"/>
              <w:rPr>
                <w:rFonts w:ascii="Calibri" w:hAnsi="Calibri" w:cs="Calibri" w:eastAsia="Calibri" w:hint="default"/>
                <w:sz w:val="18"/>
                <w:szCs w:val="18"/>
              </w:rPr>
            </w:pPr>
            <w:r>
              <w:rPr>
                <w:rFonts w:ascii="Calibri"/>
                <w:sz w:val="18"/>
              </w:rPr>
              <w:t>27,943,177.66</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Calibri" w:hAnsi="Calibri" w:cs="Calibri" w:eastAsia="Calibri" w:hint="default"/>
                <w:sz w:val="18"/>
                <w:szCs w:val="18"/>
              </w:rPr>
            </w:pPr>
            <w:r>
              <w:rPr>
                <w:rFonts w:ascii="Calibri"/>
                <w:sz w:val="18"/>
              </w:rPr>
              <w:t>45,543,161.01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1"/>
              <w:jc w:val="center"/>
              <w:rPr>
                <w:rFonts w:ascii="Calibri" w:hAnsi="Calibri" w:cs="Calibri" w:eastAsia="Calibri" w:hint="default"/>
                <w:sz w:val="18"/>
                <w:szCs w:val="18"/>
              </w:rPr>
            </w:pPr>
            <w:r>
              <w:rPr>
                <w:rFonts w:ascii="Calibri"/>
                <w:sz w:val="18"/>
              </w:rPr>
              <w:t>45,543,161.01</w:t>
            </w: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17"/>
              <w:ind w:left="23" w:right="24"/>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1,198,216.33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6,441,027.08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27"/>
              <w:jc w:val="center"/>
              <w:rPr>
                <w:rFonts w:ascii="Calibri" w:hAnsi="Calibri" w:cs="Calibri" w:eastAsia="Calibri" w:hint="default"/>
                <w:sz w:val="18"/>
                <w:szCs w:val="18"/>
              </w:rPr>
            </w:pPr>
            <w:r>
              <w:rPr>
                <w:rFonts w:ascii="Calibri"/>
                <w:sz w:val="18"/>
              </w:rPr>
              <w:t>-5,242,810.75</w:t>
            </w:r>
          </w:p>
        </w:tc>
      </w:tr>
    </w:tbl>
    <w:p>
      <w:pPr>
        <w:spacing w:after="0" w:line="240" w:lineRule="auto"/>
        <w:jc w:val="center"/>
        <w:rPr>
          <w:rFonts w:ascii="Calibri" w:hAnsi="Calibri" w:cs="Calibri" w:eastAsia="Calibri" w:hint="default"/>
          <w:sz w:val="18"/>
          <w:szCs w:val="18"/>
        </w:rPr>
        <w:sectPr>
          <w:footerReference w:type="default" r:id="rId42"/>
          <w:pgSz w:w="16840" w:h="11910" w:orient="landscape"/>
          <w:pgMar w:footer="1085" w:header="877" w:top="1060" w:bottom="1280" w:left="1340" w:right="1320"/>
        </w:sectPr>
      </w:pPr>
    </w:p>
    <w:p>
      <w:pPr>
        <w:spacing w:line="240" w:lineRule="auto" w:before="9"/>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40"/>
        <w:gridCol w:w="1195"/>
        <w:gridCol w:w="905"/>
        <w:gridCol w:w="907"/>
        <w:gridCol w:w="907"/>
        <w:gridCol w:w="1196"/>
        <w:gridCol w:w="1104"/>
        <w:gridCol w:w="1097"/>
        <w:gridCol w:w="1104"/>
        <w:gridCol w:w="1105"/>
        <w:gridCol w:w="1195"/>
        <w:gridCol w:w="1195"/>
      </w:tblGrid>
      <w:tr>
        <w:trPr>
          <w:trHeight w:val="348" w:hRule="exact"/>
        </w:trPr>
        <w:tc>
          <w:tcPr>
            <w:tcW w:w="20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195" w:type="dxa"/>
            <w:tcBorders>
              <w:top w:val="single" w:sz="10" w:space="0" w:color="000000"/>
              <w:left w:val="single" w:sz="4" w:space="0" w:color="000000"/>
              <w:bottom w:val="single" w:sz="4" w:space="0" w:color="000000"/>
              <w:right w:val="single" w:sz="4" w:space="0" w:color="000000"/>
            </w:tcBorders>
          </w:tcPr>
          <w:p>
            <w:pPr/>
          </w:p>
        </w:tc>
        <w:tc>
          <w:tcPr>
            <w:tcW w:w="905" w:type="dxa"/>
            <w:tcBorders>
              <w:top w:val="single" w:sz="10" w:space="0" w:color="000000"/>
              <w:left w:val="single" w:sz="4" w:space="0" w:color="000000"/>
              <w:bottom w:val="single" w:sz="4" w:space="0" w:color="000000"/>
              <w:right w:val="single" w:sz="4" w:space="0" w:color="000000"/>
            </w:tcBorders>
          </w:tcPr>
          <w:p>
            <w:pPr/>
          </w:p>
        </w:tc>
        <w:tc>
          <w:tcPr>
            <w:tcW w:w="907" w:type="dxa"/>
            <w:tcBorders>
              <w:top w:val="single" w:sz="10" w:space="0" w:color="000000"/>
              <w:left w:val="single" w:sz="4" w:space="0" w:color="000000"/>
              <w:bottom w:val="single" w:sz="4" w:space="0" w:color="000000"/>
              <w:right w:val="single" w:sz="4" w:space="0" w:color="000000"/>
            </w:tcBorders>
          </w:tcPr>
          <w:p>
            <w:pPr/>
          </w:p>
        </w:tc>
        <w:tc>
          <w:tcPr>
            <w:tcW w:w="907"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097"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05"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 投入资本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 权益的金额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1,198,216.33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6,441,027.08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-5,242,810.75</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4,554,316.10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-16,837,670.70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-12,283,354.60</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4,554,316.10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-4,554,316.10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 的分配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-12,283,354.60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-12,283,354.60</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0"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24"/>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73,386,990.00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-73,460,808.00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-73,818.00</w:t>
            </w:r>
          </w:p>
        </w:tc>
      </w:tr>
      <w:tr>
        <w:trPr>
          <w:trHeight w:val="663"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73,386,990.00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-73,460,808.00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-73,818.00</w:t>
            </w: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195,821,670.00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267,699,785.03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19,070,999.24</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28,317,668.58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200,359,194.60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673,127,318.97</w:t>
            </w:r>
          </w:p>
        </w:tc>
      </w:tr>
    </w:tbl>
    <w:p>
      <w:pPr>
        <w:tabs>
          <w:tab w:pos="6086" w:val="left" w:leader="none"/>
          <w:tab w:pos="11650" w:val="left" w:leader="none"/>
        </w:tabs>
        <w:spacing w:before="76"/>
        <w:ind w:left="10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after="0"/>
        <w:jc w:val="left"/>
        <w:rPr>
          <w:rFonts w:ascii="宋体" w:hAnsi="宋体" w:cs="宋体" w:eastAsia="宋体" w:hint="default"/>
          <w:sz w:val="21"/>
          <w:szCs w:val="21"/>
        </w:rPr>
        <w:sectPr>
          <w:footerReference w:type="default" r:id="rId43"/>
          <w:pgSz w:w="16840" w:h="11910" w:orient="landscape"/>
          <w:pgMar w:footer="1085" w:header="877" w:top="1060" w:bottom="1280" w:left="1340" w:right="1320"/>
          <w:pgNumType w:start="111"/>
        </w:sectPr>
      </w:pPr>
    </w:p>
    <w:p>
      <w:pPr>
        <w:spacing w:line="240" w:lineRule="auto" w:before="1"/>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70"/>
        <w:ind w:left="140" w:right="0" w:firstLine="0"/>
        <w:jc w:val="left"/>
        <w:rPr>
          <w:rFonts w:ascii="宋体" w:hAnsi="宋体" w:cs="宋体" w:eastAsia="宋体" w:hint="default"/>
          <w:sz w:val="21"/>
          <w:szCs w:val="21"/>
        </w:rPr>
      </w:pPr>
      <w:r>
        <w:rPr>
          <w:rFonts w:ascii="宋体" w:hAnsi="宋体" w:cs="宋体" w:eastAsia="宋体" w:hint="default"/>
          <w:sz w:val="21"/>
          <w:szCs w:val="21"/>
        </w:rPr>
        <w:t>上期金额</w:t>
      </w:r>
    </w:p>
    <w:p>
      <w:pPr>
        <w:spacing w:line="240" w:lineRule="auto" w:before="5"/>
        <w:rPr>
          <w:rFonts w:ascii="宋体" w:hAnsi="宋体" w:cs="宋体" w:eastAsia="宋体" w:hint="default"/>
          <w:sz w:val="16"/>
          <w:szCs w:val="16"/>
        </w:rPr>
      </w:pPr>
    </w:p>
    <w:p>
      <w:pPr>
        <w:tabs>
          <w:tab w:pos="13267"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w:t>
      </w:r>
    </w:p>
    <w:p>
      <w:pPr>
        <w:spacing w:line="240" w:lineRule="auto" w:before="5"/>
        <w:rPr>
          <w:rFonts w:ascii="宋体" w:hAnsi="宋体" w:cs="宋体" w:eastAsia="宋体" w:hint="default"/>
          <w:sz w:val="16"/>
          <w:szCs w:val="1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元</w:t>
      </w:r>
    </w:p>
    <w:p>
      <w:pPr>
        <w:spacing w:line="240" w:lineRule="auto" w:before="5"/>
        <w:rPr>
          <w:rFonts w:ascii="宋体" w:hAnsi="宋体" w:cs="宋体" w:eastAsia="宋体" w:hint="default"/>
          <w:sz w:val="10"/>
          <w:szCs w:val="10"/>
        </w:rPr>
      </w:pPr>
    </w:p>
    <w:tbl>
      <w:tblPr>
        <w:tblW w:w="0" w:type="auto"/>
        <w:jc w:val="left"/>
        <w:tblInd w:w="140" w:type="dxa"/>
        <w:tblLayout w:type="fixed"/>
        <w:tblCellMar>
          <w:top w:w="0" w:type="dxa"/>
          <w:left w:w="0" w:type="dxa"/>
          <w:bottom w:w="0" w:type="dxa"/>
          <w:right w:w="0" w:type="dxa"/>
        </w:tblCellMar>
        <w:tblLook w:val="01E0"/>
      </w:tblPr>
      <w:tblGrid>
        <w:gridCol w:w="2040"/>
        <w:gridCol w:w="1195"/>
        <w:gridCol w:w="905"/>
        <w:gridCol w:w="907"/>
        <w:gridCol w:w="907"/>
        <w:gridCol w:w="1196"/>
        <w:gridCol w:w="1104"/>
        <w:gridCol w:w="1097"/>
        <w:gridCol w:w="1104"/>
        <w:gridCol w:w="1105"/>
        <w:gridCol w:w="1195"/>
        <w:gridCol w:w="1195"/>
      </w:tblGrid>
      <w:tr>
        <w:trPr>
          <w:trHeight w:val="336" w:hRule="exact"/>
        </w:trPr>
        <w:tc>
          <w:tcPr>
            <w:tcW w:w="2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9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w:t>
            </w:r>
            <w:r>
              <w:rPr>
                <w:rFonts w:ascii="Microsoft JhengHei" w:hAnsi="Microsoft JhengHei" w:cs="Microsoft JhengHei" w:eastAsia="Microsoft JhengHei" w:hint="default"/>
                <w:sz w:val="18"/>
                <w:szCs w:val="18"/>
              </w:rPr>
            </w:r>
          </w:p>
        </w:tc>
      </w:tr>
      <w:tr>
        <w:trPr>
          <w:trHeight w:val="336" w:hRule="exact"/>
        </w:trPr>
        <w:tc>
          <w:tcPr>
            <w:tcW w:w="2040" w:type="dxa"/>
            <w:vMerge/>
            <w:tcBorders>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27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8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其他权益工具</w:t>
            </w:r>
            <w:r>
              <w:rPr>
                <w:rFonts w:ascii="Microsoft JhengHei" w:hAnsi="Microsoft JhengHei" w:cs="Microsoft JhengHei" w:eastAsia="Microsoft JhengHei" w:hint="default"/>
                <w:sz w:val="18"/>
                <w:szCs w:val="18"/>
              </w:rPr>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7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w:t>
            </w:r>
            <w:r>
              <w:rPr>
                <w:rFonts w:ascii="Microsoft JhengHei" w:hAnsi="Microsoft JhengHei" w:cs="Microsoft JhengHei" w:eastAsia="Microsoft JhengHei" w:hint="default"/>
                <w:sz w:val="18"/>
                <w:szCs w:val="18"/>
              </w:rPr>
            </w:r>
          </w:p>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益</w:t>
            </w:r>
            <w:r>
              <w:rPr>
                <w:rFonts w:ascii="Microsoft JhengHei" w:hAnsi="Microsoft JhengHei" w:cs="Microsoft JhengHei" w:eastAsia="Microsoft JhengHei" w:hint="default"/>
                <w:sz w:val="18"/>
                <w:szCs w:val="18"/>
              </w:rPr>
            </w:r>
          </w:p>
        </w:tc>
        <w:tc>
          <w:tcPr>
            <w:tcW w:w="11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1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8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6"/>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79"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w:t>
            </w:r>
            <w:r>
              <w:rPr>
                <w:rFonts w:ascii="Microsoft JhengHei" w:hAnsi="Microsoft JhengHei" w:cs="Microsoft JhengHei" w:eastAsia="Microsoft JhengHei" w:hint="default"/>
                <w:sz w:val="18"/>
                <w:szCs w:val="18"/>
              </w:rPr>
            </w:r>
          </w:p>
          <w:p>
            <w:pPr>
              <w:pStyle w:val="TableParagraph"/>
              <w:spacing w:line="240" w:lineRule="auto" w:before="11"/>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337" w:hRule="exact"/>
        </w:trPr>
        <w:tc>
          <w:tcPr>
            <w:tcW w:w="204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7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优先股</w:t>
            </w:r>
            <w:r>
              <w:rPr>
                <w:rFonts w:ascii="Microsoft JhengHei" w:hAnsi="Microsoft JhengHei" w:cs="Microsoft JhengHei" w:eastAsia="Microsoft JhengHei"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永续债</w:t>
            </w:r>
            <w:r>
              <w:rPr>
                <w:rFonts w:ascii="Microsoft JhengHei" w:hAnsi="Microsoft JhengHei" w:cs="Microsoft JhengHei" w:eastAsia="Microsoft JhengHei" w:hint="default"/>
                <w:sz w:val="18"/>
                <w:szCs w:val="18"/>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2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04"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122,309,680.00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336,293,212.08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Calibri" w:hAnsi="Calibri" w:cs="Calibri" w:eastAsia="Calibri" w:hint="default"/>
                <w:sz w:val="18"/>
                <w:szCs w:val="18"/>
              </w:rPr>
            </w:pPr>
            <w:r>
              <w:rPr>
                <w:rFonts w:ascii="Calibri"/>
                <w:sz w:val="18"/>
              </w:rPr>
              <w:t>13,834,983.20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Calibri" w:hAnsi="Calibri" w:cs="Calibri" w:eastAsia="Calibri" w:hint="default"/>
                <w:sz w:val="18"/>
                <w:szCs w:val="18"/>
              </w:rPr>
            </w:pPr>
            <w:r>
              <w:rPr>
                <w:rFonts w:ascii="Calibri"/>
                <w:sz w:val="18"/>
              </w:rPr>
              <w:t>-218,240.00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19,372,404.02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144,351,636.20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608,273,709.10</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8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122,309,680.00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336,293,212.08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Calibri" w:hAnsi="Calibri" w:cs="Calibri" w:eastAsia="Calibri" w:hint="default"/>
                <w:sz w:val="18"/>
                <w:szCs w:val="18"/>
              </w:rPr>
            </w:pPr>
            <w:r>
              <w:rPr>
                <w:rFonts w:ascii="Calibri"/>
                <w:sz w:val="18"/>
              </w:rPr>
              <w:t>13,834,983.20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Calibri" w:hAnsi="Calibri" w:cs="Calibri" w:eastAsia="Calibri" w:hint="default"/>
                <w:sz w:val="18"/>
                <w:szCs w:val="18"/>
              </w:rPr>
            </w:pPr>
            <w:r>
              <w:rPr>
                <w:rFonts w:ascii="Calibri"/>
                <w:sz w:val="18"/>
              </w:rPr>
              <w:t>-218,240.00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19,372,404.02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144,351,636.20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608,273,709.10</w:t>
            </w:r>
          </w:p>
        </w:tc>
      </w:tr>
      <w:tr>
        <w:trPr>
          <w:trHeight w:val="663"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91"/>
              <w:ind w:left="23"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Calibri" w:hAnsi="Calibri" w:cs="Calibri" w:eastAsia="Calibri" w:hint="default"/>
                <w:sz w:val="18"/>
                <w:szCs w:val="18"/>
              </w:rPr>
            </w:pPr>
            <w:r>
              <w:rPr>
                <w:rFonts w:ascii="Calibri"/>
                <w:sz w:val="18"/>
              </w:rPr>
              <w:t>218,240.00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4,390,948.46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27,302,068.09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1"/>
              <w:jc w:val="center"/>
              <w:rPr>
                <w:rFonts w:ascii="Calibri" w:hAnsi="Calibri" w:cs="Calibri" w:eastAsia="Calibri" w:hint="default"/>
                <w:sz w:val="18"/>
                <w:szCs w:val="18"/>
              </w:rPr>
            </w:pPr>
            <w:r>
              <w:rPr>
                <w:rFonts w:ascii="Calibri"/>
                <w:sz w:val="18"/>
              </w:rPr>
              <w:t>36,910,432.21</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Calibri" w:hAnsi="Calibri" w:cs="Calibri" w:eastAsia="Calibri" w:hint="default"/>
                <w:sz w:val="18"/>
                <w:szCs w:val="18"/>
              </w:rPr>
            </w:pPr>
            <w:r>
              <w:rPr>
                <w:rFonts w:ascii="Calibri"/>
                <w:sz w:val="18"/>
              </w:rPr>
              <w:t>218,240.00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43,909,484.55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Calibri" w:hAnsi="Calibri" w:cs="Calibri" w:eastAsia="Calibri" w:hint="default"/>
                <w:sz w:val="18"/>
                <w:szCs w:val="18"/>
              </w:rPr>
            </w:pPr>
            <w:r>
              <w:rPr>
                <w:rFonts w:ascii="Calibri"/>
                <w:sz w:val="18"/>
              </w:rPr>
              <w:t>44,127,724.55</w:t>
            </w: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24"/>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82"/>
              <w:jc w:val="center"/>
              <w:rPr>
                <w:rFonts w:ascii="Calibri" w:hAnsi="Calibri" w:cs="Calibri" w:eastAsia="Calibri" w:hint="default"/>
                <w:sz w:val="18"/>
                <w:szCs w:val="18"/>
              </w:rPr>
            </w:pPr>
            <w:r>
              <w:rPr>
                <w:rFonts w:ascii="Calibri"/>
                <w:sz w:val="18"/>
              </w:rPr>
              <w:t>4,999,175.66</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．股东投入的普通股</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．其他权益工具持有者 投入资本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．股份支付计入所有者 权益的金额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125,000.00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3,669,164.62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1"/>
              <w:jc w:val="center"/>
              <w:rPr>
                <w:rFonts w:ascii="Calibri" w:hAnsi="Calibri" w:cs="Calibri" w:eastAsia="Calibri" w:hint="default"/>
                <w:sz w:val="18"/>
                <w:szCs w:val="18"/>
              </w:rPr>
            </w:pPr>
            <w:r>
              <w:rPr>
                <w:rFonts w:ascii="Calibri"/>
                <w:sz w:val="18"/>
              </w:rPr>
              <w:t>-1,205,011.04</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82"/>
              <w:jc w:val="center"/>
              <w:rPr>
                <w:rFonts w:ascii="Calibri" w:hAnsi="Calibri" w:cs="Calibri" w:eastAsia="Calibri" w:hint="default"/>
                <w:sz w:val="18"/>
                <w:szCs w:val="18"/>
              </w:rPr>
            </w:pPr>
            <w:r>
              <w:rPr>
                <w:rFonts w:ascii="Calibri"/>
                <w:sz w:val="18"/>
              </w:rPr>
              <w:t>4,999,175.66</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4,390,948.46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-16,607,416.46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
              <w:jc w:val="center"/>
              <w:rPr>
                <w:rFonts w:ascii="Calibri" w:hAnsi="Calibri" w:cs="Calibri" w:eastAsia="Calibri" w:hint="default"/>
                <w:sz w:val="18"/>
                <w:szCs w:val="18"/>
              </w:rPr>
            </w:pPr>
            <w:r>
              <w:rPr>
                <w:rFonts w:ascii="Calibri"/>
                <w:sz w:val="18"/>
              </w:rPr>
              <w:t>-12,216,468.00</w:t>
            </w: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4,390,948.46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-4,390,948.46</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5"/>
              <w:ind w:left="23" w:right="113"/>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．对所有者（或股东） 的分配</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Calibri" w:hAnsi="Calibri" w:cs="Calibri" w:eastAsia="Calibri" w:hint="default"/>
                <w:sz w:val="18"/>
                <w:szCs w:val="18"/>
              </w:rPr>
            </w:pPr>
            <w:r>
              <w:rPr>
                <w:rFonts w:ascii="Calibri"/>
                <w:sz w:val="18"/>
              </w:rPr>
              <w:t>-12,216,468.00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6"/>
              <w:jc w:val="center"/>
              <w:rPr>
                <w:rFonts w:ascii="Calibri" w:hAnsi="Calibri" w:cs="Calibri" w:eastAsia="Calibri" w:hint="default"/>
                <w:sz w:val="18"/>
                <w:szCs w:val="18"/>
              </w:rPr>
            </w:pPr>
            <w:r>
              <w:rPr>
                <w:rFonts w:ascii="Calibri"/>
                <w:sz w:val="18"/>
              </w:rPr>
              <w:t>-12,216,468.00</w:t>
            </w:r>
          </w:p>
        </w:tc>
      </w:tr>
    </w:tbl>
    <w:p>
      <w:pPr>
        <w:spacing w:after="0" w:line="240" w:lineRule="auto"/>
        <w:jc w:val="center"/>
        <w:rPr>
          <w:rFonts w:ascii="Calibri" w:hAnsi="Calibri" w:cs="Calibri" w:eastAsia="Calibri" w:hint="default"/>
          <w:sz w:val="18"/>
          <w:szCs w:val="18"/>
        </w:rPr>
        <w:sectPr>
          <w:pgSz w:w="16840" w:h="11910" w:orient="landscape"/>
          <w:pgMar w:header="877" w:footer="1085" w:top="1060" w:bottom="1280" w:left="1300" w:right="1300"/>
        </w:sectPr>
      </w:pPr>
    </w:p>
    <w:p>
      <w:pPr>
        <w:spacing w:line="240" w:lineRule="auto" w:before="9"/>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40"/>
        <w:gridCol w:w="1195"/>
        <w:gridCol w:w="905"/>
        <w:gridCol w:w="907"/>
        <w:gridCol w:w="907"/>
        <w:gridCol w:w="1196"/>
        <w:gridCol w:w="1104"/>
        <w:gridCol w:w="1097"/>
        <w:gridCol w:w="1104"/>
        <w:gridCol w:w="1105"/>
        <w:gridCol w:w="1195"/>
        <w:gridCol w:w="1195"/>
      </w:tblGrid>
      <w:tr>
        <w:trPr>
          <w:trHeight w:val="348" w:hRule="exact"/>
        </w:trPr>
        <w:tc>
          <w:tcPr>
            <w:tcW w:w="20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195" w:type="dxa"/>
            <w:tcBorders>
              <w:top w:val="single" w:sz="10" w:space="0" w:color="000000"/>
              <w:left w:val="single" w:sz="4" w:space="0" w:color="000000"/>
              <w:bottom w:val="single" w:sz="4" w:space="0" w:color="000000"/>
              <w:right w:val="single" w:sz="4" w:space="0" w:color="000000"/>
            </w:tcBorders>
          </w:tcPr>
          <w:p>
            <w:pPr/>
          </w:p>
        </w:tc>
        <w:tc>
          <w:tcPr>
            <w:tcW w:w="905" w:type="dxa"/>
            <w:tcBorders>
              <w:top w:val="single" w:sz="10" w:space="0" w:color="000000"/>
              <w:left w:val="single" w:sz="4" w:space="0" w:color="000000"/>
              <w:bottom w:val="single" w:sz="4" w:space="0" w:color="000000"/>
              <w:right w:val="single" w:sz="4" w:space="0" w:color="000000"/>
            </w:tcBorders>
          </w:tcPr>
          <w:p>
            <w:pPr/>
          </w:p>
        </w:tc>
        <w:tc>
          <w:tcPr>
            <w:tcW w:w="907" w:type="dxa"/>
            <w:tcBorders>
              <w:top w:val="single" w:sz="10" w:space="0" w:color="000000"/>
              <w:left w:val="single" w:sz="4" w:space="0" w:color="000000"/>
              <w:bottom w:val="single" w:sz="4" w:space="0" w:color="000000"/>
              <w:right w:val="single" w:sz="4" w:space="0" w:color="000000"/>
            </w:tcBorders>
          </w:tcPr>
          <w:p>
            <w:pPr/>
          </w:p>
        </w:tc>
        <w:tc>
          <w:tcPr>
            <w:tcW w:w="907" w:type="dxa"/>
            <w:tcBorders>
              <w:top w:val="single" w:sz="10" w:space="0" w:color="000000"/>
              <w:left w:val="single" w:sz="4" w:space="0" w:color="000000"/>
              <w:bottom w:val="single" w:sz="4" w:space="0" w:color="000000"/>
              <w:right w:val="single" w:sz="4" w:space="0" w:color="000000"/>
            </w:tcBorders>
          </w:tcPr>
          <w:p>
            <w:pPr/>
          </w:p>
        </w:tc>
        <w:tc>
          <w:tcPr>
            <w:tcW w:w="1196"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097" w:type="dxa"/>
            <w:tcBorders>
              <w:top w:val="single" w:sz="10" w:space="0" w:color="000000"/>
              <w:left w:val="single" w:sz="4" w:space="0" w:color="000000"/>
              <w:bottom w:val="single" w:sz="4" w:space="0" w:color="000000"/>
              <w:right w:val="single" w:sz="4" w:space="0" w:color="000000"/>
            </w:tcBorders>
          </w:tcPr>
          <w:p>
            <w:pPr/>
          </w:p>
        </w:tc>
        <w:tc>
          <w:tcPr>
            <w:tcW w:w="1104" w:type="dxa"/>
            <w:tcBorders>
              <w:top w:val="single" w:sz="10" w:space="0" w:color="000000"/>
              <w:left w:val="single" w:sz="4" w:space="0" w:color="000000"/>
              <w:bottom w:val="single" w:sz="4" w:space="0" w:color="000000"/>
              <w:right w:val="single" w:sz="4" w:space="0" w:color="000000"/>
            </w:tcBorders>
          </w:tcPr>
          <w:p>
            <w:pPr/>
          </w:p>
        </w:tc>
        <w:tc>
          <w:tcPr>
            <w:tcW w:w="1105"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c>
          <w:tcPr>
            <w:tcW w:w="1195" w:type="dxa"/>
            <w:tcBorders>
              <w:top w:val="single" w:sz="10"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15"/>
              <w:ind w:left="23" w:right="24"/>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63"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122,434,680.00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339,962,376.70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12,629,972.16</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23,763,352.48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Calibri" w:hAnsi="Calibri" w:cs="Calibri" w:eastAsia="Calibri" w:hint="default"/>
                <w:sz w:val="18"/>
                <w:szCs w:val="18"/>
              </w:rPr>
            </w:pPr>
            <w:r>
              <w:rPr>
                <w:rFonts w:ascii="Calibri"/>
                <w:sz w:val="18"/>
              </w:rPr>
              <w:t>171,653,704.29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Calibri" w:hAnsi="Calibri" w:cs="Calibri" w:eastAsia="Calibri" w:hint="default"/>
                <w:sz w:val="18"/>
                <w:szCs w:val="18"/>
              </w:rPr>
            </w:pPr>
            <w:r>
              <w:rPr>
                <w:rFonts w:ascii="Calibri"/>
                <w:sz w:val="18"/>
              </w:rPr>
              <w:t>645,184,141.31</w:t>
            </w:r>
          </w:p>
        </w:tc>
      </w:tr>
    </w:tbl>
    <w:p>
      <w:pPr>
        <w:tabs>
          <w:tab w:pos="6086" w:val="left" w:leader="none"/>
          <w:tab w:pos="11650" w:val="left" w:leader="none"/>
        </w:tabs>
        <w:spacing w:before="76"/>
        <w:ind w:left="10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主管会计工作负责人：任翔</w:t>
        <w:tab/>
        <w:t>会计机构负责人：冯丽艳</w:t>
      </w:r>
    </w:p>
    <w:p>
      <w:pPr>
        <w:spacing w:after="0"/>
        <w:jc w:val="left"/>
        <w:rPr>
          <w:rFonts w:ascii="宋体" w:hAnsi="宋体" w:cs="宋体" w:eastAsia="宋体" w:hint="default"/>
          <w:sz w:val="21"/>
          <w:szCs w:val="21"/>
        </w:rPr>
        <w:sectPr>
          <w:pgSz w:w="16840" w:h="11910" w:orient="landscape"/>
          <w:pgMar w:header="877" w:footer="1085" w:top="1060" w:bottom="1280" w:left="1340" w:right="13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2"/>
        <w:spacing w:line="367" w:lineRule="exact"/>
        <w:ind w:left="1104" w:right="225"/>
        <w:jc w:val="left"/>
        <w:rPr>
          <w:b w:val="0"/>
          <w:bCs w:val="0"/>
        </w:rPr>
      </w:pPr>
      <w:bookmarkStart w:name="_bookmark71" w:id="72"/>
      <w:bookmarkEnd w:id="72"/>
      <w:r>
        <w:rPr>
          <w:b w:val="0"/>
          <w:bCs w:val="0"/>
        </w:rPr>
      </w:r>
      <w:r>
        <w:rPr/>
        <w:t>三、公司基本情况</w:t>
      </w:r>
      <w:r>
        <w:rPr>
          <w:b w:val="0"/>
          <w:bCs w:val="0"/>
        </w:rPr>
      </w:r>
    </w:p>
    <w:p>
      <w:pPr>
        <w:pStyle w:val="BodyText"/>
        <w:spacing w:line="357" w:lineRule="auto" w:before="126"/>
        <w:ind w:left="622" w:right="225" w:firstLine="479"/>
        <w:jc w:val="left"/>
      </w:pPr>
      <w:r>
        <w:rPr/>
        <w:t>本公司法定代表人：钟耳顺，住所：北京市朝阳区酒仙桥北路甲</w:t>
      </w:r>
      <w:r>
        <w:rPr>
          <w:rFonts w:ascii="宋体" w:hAnsi="宋体" w:cs="宋体" w:eastAsia="宋体" w:hint="default"/>
        </w:rPr>
        <w:t>10</w:t>
      </w:r>
      <w:r>
        <w:rPr/>
        <w:t>号电子城</w:t>
      </w:r>
      <w:r>
        <w:rPr>
          <w:rFonts w:ascii="宋体" w:hAnsi="宋体" w:cs="宋体" w:eastAsia="宋体" w:hint="default"/>
        </w:rPr>
        <w:t>IT</w:t>
      </w:r>
      <w:r>
        <w:rPr/>
        <w:t>产业 园</w:t>
      </w:r>
      <w:r>
        <w:rPr>
          <w:rFonts w:ascii="宋体" w:hAnsi="宋体" w:cs="宋体" w:eastAsia="宋体" w:hint="default"/>
        </w:rPr>
        <w:t>107</w:t>
      </w:r>
      <w:r>
        <w:rPr/>
        <w:t>号楼</w:t>
      </w:r>
      <w:r>
        <w:rPr>
          <w:rFonts w:ascii="宋体" w:hAnsi="宋体" w:cs="宋体" w:eastAsia="宋体" w:hint="default"/>
        </w:rPr>
        <w:t>6</w:t>
      </w:r>
      <w:r>
        <w:rPr/>
        <w:t>层。</w:t>
      </w:r>
    </w:p>
    <w:p>
      <w:pPr>
        <w:pStyle w:val="BodyText"/>
        <w:spacing w:line="357" w:lineRule="auto"/>
        <w:ind w:left="622" w:right="241" w:firstLine="479"/>
        <w:jc w:val="both"/>
      </w:pPr>
      <w:r>
        <w:rPr/>
        <w:t>本公司及其子公司（以下简称“本集团”）经营范围为：地理信息系统、遥感、全 球定位系统、办公自动化软件技术开发、技术咨询、技术转让、技术服务；电子计算机 系统集成；销售开发后的产品；经营本企业和成员企业自产产品及技术出口业务；本企 业和成员企业所需的原辅材料、机械设备、仪器仪表、零配件及技术的进口业务（国家 限定公司经营和国家禁止进出口的商品除外）；经营进料加工和三来一补业务；技术培 训；出租办公用房。</w:t>
      </w:r>
    </w:p>
    <w:p>
      <w:pPr>
        <w:pStyle w:val="BodyText"/>
        <w:spacing w:line="357" w:lineRule="auto"/>
        <w:ind w:left="622" w:right="345" w:firstLine="479"/>
        <w:jc w:val="left"/>
      </w:pPr>
      <w:r>
        <w:rPr/>
        <w:t>本财务报表及财务报表附注业经本公司第三届董事会第十五次会议于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18 </w:t>
      </w:r>
      <w:r>
        <w:rPr/>
        <w:t>日批准。</w:t>
      </w:r>
    </w:p>
    <w:p>
      <w:pPr>
        <w:pStyle w:val="BodyText"/>
        <w:spacing w:line="357" w:lineRule="auto"/>
        <w:ind w:left="622" w:right="345" w:firstLine="479"/>
        <w:jc w:val="left"/>
      </w:pPr>
      <w:r>
        <w:rPr/>
        <w:t>本年度的合并财务报表范围包括本公司及本公司的</w:t>
      </w:r>
      <w:r>
        <w:rPr>
          <w:rFonts w:ascii="宋体" w:hAnsi="宋体" w:cs="宋体" w:eastAsia="宋体" w:hint="default"/>
        </w:rPr>
        <w:t>7</w:t>
      </w:r>
      <w:r>
        <w:rPr/>
        <w:t>个子公司，具体情况详见本财 务报表附注八、合并范围的变动和附注九、在其他主体中的权益之说明。</w:t>
      </w:r>
    </w:p>
    <w:p>
      <w:pPr>
        <w:pStyle w:val="Heading2"/>
        <w:spacing w:line="378" w:lineRule="exact"/>
        <w:ind w:left="1104" w:right="225"/>
        <w:jc w:val="left"/>
        <w:rPr>
          <w:b w:val="0"/>
          <w:bCs w:val="0"/>
        </w:rPr>
      </w:pPr>
      <w:bookmarkStart w:name="_bookmark72" w:id="73"/>
      <w:bookmarkEnd w:id="73"/>
      <w:r>
        <w:rPr>
          <w:b w:val="0"/>
          <w:bCs w:val="0"/>
        </w:rPr>
      </w:r>
      <w:r>
        <w:rPr/>
        <w:t>四、财务报表的编制基础</w:t>
      </w:r>
      <w:r>
        <w:rPr>
          <w:b w:val="0"/>
          <w:bCs w:val="0"/>
        </w:rPr>
      </w:r>
    </w:p>
    <w:p>
      <w:pPr>
        <w:pStyle w:val="BodyText"/>
        <w:spacing w:line="309" w:lineRule="auto" w:before="50"/>
        <w:ind w:left="1101" w:right="465" w:firstLine="2"/>
        <w:jc w:val="left"/>
      </w:pPr>
      <w:r>
        <w:rPr>
          <w:rFonts w:ascii="Calibri" w:hAnsi="Calibri" w:cs="Calibri" w:eastAsia="Calibri" w:hint="default"/>
          <w:b/>
          <w:bCs/>
        </w:rPr>
        <w:t>1</w:t>
      </w:r>
      <w:r>
        <w:rPr>
          <w:rFonts w:ascii="Microsoft JhengHei" w:hAnsi="Microsoft JhengHei" w:cs="Microsoft JhengHei" w:eastAsia="Microsoft JhengHei" w:hint="default"/>
          <w:b/>
          <w:bCs/>
        </w:rPr>
        <w:t>、编制基础 </w:t>
      </w:r>
      <w:r>
        <w:rPr/>
        <w:t>本财务报表按照财政部颁布的企业会计准则及其应用指南、解释及其他有关规定</w:t>
      </w:r>
    </w:p>
    <w:p>
      <w:pPr>
        <w:pStyle w:val="BodyText"/>
        <w:spacing w:line="357" w:lineRule="auto" w:before="84"/>
        <w:ind w:left="622" w:right="224"/>
        <w:jc w:val="left"/>
      </w:pPr>
      <w:r>
        <w:rPr/>
        <w:t>（统称“企业会计准则”）编制。此外，本集团还按照中国证监会《公开发行证券的公 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年修订）披露有关财务信 息。</w:t>
      </w:r>
    </w:p>
    <w:p>
      <w:pPr>
        <w:pStyle w:val="BodyText"/>
        <w:spacing w:line="357" w:lineRule="auto"/>
        <w:ind w:left="622" w:right="225" w:firstLine="479"/>
        <w:jc w:val="left"/>
      </w:pPr>
      <w:r>
        <w:rPr/>
        <w:t>本集团会计核算以权责发生制为基础。除某些金融工具外，本财务报表均以历史成 本为计量基础。资产如果发生减值，则按照相关规定计提相应的减值准备。</w:t>
      </w:r>
    </w:p>
    <w:p>
      <w:pPr>
        <w:pStyle w:val="Heading2"/>
        <w:spacing w:line="382" w:lineRule="exact"/>
        <w:ind w:left="1104" w:right="225"/>
        <w:jc w:val="left"/>
        <w:rPr>
          <w:b w:val="0"/>
          <w:bCs w:val="0"/>
        </w:rPr>
      </w:pPr>
      <w:r>
        <w:rPr>
          <w:rFonts w:ascii="Calibri" w:hAnsi="Calibri" w:cs="Calibri" w:eastAsia="Calibri" w:hint="default"/>
        </w:rPr>
        <w:t>2</w:t>
      </w:r>
      <w:r>
        <w:rPr/>
        <w:t>、持续经营</w:t>
      </w:r>
      <w:r>
        <w:rPr>
          <w:b w:val="0"/>
          <w:bCs w:val="0"/>
        </w:rPr>
      </w:r>
    </w:p>
    <w:p>
      <w:pPr>
        <w:spacing w:line="470" w:lineRule="auto" w:before="123"/>
        <w:ind w:left="1101" w:right="5025"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本财务报表以持续经营为基础列报。 </w:t>
      </w:r>
      <w:bookmarkStart w:name="_bookmark73" w:id="74"/>
      <w:bookmarkEnd w:id="74"/>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sz w:val="24"/>
          <w:szCs w:val="24"/>
        </w:rPr>
      </w:r>
    </w:p>
    <w:p>
      <w:pPr>
        <w:pStyle w:val="Heading2"/>
        <w:spacing w:line="382" w:lineRule="exact"/>
        <w:ind w:left="1104" w:right="225"/>
        <w:jc w:val="left"/>
        <w:rPr>
          <w:b w:val="0"/>
          <w:bCs w:val="0"/>
        </w:rPr>
      </w:pPr>
      <w:r>
        <w:rPr>
          <w:rFonts w:ascii="Times New Roman" w:hAnsi="Times New Roman" w:cs="Times New Roman" w:eastAsia="Times New Roman" w:hint="default"/>
        </w:rPr>
        <w:t>1</w:t>
      </w:r>
      <w:r>
        <w:rPr/>
        <w:t>、遵循企业会计准则的声明</w:t>
      </w:r>
      <w:r>
        <w:rPr>
          <w:b w:val="0"/>
          <w:bCs w:val="0"/>
        </w:rPr>
      </w:r>
    </w:p>
    <w:p>
      <w:pPr>
        <w:pStyle w:val="BodyText"/>
        <w:spacing w:line="326" w:lineRule="auto" w:before="126"/>
        <w:ind w:left="622" w:right="226" w:firstLine="482"/>
        <w:jc w:val="both"/>
      </w:pPr>
      <w:r>
        <w:rPr/>
        <w:t>本集团财务报表符合企业会计准则的要求，真实、完整地反映了本集团</w:t>
      </w:r>
      <w:r>
        <w:rPr>
          <w:rFonts w:ascii="Calibri" w:hAnsi="Calibri" w:cs="Calibri" w:eastAsia="Calibri" w:hint="default"/>
        </w:rPr>
        <w:t>2015</w:t>
      </w:r>
      <w:r>
        <w:rPr/>
        <w:t>年</w:t>
      </w:r>
      <w:r>
        <w:rPr>
          <w:rFonts w:ascii="Calibri" w:hAnsi="Calibri" w:cs="Calibri" w:eastAsia="Calibri" w:hint="default"/>
        </w:rPr>
        <w:t>12</w:t>
      </w:r>
      <w:r>
        <w:rPr/>
        <w:t>月 </w:t>
      </w:r>
      <w:r>
        <w:rPr>
          <w:rFonts w:ascii="Calibri" w:hAnsi="Calibri" w:cs="Calibri" w:eastAsia="Calibri" w:hint="default"/>
        </w:rPr>
        <w:t>31</w:t>
      </w:r>
      <w:r>
        <w:rPr/>
        <w:t>日的合并及公司财务状况以及</w:t>
      </w:r>
      <w:r>
        <w:rPr>
          <w:rFonts w:ascii="Calibri" w:hAnsi="Calibri" w:cs="Calibri" w:eastAsia="Calibri" w:hint="default"/>
        </w:rPr>
        <w:t>2015</w:t>
      </w:r>
      <w:r>
        <w:rPr/>
        <w:t>年度的合并及公司经营成果和合并及公司现金流量 等有关信息。</w:t>
      </w:r>
    </w:p>
    <w:p>
      <w:pPr>
        <w:spacing w:after="0" w:line="326" w:lineRule="auto"/>
        <w:jc w:val="both"/>
        <w:sectPr>
          <w:headerReference w:type="default" r:id="rId44"/>
          <w:footerReference w:type="default" r:id="rId45"/>
          <w:pgSz w:w="11910" w:h="16840"/>
          <w:pgMar w:header="884" w:footer="1085" w:top="1300" w:bottom="1280" w:left="1080" w:right="840"/>
          <w:pgNumType w:start="114"/>
        </w:sectPr>
      </w:pPr>
    </w:p>
    <w:p>
      <w:pPr>
        <w:spacing w:line="240" w:lineRule="auto" w:before="7"/>
        <w:rPr>
          <w:rFonts w:ascii="宋体" w:hAnsi="宋体" w:cs="宋体" w:eastAsia="宋体" w:hint="default"/>
          <w:sz w:val="10"/>
          <w:szCs w:val="10"/>
        </w:rPr>
      </w:pPr>
    </w:p>
    <w:p>
      <w:pPr>
        <w:pStyle w:val="Heading2"/>
        <w:spacing w:line="367" w:lineRule="exact"/>
        <w:ind w:left="1104" w:right="225"/>
        <w:jc w:val="left"/>
        <w:rPr>
          <w:b w:val="0"/>
          <w:bCs w:val="0"/>
        </w:rPr>
      </w:pPr>
      <w:r>
        <w:rPr>
          <w:rFonts w:ascii="Times New Roman" w:hAnsi="Times New Roman" w:cs="Times New Roman" w:eastAsia="Times New Roman" w:hint="default"/>
        </w:rPr>
        <w:t>2</w:t>
      </w:r>
      <w:r>
        <w:rPr/>
        <w:t>、会计期间</w:t>
      </w:r>
      <w:r>
        <w:rPr>
          <w:b w:val="0"/>
          <w:bCs w:val="0"/>
        </w:rPr>
      </w:r>
    </w:p>
    <w:p>
      <w:pPr>
        <w:pStyle w:val="BodyText"/>
        <w:spacing w:line="240" w:lineRule="auto" w:before="126"/>
        <w:ind w:left="1104" w:right="225"/>
        <w:jc w:val="left"/>
      </w:pPr>
      <w:r>
        <w:rPr/>
        <w:t>本集团会计期间采用公历年度，即每年自</w:t>
      </w:r>
      <w:r>
        <w:rPr>
          <w:rFonts w:ascii="Calibri" w:hAnsi="Calibri" w:cs="Calibri" w:eastAsia="Calibri" w:hint="default"/>
        </w:rPr>
        <w:t>1</w:t>
      </w:r>
      <w:r>
        <w:rPr/>
        <w:t>月</w:t>
      </w:r>
      <w:r>
        <w:rPr>
          <w:rFonts w:ascii="Calibri" w:hAnsi="Calibri" w:cs="Calibri" w:eastAsia="Calibri" w:hint="default"/>
        </w:rPr>
        <w:t>1</w:t>
      </w:r>
      <w:r>
        <w:rPr/>
        <w:t>日起至</w:t>
      </w:r>
      <w:r>
        <w:rPr>
          <w:rFonts w:ascii="Calibri" w:hAnsi="Calibri" w:cs="Calibri" w:eastAsia="Calibri" w:hint="default"/>
        </w:rPr>
        <w:t>12</w:t>
      </w:r>
      <w:r>
        <w:rPr/>
        <w:t>月</w:t>
      </w:r>
      <w:r>
        <w:rPr>
          <w:rFonts w:ascii="Calibri" w:hAnsi="Calibri" w:cs="Calibri" w:eastAsia="Calibri" w:hint="default"/>
        </w:rPr>
        <w:t>31</w:t>
      </w:r>
      <w:r>
        <w:rPr/>
        <w:t>日止。</w:t>
      </w:r>
    </w:p>
    <w:p>
      <w:pPr>
        <w:spacing w:line="292" w:lineRule="auto" w:before="47"/>
        <w:ind w:left="1104" w:right="573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、营业周期</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本集团的营业周期为</w:t>
      </w:r>
      <w:r>
        <w:rPr>
          <w:rFonts w:ascii="Calibri" w:hAnsi="Calibri" w:cs="Calibri" w:eastAsia="Calibri" w:hint="default"/>
          <w:sz w:val="24"/>
          <w:szCs w:val="24"/>
        </w:rPr>
        <w:t>12</w:t>
      </w:r>
      <w:r>
        <w:rPr>
          <w:rFonts w:ascii="宋体" w:hAnsi="宋体" w:cs="宋体" w:eastAsia="宋体" w:hint="default"/>
          <w:sz w:val="24"/>
          <w:szCs w:val="24"/>
        </w:rPr>
        <w:t>个月。 </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、记账本位币</w:t>
      </w:r>
      <w:r>
        <w:rPr>
          <w:rFonts w:ascii="Microsoft JhengHei" w:hAnsi="Microsoft JhengHei" w:cs="Microsoft JhengHei" w:eastAsia="Microsoft JhengHei" w:hint="default"/>
          <w:sz w:val="24"/>
          <w:szCs w:val="24"/>
        </w:rPr>
      </w:r>
    </w:p>
    <w:p>
      <w:pPr>
        <w:pStyle w:val="BodyText"/>
        <w:spacing w:line="357" w:lineRule="auto" w:before="56"/>
        <w:ind w:left="622" w:right="222" w:firstLine="482"/>
        <w:jc w:val="left"/>
      </w:pPr>
      <w:r>
        <w:rPr/>
        <w:t>本集团及境内子公司以人民币为记账本位币。本集团编制财务报表时所采用的货币 为人民币。</w:t>
      </w:r>
    </w:p>
    <w:p>
      <w:pPr>
        <w:pStyle w:val="BodyText"/>
        <w:spacing w:line="357" w:lineRule="auto"/>
        <w:ind w:left="622" w:right="222" w:firstLine="482"/>
        <w:jc w:val="left"/>
      </w:pPr>
      <w:r>
        <w:rPr/>
        <w:t>本集团下属境外子公司、合营企业及联营企业，根据其经营所处的主要经济环境自 行决定其记账本位币，向本公司报送财务报表时折算为人民币。</w:t>
      </w:r>
    </w:p>
    <w:p>
      <w:pPr>
        <w:pStyle w:val="Heading2"/>
        <w:spacing w:line="378" w:lineRule="exact"/>
        <w:ind w:left="1104" w:right="22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26" w:lineRule="auto" w:before="126"/>
        <w:ind w:left="1104" w:right="222"/>
        <w:jc w:val="left"/>
      </w:pPr>
      <w:r>
        <w:rPr/>
        <w:t>（</w:t>
      </w:r>
      <w:r>
        <w:rPr>
          <w:rFonts w:ascii="Calibri" w:hAnsi="Calibri" w:cs="Calibri" w:eastAsia="Calibri" w:hint="default"/>
        </w:rPr>
        <w:t>1</w:t>
      </w:r>
      <w:r>
        <w:rPr/>
        <w:t>）同一控制下的企业合并 对于同一控制下的企业合并，合并方在合并中取得的被合并方的资产、负债，除因</w:t>
      </w:r>
    </w:p>
    <w:p>
      <w:pPr>
        <w:pStyle w:val="BodyText"/>
        <w:spacing w:line="357" w:lineRule="auto" w:before="67"/>
        <w:ind w:left="622" w:right="224"/>
        <w:jc w:val="left"/>
      </w:pPr>
      <w:r>
        <w:rPr/>
        <w:t>会计政策不同而进行的调整以外，按合并日被合并方在最终控制方合并财务报表中的账 面价值计量。合并对价的账面价值或发行股份面值总额与合并中取得的净资产账面价值 的差额调整资本公积（股本溢价），资本公积（股本溢价）不足冲减的，调整留存收 益。</w:t>
      </w:r>
    </w:p>
    <w:p>
      <w:pPr>
        <w:pStyle w:val="BodyText"/>
        <w:spacing w:line="357" w:lineRule="auto"/>
        <w:ind w:left="1104" w:right="222"/>
        <w:jc w:val="left"/>
      </w:pPr>
      <w:r>
        <w:rPr/>
        <w:t>通过多次交易分步实现同一控制下的企业合并 在个别财务报表中，以合并日持股比例计算的合并日应享有被合并方净资产在最终</w:t>
      </w:r>
    </w:p>
    <w:p>
      <w:pPr>
        <w:pStyle w:val="BodyText"/>
        <w:spacing w:line="357" w:lineRule="auto"/>
        <w:ind w:left="622" w:right="241"/>
        <w:jc w:val="both"/>
      </w:pPr>
      <w:r>
        <w:rPr/>
        <w:t>控制方合并财务报表中的账面价值的份额作为该项投资的初始投资成本；初始投资成本 与原持有投资的账面价值加上合并日新增投资成本之和的差额，调整资本公积（股本溢 价），资本公积不足冲减的，调整留存收益。</w:t>
      </w:r>
    </w:p>
    <w:p>
      <w:pPr>
        <w:pStyle w:val="BodyText"/>
        <w:spacing w:line="357" w:lineRule="auto"/>
        <w:ind w:left="622" w:right="241" w:firstLine="482"/>
        <w:jc w:val="both"/>
      </w:pPr>
      <w:r>
        <w:rPr/>
        <w:t>在合并财务报表中，合并方在合并中取得的被合并方的资产、负债，除因会计政策 不同而进行的调整以外，按合并日在最终控制方合并财务报表中的账面价值计量；原持 有投资的账面价值加上合并日新增投资成本之和，与合并中取得的净资产账面价值的差 额，调整资本公积（股本溢价），资本公积不足冲减的，调整留存收益。合并方在达到 合并之前持有的长期股权投资，在取得日与合并方与被合并方同处于同一方最终控制之 日孰晚日与合并日之间已确认有关损益、其他综合收益和其他所有者权益变动，应分别 冲减比较报表期间的期初留存收益或当期损益。</w:t>
      </w:r>
    </w:p>
    <w:p>
      <w:pPr>
        <w:pStyle w:val="BodyText"/>
        <w:spacing w:line="240" w:lineRule="auto"/>
        <w:ind w:left="1104" w:right="225"/>
        <w:jc w:val="left"/>
      </w:pPr>
      <w:r>
        <w:rPr/>
        <w:t>（</w:t>
      </w:r>
      <w:r>
        <w:rPr>
          <w:rFonts w:ascii="Calibri" w:hAnsi="Calibri" w:cs="Calibri" w:eastAsia="Calibri" w:hint="default"/>
        </w:rPr>
        <w:t>2</w:t>
      </w:r>
      <w:r>
        <w:rPr/>
        <w:t>）非同一控制下的企业合并</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1" w:firstLine="482"/>
        <w:jc w:val="both"/>
      </w:pPr>
      <w:r>
        <w:rPr/>
        <w:t>对于非同一控制下的企业合并，合并成本为购买日为取得对被购买方的控制权而付 出的资产、发生或承担的负债以及发行的权益性证券的公允价值。在购买日，取得的被 购买方的资产、负债及或有负债按公允价值确认。</w:t>
      </w:r>
    </w:p>
    <w:p>
      <w:pPr>
        <w:pStyle w:val="BodyText"/>
        <w:spacing w:line="357" w:lineRule="auto"/>
        <w:ind w:left="622" w:right="241" w:firstLine="482"/>
        <w:jc w:val="both"/>
      </w:pPr>
      <w:r>
        <w:rPr/>
        <w:t>对合并成本大于合并中取得的被购买方可辨认净资产公允价值份额的差额，确认为 商誉，按成本扣除累计减值准备进行后续计量；对合并成本小于合并中取得的被购买方 可辨认净资产公允价值份额的差额，经复核后计入当期损益。</w:t>
      </w:r>
    </w:p>
    <w:p>
      <w:pPr>
        <w:pStyle w:val="BodyText"/>
        <w:spacing w:line="357" w:lineRule="auto"/>
        <w:ind w:left="1104" w:right="222"/>
        <w:jc w:val="left"/>
      </w:pPr>
      <w:r>
        <w:rPr/>
        <w:t>通过多次交易分步实现非同一控制下的企业合并 在个别财务报表中，以购买日之前所持被购买方的股权投资的账面价值与购买日新</w:t>
      </w:r>
    </w:p>
    <w:p>
      <w:pPr>
        <w:pStyle w:val="BodyText"/>
        <w:spacing w:line="357" w:lineRule="auto" w:before="37"/>
        <w:ind w:left="622" w:right="242"/>
        <w:jc w:val="both"/>
      </w:pPr>
      <w:r>
        <w:rPr/>
        <w:t>增投资成本之和，作为该项投资的初始投资成本。购买日之前持有的股权投资因采用权 益法核算而确认的其他综合收益，应当在处置该项投资时采用与被投资单位直接处置相 关资产或负债相同的基础进行会计处理；因被投资方除净损益、其他综合收益和利润分 配以外的其他所有者权益变动而确认的所有者权益，应当在处置该项投资时转入处置期</w:t>
      </w:r>
    </w:p>
    <w:p>
      <w:pPr>
        <w:pStyle w:val="BodyText"/>
        <w:spacing w:line="340" w:lineRule="auto"/>
        <w:ind w:left="622" w:right="242"/>
        <w:jc w:val="both"/>
      </w:pPr>
      <w:r>
        <w:rPr/>
        <w:t>间的当期损益。购买日之前持有的股权投资按照《企业会计准则第</w:t>
      </w:r>
      <w:r>
        <w:rPr>
          <w:rFonts w:ascii="Calibri" w:hAnsi="Calibri" w:cs="Calibri" w:eastAsia="Calibri" w:hint="default"/>
        </w:rPr>
        <w:t>22</w:t>
      </w:r>
      <w:r>
        <w:rPr/>
        <w:t>号</w:t>
      </w:r>
      <w:r>
        <w:rPr>
          <w:rFonts w:ascii="Calibri" w:hAnsi="Calibri" w:cs="Calibri" w:eastAsia="Calibri" w:hint="default"/>
        </w:rPr>
        <w:t>——</w:t>
      </w:r>
      <w:r>
        <w:rPr/>
        <w:t>金融工具确 认和计量》的有关规定进行会计处理的，原计入其他综合收益的累计公允价值变动应当 在改按成本法核算时转入当期损益。</w:t>
      </w:r>
    </w:p>
    <w:p>
      <w:pPr>
        <w:pStyle w:val="BodyText"/>
        <w:spacing w:line="357" w:lineRule="auto" w:before="53"/>
        <w:ind w:left="622" w:right="241" w:firstLine="482"/>
        <w:jc w:val="both"/>
      </w:pPr>
      <w:r>
        <w:rPr/>
        <w:t>在合并财务报表中，合并成本为购买日支付的对价与购买日之前已经持有的被购买 方的股权在购买日的公允价值之和；对于购买日之前已经持有的被购买方的股权，按照 购买日的公允价值进行重新计量，公允价值与其账面价值之间的差额计入当期收益；购 买日之前已经持有的被购买方的股权涉及其他综合收益、其他所有者权益变动应当转为 购买日当期收益，由于被投资方重新计量设定收益计划净负债或净资产变动而产生的其 他综合收益除外。</w:t>
      </w:r>
    </w:p>
    <w:p>
      <w:pPr>
        <w:pStyle w:val="BodyText"/>
        <w:spacing w:line="326" w:lineRule="auto"/>
        <w:ind w:left="1104" w:right="222"/>
        <w:jc w:val="left"/>
      </w:pPr>
      <w:r>
        <w:rPr/>
        <w:t>（</w:t>
      </w:r>
      <w:r>
        <w:rPr>
          <w:rFonts w:ascii="Calibri" w:hAnsi="Calibri" w:cs="Calibri" w:eastAsia="Calibri" w:hint="default"/>
        </w:rPr>
        <w:t>3</w:t>
      </w:r>
      <w:r>
        <w:rPr/>
        <w:t>）企业合并中有关交易费用的处理 为进行企业合并发生的审计、法律服务、评估咨询等中介费用以及其他相关管理费</w:t>
      </w:r>
    </w:p>
    <w:p>
      <w:pPr>
        <w:pStyle w:val="BodyText"/>
        <w:spacing w:line="357" w:lineRule="auto" w:before="67"/>
        <w:ind w:left="622" w:right="464"/>
        <w:jc w:val="left"/>
      </w:pPr>
      <w:r>
        <w:rPr/>
        <w:t>用，于发生时计入当期损益。作为合并对价发行的权益性证券或债务性证券的交易费 用，计入权益性证券或债务性证券的初始确认金额。</w:t>
      </w:r>
    </w:p>
    <w:p>
      <w:pPr>
        <w:pStyle w:val="Heading2"/>
        <w:spacing w:line="378" w:lineRule="exact"/>
        <w:ind w:left="1104" w:right="225"/>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57" w:lineRule="auto" w:before="126"/>
        <w:ind w:left="622" w:right="241" w:firstLine="482"/>
        <w:jc w:val="both"/>
      </w:pPr>
      <w:r>
        <w:rPr/>
        <w:t>合并财务报表以本集团和子公司的财务报表为基础，根据其他有关资料，由本集团 编制。在编制合并财务报表时，本集团和子公司的会计政策和会计期间要求保持一致， 公司间的重大交易和往来余额予以抵销。</w:t>
      </w:r>
    </w:p>
    <w:p>
      <w:pPr>
        <w:spacing w:after="0" w:line="357"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1" w:firstLine="482"/>
        <w:jc w:val="both"/>
      </w:pPr>
      <w:r>
        <w:rPr/>
        <w:t>在报告期内因同一控制下企业合并增加的子公司以及业务，视同该子公司以及业务 自同受最终控制方控制之日起纳入本集团的合并范围，将其自同受最终控制方控制之日 起的经营成果和现金流量纳入合并利润表和合并现金流量表中。</w:t>
      </w:r>
    </w:p>
    <w:p>
      <w:pPr>
        <w:pStyle w:val="BodyText"/>
        <w:spacing w:line="357" w:lineRule="auto"/>
        <w:ind w:left="622" w:right="222" w:firstLine="482"/>
        <w:jc w:val="left"/>
      </w:pPr>
      <w:r>
        <w:rPr/>
        <w:t>因非同一控制下企业合并增加的子公司以及业务，将该子公司以及业务自购买日至 报告期末的收入、费用、利润纳入合并利润表，将其现金流量纳入合并现金流量表。</w:t>
      </w:r>
    </w:p>
    <w:p>
      <w:pPr>
        <w:pStyle w:val="BodyText"/>
        <w:spacing w:line="348" w:lineRule="auto"/>
        <w:ind w:left="622" w:right="241" w:firstLine="482"/>
        <w:jc w:val="both"/>
      </w:pPr>
      <w:r>
        <w:rPr/>
        <w:t>子公司的股东权益中不属于本集团所拥有的部分作为少数股东权益在合并资产负债 表中股东权益项下单独列示。子公司当期净损益中属于少数股东权益的份额，在合并利 润表中净利润项目下以</w:t>
      </w:r>
      <w:r>
        <w:rPr>
          <w:rFonts w:ascii="Calibri" w:hAnsi="Calibri" w:cs="Calibri" w:eastAsia="Calibri" w:hint="default"/>
        </w:rPr>
        <w:t>“</w:t>
      </w:r>
      <w:r>
        <w:rPr/>
        <w:t>少数股东损益</w:t>
      </w:r>
      <w:r>
        <w:rPr>
          <w:rFonts w:ascii="Calibri" w:hAnsi="Calibri" w:cs="Calibri" w:eastAsia="Calibri" w:hint="default"/>
        </w:rPr>
        <w:t>”</w:t>
      </w:r>
      <w:r>
        <w:rPr/>
        <w:t>项目列示。少数股东分担的子公司的亏损超过了 少数股东在该子公司期初所有者权益中所享有的份额，其余额仍冲减少数股东权益。</w:t>
      </w:r>
    </w:p>
    <w:p>
      <w:pPr>
        <w:pStyle w:val="BodyText"/>
        <w:spacing w:line="348" w:lineRule="auto" w:before="46"/>
        <w:ind w:left="622" w:right="131" w:firstLine="482"/>
        <w:jc w:val="left"/>
      </w:pPr>
      <w:r>
        <w:rPr/>
        <w:t>对于购买子公司少数股权或因处置部分股权投资但没有丧失对该子公司控制权的交 易，作为权益性交易核算，调整归属于母公司所有者权益和少数股东权益的账面价值以 反映其在子公司中相关权益的变化。少数股东权益的调整额与支付</w:t>
      </w:r>
      <w:r>
        <w:rPr>
          <w:rFonts w:ascii="Calibri" w:hAnsi="Calibri" w:cs="Calibri" w:eastAsia="Calibri" w:hint="default"/>
        </w:rPr>
        <w:t>/</w:t>
      </w:r>
      <w:r>
        <w:rPr/>
        <w:t>收到对价的公允价值 之间的差额调整资本公积，资本公积不足冲减的，调整留存收益。</w:t>
      </w:r>
    </w:p>
    <w:p>
      <w:pPr>
        <w:pStyle w:val="Heading2"/>
        <w:spacing w:line="387" w:lineRule="exact"/>
        <w:ind w:left="1104" w:right="225"/>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357" w:lineRule="auto" w:before="126"/>
        <w:ind w:left="1101" w:right="225"/>
        <w:jc w:val="left"/>
      </w:pPr>
      <w:r>
        <w:rPr/>
        <w:t>本集团能够对被投资单位施加重大影响的，为本集团的联营企业。 对联营企业或合营企业的权益性投资全部或部分分类为持有待售资产的： 持有待售的非流动资产和持有待售的处置组中的资产不计提折旧或进行摊销，按照</w:t>
      </w:r>
    </w:p>
    <w:p>
      <w:pPr>
        <w:pStyle w:val="BodyText"/>
        <w:spacing w:line="326" w:lineRule="auto"/>
        <w:ind w:left="622" w:right="363"/>
        <w:jc w:val="left"/>
      </w:pPr>
      <w:r>
        <w:rPr/>
        <w:t>账面价值与公允价值减去处置费用后的净额孰低进行计量，并列报为</w:t>
      </w:r>
      <w:r>
        <w:rPr>
          <w:rFonts w:ascii="Calibri" w:hAnsi="Calibri" w:cs="Calibri" w:eastAsia="Calibri" w:hint="default"/>
        </w:rPr>
        <w:t>“</w:t>
      </w:r>
      <w:r>
        <w:rPr/>
        <w:t>划分为持有待售 的资产</w:t>
      </w:r>
      <w:r>
        <w:rPr>
          <w:rFonts w:ascii="Calibri" w:hAnsi="Calibri" w:cs="Calibri" w:eastAsia="Calibri" w:hint="default"/>
        </w:rPr>
        <w:t>”</w:t>
      </w:r>
      <w:r>
        <w:rPr/>
        <w:t>。持有待售的处置组中的负债，列报为</w:t>
      </w:r>
      <w:r>
        <w:rPr>
          <w:rFonts w:ascii="Calibri" w:hAnsi="Calibri" w:cs="Calibri" w:eastAsia="Calibri" w:hint="default"/>
        </w:rPr>
        <w:t>“</w:t>
      </w:r>
      <w:r>
        <w:rPr/>
        <w:t>划分为持有待售的负债</w:t>
      </w:r>
      <w:r>
        <w:rPr>
          <w:rFonts w:ascii="Calibri" w:hAnsi="Calibri" w:cs="Calibri" w:eastAsia="Calibri" w:hint="default"/>
        </w:rPr>
        <w:t>”</w:t>
      </w:r>
      <w:r>
        <w:rPr/>
        <w:t>。</w:t>
      </w:r>
    </w:p>
    <w:p>
      <w:pPr>
        <w:pStyle w:val="BodyText"/>
        <w:spacing w:line="357" w:lineRule="auto" w:before="17"/>
        <w:ind w:left="622" w:right="225" w:firstLine="479"/>
        <w:jc w:val="left"/>
      </w:pPr>
      <w:r>
        <w:rPr/>
        <w:t>某项非流动资产或处置组被划归为持有待售，但后来不再满足持有待售的非流动资 产的确认条件，企业应当停止将其划归为持有待售，并按照下列两项金额中较低者计 量：</w:t>
      </w:r>
    </w:p>
    <w:p>
      <w:pPr>
        <w:pStyle w:val="BodyText"/>
        <w:spacing w:line="357" w:lineRule="auto" w:before="37"/>
        <w:ind w:left="622" w:right="341" w:firstLine="479"/>
        <w:jc w:val="left"/>
      </w:pPr>
      <w:r>
        <w:rPr/>
        <w:t>①</w:t>
      </w:r>
      <w:r>
        <w:rPr>
          <w:spacing w:val="4"/>
        </w:rPr>
        <w:t> </w:t>
      </w:r>
      <w:r>
        <w:rPr/>
        <w:t>该资产或处置组被划归为持有待售之前的账面价值，按照其假定在没有被划归</w:t>
      </w:r>
      <w:r>
        <w:rPr/>
        <w:t> 为持有待售的情况下原应确认的折旧、摊销或减值进行调整后的金额；</w:t>
      </w:r>
    </w:p>
    <w:p>
      <w:pPr>
        <w:pStyle w:val="BodyText"/>
        <w:spacing w:line="357" w:lineRule="auto"/>
        <w:ind w:left="1101" w:right="225"/>
        <w:jc w:val="left"/>
      </w:pPr>
      <w:r>
        <w:rPr/>
        <w:t>②</w:t>
      </w:r>
      <w:r>
        <w:rPr>
          <w:spacing w:val="4"/>
        </w:rPr>
        <w:t> </w:t>
      </w:r>
      <w:r>
        <w:rPr/>
        <w:t>决定不再出售之日的再收回金额。</w:t>
      </w:r>
      <w:r>
        <w:rPr/>
        <w:t> 终止经营，是指满足下列条件之一的已被企业处置或被企业划归为持有待售的、在</w:t>
      </w:r>
    </w:p>
    <w:p>
      <w:pPr>
        <w:pStyle w:val="BodyText"/>
        <w:spacing w:line="240" w:lineRule="auto"/>
        <w:ind w:left="622" w:right="225"/>
        <w:jc w:val="left"/>
      </w:pPr>
      <w:r>
        <w:rPr/>
        <w:t>经营和编制财务报表时能够单独区分的组成部分：</w:t>
      </w:r>
    </w:p>
    <w:p>
      <w:pPr>
        <w:pStyle w:val="BodyText"/>
        <w:spacing w:line="240" w:lineRule="auto" w:before="154"/>
        <w:ind w:left="1101" w:right="225"/>
        <w:jc w:val="left"/>
      </w:pPr>
      <w:r>
        <w:rPr/>
        <w:t>（</w:t>
      </w:r>
      <w:r>
        <w:rPr>
          <w:rFonts w:ascii="Calibri" w:hAnsi="Calibri" w:cs="Calibri" w:eastAsia="Calibri" w:hint="default"/>
        </w:rPr>
        <w:t>1</w:t>
      </w:r>
      <w:r>
        <w:rPr/>
        <w:t>）该组成部分代表一项独立的主要业务或一个主要经营地区。</w:t>
      </w:r>
    </w:p>
    <w:p>
      <w:pPr>
        <w:pStyle w:val="BodyText"/>
        <w:spacing w:line="240" w:lineRule="auto" w:before="123"/>
        <w:ind w:left="1101" w:right="225"/>
        <w:jc w:val="left"/>
      </w:pPr>
      <w:r>
        <w:rPr/>
        <w:t>（</w:t>
      </w:r>
      <w:r>
        <w:rPr>
          <w:rFonts w:ascii="Calibri" w:hAnsi="Calibri" w:cs="Calibri" w:eastAsia="Calibri" w:hint="default"/>
        </w:rPr>
        <w:t>2</w:t>
      </w:r>
      <w:r>
        <w:rPr/>
        <w:t>）该组成部分是拟对一项独立的主要业务或一个主要经营地区进行处置计划的</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622" w:right="0"/>
        <w:jc w:val="both"/>
      </w:pPr>
      <w:r>
        <w:rPr/>
        <w:t>一部分。</w:t>
      </w:r>
    </w:p>
    <w:p>
      <w:pPr>
        <w:spacing w:line="292" w:lineRule="auto" w:before="154"/>
        <w:ind w:left="1101" w:right="225" w:firstLine="0"/>
        <w:jc w:val="left"/>
        <w:rPr>
          <w:rFonts w:ascii="宋体" w:hAnsi="宋体" w:cs="宋体" w:eastAsia="宋体" w:hint="default"/>
          <w:sz w:val="24"/>
          <w:szCs w:val="24"/>
        </w:rPr>
      </w:pPr>
      <w:r>
        <w:rPr>
          <w:rFonts w:ascii="宋体" w:hAnsi="宋体" w:cs="宋体" w:eastAsia="宋体" w:hint="default"/>
          <w:sz w:val="24"/>
          <w:szCs w:val="24"/>
        </w:rPr>
        <w:t>（</w:t>
      </w:r>
      <w:r>
        <w:rPr>
          <w:rFonts w:ascii="Calibri" w:hAnsi="Calibri" w:cs="Calibri" w:eastAsia="Calibri" w:hint="default"/>
          <w:sz w:val="24"/>
          <w:szCs w:val="24"/>
        </w:rPr>
        <w:t>3</w:t>
      </w:r>
      <w:r>
        <w:rPr>
          <w:rFonts w:ascii="宋体" w:hAnsi="宋体" w:cs="宋体" w:eastAsia="宋体" w:hint="default"/>
          <w:sz w:val="24"/>
          <w:szCs w:val="24"/>
        </w:rPr>
        <w:t>）该组成部分是仅仅为了再出售而取得的子公司。 </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、现金及现金等价物的确定标准</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现金是指库存现金以及可以随时用于支付的存款。现金等价物，是指本集团持有的</w:t>
      </w:r>
    </w:p>
    <w:p>
      <w:pPr>
        <w:pStyle w:val="BodyText"/>
        <w:spacing w:line="240" w:lineRule="auto" w:before="101"/>
        <w:ind w:left="622" w:right="0"/>
        <w:jc w:val="both"/>
      </w:pPr>
      <w:r>
        <w:rPr/>
        <w:t>期限短、流动性强、易于转换为已知金额现金、价值变动风险很小的投资。</w:t>
      </w:r>
    </w:p>
    <w:p>
      <w:pPr>
        <w:pStyle w:val="Heading2"/>
        <w:spacing w:line="240" w:lineRule="auto" w:before="77"/>
        <w:ind w:left="1224" w:right="225"/>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340" w:lineRule="auto" w:before="126"/>
        <w:ind w:left="1101" w:right="225"/>
        <w:jc w:val="left"/>
      </w:pPr>
      <w:r>
        <w:rPr/>
        <w:t>（</w:t>
      </w:r>
      <w:r>
        <w:rPr>
          <w:rFonts w:ascii="Calibri" w:hAnsi="Calibri" w:cs="Calibri" w:eastAsia="Calibri" w:hint="default"/>
        </w:rPr>
        <w:t>1</w:t>
      </w:r>
      <w:r>
        <w:rPr/>
        <w:t>）外币业务 本集团发生外币业务，按交易发生日的即期汇率折算为记账本位币金额。 资产负债表日，对外币货币性项目，采用资产负债表日即期汇率折算。因资产负债</w:t>
      </w:r>
    </w:p>
    <w:p>
      <w:pPr>
        <w:pStyle w:val="BodyText"/>
        <w:spacing w:line="357" w:lineRule="auto" w:before="53"/>
        <w:ind w:left="622" w:right="242"/>
        <w:jc w:val="both"/>
      </w:pPr>
      <w:r>
        <w:rPr/>
        <w:t>表日即期汇率与初始确认时或者前一资产负债表日即期汇率不同而产生的汇兑差额，计 入当期损益；对以历史成本计量的外币非货币性项目，仍采用交易发生日的即期汇率折 算；对以公允价值计量的外币非货币性项目，采用公允价值确定日的即期汇率折算，折 算后的记账本位币金额与原记账本位币金额的差额，计入当期损益。</w:t>
      </w:r>
    </w:p>
    <w:p>
      <w:pPr>
        <w:pStyle w:val="BodyText"/>
        <w:spacing w:line="326" w:lineRule="auto"/>
        <w:ind w:left="1101" w:right="225"/>
        <w:jc w:val="left"/>
      </w:pPr>
      <w:r>
        <w:rPr/>
        <w:t>（</w:t>
      </w:r>
      <w:r>
        <w:rPr>
          <w:rFonts w:ascii="Calibri" w:hAnsi="Calibri" w:cs="Calibri" w:eastAsia="Calibri" w:hint="default"/>
        </w:rPr>
        <w:t>2</w:t>
      </w:r>
      <w:r>
        <w:rPr/>
        <w:t>）外币财务报表的折算 资产负债表日，对境外子公司外币财务报表进行折算时，资产负债表中的资产和负</w:t>
      </w:r>
    </w:p>
    <w:p>
      <w:pPr>
        <w:pStyle w:val="BodyText"/>
        <w:spacing w:line="326" w:lineRule="auto" w:before="68"/>
        <w:ind w:left="622" w:right="279"/>
        <w:jc w:val="both"/>
      </w:pPr>
      <w:r>
        <w:rPr/>
        <w:t>债项目，采用资产负债表日的即期汇率折算，股东权益项目除</w:t>
      </w:r>
      <w:r>
        <w:rPr>
          <w:rFonts w:ascii="Calibri" w:hAnsi="Calibri" w:cs="Calibri" w:eastAsia="Calibri" w:hint="default"/>
        </w:rPr>
        <w:t>“</w:t>
      </w:r>
      <w:r>
        <w:rPr/>
        <w:t>未分配利润</w:t>
      </w:r>
      <w:r>
        <w:rPr>
          <w:rFonts w:ascii="Calibri" w:hAnsi="Calibri" w:cs="Calibri" w:eastAsia="Calibri" w:hint="default"/>
        </w:rPr>
        <w:t>”</w:t>
      </w:r>
      <w:r>
        <w:rPr/>
        <w:t>外，其他项 目采用发生日的即期汇率折算。</w:t>
      </w:r>
    </w:p>
    <w:p>
      <w:pPr>
        <w:pStyle w:val="BodyText"/>
        <w:spacing w:line="357" w:lineRule="auto" w:before="67"/>
        <w:ind w:left="622" w:right="225" w:firstLine="479"/>
        <w:jc w:val="left"/>
      </w:pPr>
      <w:r>
        <w:rPr/>
        <w:t>利润表中的收入和费用项目，采用按照系统合理的方法确定的、与交易发生日即期 汇率近似的汇率折算。</w:t>
      </w:r>
    </w:p>
    <w:p>
      <w:pPr>
        <w:pStyle w:val="BodyText"/>
        <w:spacing w:line="340" w:lineRule="auto"/>
        <w:ind w:left="622" w:right="225" w:firstLine="479"/>
        <w:jc w:val="left"/>
      </w:pPr>
      <w:r>
        <w:rPr/>
        <w:t>现金流量表所有项目均按照系统合理的方法确定的、与现金流量发生日即期汇率近 似的汇率折算。汇率变动对现金的影响额作为调节项目，在现金流量表中单独列示</w:t>
      </w:r>
      <w:r>
        <w:rPr>
          <w:rFonts w:ascii="Calibri" w:hAnsi="Calibri" w:cs="Calibri" w:eastAsia="Calibri" w:hint="default"/>
        </w:rPr>
        <w:t>“</w:t>
      </w:r>
      <w:r>
        <w:rPr/>
        <w:t>汇 率变动对现金及现金等价物的影响</w:t>
      </w:r>
      <w:r>
        <w:rPr>
          <w:rFonts w:ascii="Calibri" w:hAnsi="Calibri" w:cs="Calibri" w:eastAsia="Calibri" w:hint="default"/>
        </w:rPr>
        <w:t>” </w:t>
      </w:r>
      <w:r>
        <w:rPr>
          <w:rFonts w:ascii="Calibri" w:hAnsi="Calibri" w:cs="Calibri" w:eastAsia="Calibri" w:hint="default"/>
          <w:spacing w:val="15"/>
        </w:rPr>
        <w:t> </w:t>
      </w:r>
      <w:r>
        <w:rPr/>
        <w:t>项目反映。</w:t>
      </w:r>
    </w:p>
    <w:p>
      <w:pPr>
        <w:pStyle w:val="BodyText"/>
        <w:spacing w:line="326" w:lineRule="auto" w:before="0"/>
        <w:ind w:left="622" w:right="264" w:firstLine="479"/>
        <w:jc w:val="left"/>
      </w:pPr>
      <w:r>
        <w:rPr/>
        <w:t>由于财务报表折算而产生的差额，在资产负债表股东权益项目下的</w:t>
      </w:r>
      <w:r>
        <w:rPr>
          <w:rFonts w:ascii="Calibri" w:hAnsi="Calibri" w:cs="Calibri" w:eastAsia="Calibri" w:hint="default"/>
        </w:rPr>
        <w:t>“</w:t>
      </w:r>
      <w:r>
        <w:rPr/>
        <w:t>其他综合收益</w:t>
      </w:r>
      <w:r>
        <w:rPr>
          <w:rFonts w:ascii="Calibri" w:hAnsi="Calibri" w:cs="Calibri" w:eastAsia="Calibri" w:hint="default"/>
        </w:rPr>
        <w:t>”</w:t>
      </w:r>
      <w:r>
        <w:rPr>
          <w:rFonts w:ascii="Calibri" w:hAnsi="Calibri" w:cs="Calibri" w:eastAsia="Calibri" w:hint="default"/>
          <w:w w:val="99"/>
        </w:rPr>
        <w:t> </w:t>
      </w:r>
      <w:r>
        <w:rPr/>
        <w:t>项目反映。</w:t>
      </w:r>
    </w:p>
    <w:p>
      <w:pPr>
        <w:pStyle w:val="BodyText"/>
        <w:spacing w:line="357" w:lineRule="auto" w:before="67"/>
        <w:ind w:left="622" w:right="225" w:firstLine="479"/>
        <w:jc w:val="left"/>
      </w:pPr>
      <w:r>
        <w:rPr/>
        <w:t>处置境外经营并丧失控制权时，将资产负债表中股东权益项目下列示的、与该境外 经营相关的外币报表折算差额，全部或按处置该境外经营的比例转入处置当期损益。</w:t>
      </w:r>
    </w:p>
    <w:p>
      <w:pPr>
        <w:pStyle w:val="Heading2"/>
        <w:spacing w:line="378" w:lineRule="exact"/>
        <w:ind w:left="1104" w:right="225"/>
        <w:jc w:val="left"/>
        <w:rPr>
          <w:b w:val="0"/>
          <w:bCs w:val="0"/>
        </w:rPr>
      </w:pPr>
      <w:r>
        <w:rPr>
          <w:rFonts w:ascii="Times New Roman" w:hAnsi="Times New Roman" w:cs="Times New Roman" w:eastAsia="Times New Roman" w:hint="default"/>
        </w:rPr>
        <w:t>10</w:t>
      </w:r>
      <w:r>
        <w:rPr/>
        <w:t>、金融工具</w:t>
      </w:r>
      <w:r>
        <w:rPr>
          <w:b w:val="0"/>
          <w:bCs w:val="0"/>
        </w:rPr>
      </w:r>
    </w:p>
    <w:p>
      <w:pPr>
        <w:pStyle w:val="BodyText"/>
        <w:spacing w:line="357" w:lineRule="auto" w:before="126"/>
        <w:ind w:left="622" w:right="225" w:firstLine="479"/>
        <w:jc w:val="left"/>
      </w:pPr>
      <w:r>
        <w:rPr/>
        <w:t>金融工具是指形成一个企业的金融资产，并形成其他单位的金融负债或权益工具的 合同。</w:t>
      </w:r>
    </w:p>
    <w:p>
      <w:pPr>
        <w:spacing w:after="0" w:line="357"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40" w:lineRule="auto" w:before="26"/>
        <w:ind w:left="1101" w:right="1665"/>
        <w:jc w:val="left"/>
      </w:pPr>
      <w:r>
        <w:rPr/>
        <w:t>（</w:t>
      </w:r>
      <w:r>
        <w:rPr>
          <w:rFonts w:ascii="Calibri" w:hAnsi="Calibri" w:cs="Calibri" w:eastAsia="Calibri"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53"/>
        <w:ind w:left="1101" w:right="225"/>
        <w:jc w:val="left"/>
      </w:pPr>
      <w:r>
        <w:rPr/>
        <w:t>①</w:t>
      </w:r>
      <w:r>
        <w:rPr>
          <w:spacing w:val="4"/>
        </w:rPr>
        <w:t> </w:t>
      </w:r>
      <w:r>
        <w:rPr/>
        <w:t>收取该金融资产现金流量的合同权利终止；</w:t>
      </w:r>
    </w:p>
    <w:p>
      <w:pPr>
        <w:pStyle w:val="BodyText"/>
        <w:spacing w:line="357" w:lineRule="auto" w:before="154"/>
        <w:ind w:left="1101" w:right="225"/>
        <w:jc w:val="left"/>
      </w:pPr>
      <w:r>
        <w:rPr/>
        <w:t>②</w:t>
      </w:r>
      <w:r>
        <w:rPr>
          <w:spacing w:val="4"/>
        </w:rPr>
        <w:t> </w:t>
      </w:r>
      <w:r>
        <w:rPr/>
        <w:t>该金融资产已转移，且符合下述金融资产转移的终止确认条件。</w:t>
      </w:r>
      <w:r>
        <w:rPr/>
        <w:t> 金融负债的现时义务全部或部分已经解除的，终止确认该金融负债或其一部分。本</w:t>
      </w:r>
    </w:p>
    <w:p>
      <w:pPr>
        <w:pStyle w:val="BodyText"/>
        <w:spacing w:line="357" w:lineRule="auto"/>
        <w:ind w:left="622" w:right="242"/>
        <w:jc w:val="both"/>
      </w:pPr>
      <w:r>
        <w:rPr/>
        <w:t>集团（债务人）与债权人之间签订协议，以承担新金融负债方式替换现存金融负债，且 新金融负债与现存金融负债的合同条款实质上不同的，终止确认现存金融负债，并同时 确认新金融负债。</w:t>
      </w:r>
    </w:p>
    <w:p>
      <w:pPr>
        <w:pStyle w:val="BodyText"/>
        <w:spacing w:line="240" w:lineRule="auto"/>
        <w:ind w:left="1101" w:right="225"/>
        <w:jc w:val="left"/>
      </w:pPr>
      <w:r>
        <w:rPr/>
        <w:t>以常规方式买卖金融资产，按交易日进行会计确认和终止确认。</w:t>
      </w:r>
    </w:p>
    <w:p>
      <w:pPr>
        <w:pStyle w:val="BodyText"/>
        <w:spacing w:line="326" w:lineRule="auto" w:before="154"/>
        <w:ind w:left="1101" w:right="225"/>
        <w:jc w:val="left"/>
      </w:pPr>
      <w:r>
        <w:rPr/>
        <w:t>（</w:t>
      </w:r>
      <w:r>
        <w:rPr>
          <w:rFonts w:ascii="Calibri" w:hAnsi="Calibri" w:cs="Calibri" w:eastAsia="Calibri" w:hint="default"/>
        </w:rPr>
        <w:t>2</w:t>
      </w:r>
      <w:r>
        <w:rPr/>
        <w:t>）金融资产分类和计量 本集团的金融资产于初始确认时分为以下四类：以公允价值计量且其变动计入当期</w:t>
      </w:r>
    </w:p>
    <w:p>
      <w:pPr>
        <w:pStyle w:val="BodyText"/>
        <w:spacing w:line="357" w:lineRule="auto" w:before="67"/>
        <w:ind w:left="622" w:right="242"/>
        <w:jc w:val="both"/>
      </w:pPr>
      <w:r>
        <w:rPr/>
        <w:t>损益的金融资产、持有至到期投资、贷款和应收款项、可供出售金融资产。金融资产在 初始确认时以公允价值计量。对于以公允价值计量且其变动计入当期损益的金融资产， 相关交易费用直接计入当期损益，其他类别的金融资产相关交易费用计入其初始确认金 额。</w:t>
      </w:r>
    </w:p>
    <w:p>
      <w:pPr>
        <w:pStyle w:val="BodyText"/>
        <w:spacing w:line="357" w:lineRule="auto"/>
        <w:ind w:left="1101" w:right="225"/>
        <w:jc w:val="left"/>
      </w:pPr>
      <w:r>
        <w:rPr/>
        <w:t>①以公允价值计量且其变动计入当期损益的金融资产 以公允价值计量且其变动计入当期损益的金融资产，包括交易性金融资产和初始确</w:t>
      </w:r>
    </w:p>
    <w:p>
      <w:pPr>
        <w:pStyle w:val="BodyText"/>
        <w:spacing w:line="357" w:lineRule="auto"/>
        <w:ind w:left="622" w:right="242"/>
        <w:jc w:val="both"/>
      </w:pPr>
      <w:r>
        <w:rPr/>
        <w:t>认时指定为以公允价值计量且其变动计入当期损益的金融资产。对于此类金融资产，采 用公允价值进行后续计量，公允价值变动形成的利得或损失以及与该等金融资产相关的 股利和利息收入计入当期损益。</w:t>
      </w:r>
    </w:p>
    <w:p>
      <w:pPr>
        <w:pStyle w:val="BodyText"/>
        <w:spacing w:line="357" w:lineRule="auto"/>
        <w:ind w:left="1101" w:right="225"/>
        <w:jc w:val="left"/>
      </w:pPr>
      <w:r>
        <w:rPr/>
        <w:t>②持有至到期投资 持有至到期投资，是指到期日固定、回收金额固定或可确定，且本集团有明确意图</w:t>
      </w:r>
    </w:p>
    <w:p>
      <w:pPr>
        <w:pStyle w:val="BodyText"/>
        <w:spacing w:line="357" w:lineRule="auto"/>
        <w:ind w:left="622" w:right="242"/>
        <w:jc w:val="both"/>
      </w:pPr>
      <w:r>
        <w:rPr/>
        <w:t>和能力持有至到期的非衍生金融资产。持有至到期投资采用实际利率法，按照摊余成本 进行后续计量，其终止确认、发生减值或摊销产生的利得或损失，均计入当期损益。</w:t>
      </w:r>
    </w:p>
    <w:p>
      <w:pPr>
        <w:pStyle w:val="BodyText"/>
        <w:spacing w:line="357" w:lineRule="auto"/>
        <w:ind w:left="1101" w:right="465"/>
        <w:jc w:val="left"/>
      </w:pPr>
      <w:r>
        <w:rPr/>
        <w:t>③应收款项 应收款项，是指在活跃市场中没有报价、回收金额固定或可确定的非衍生金融资</w:t>
      </w:r>
    </w:p>
    <w:p>
      <w:pPr>
        <w:pStyle w:val="BodyText"/>
        <w:spacing w:line="326" w:lineRule="auto"/>
        <w:ind w:left="622" w:right="240"/>
        <w:jc w:val="both"/>
      </w:pPr>
      <w:r>
        <w:rPr/>
        <w:t>产，包括应收账款和其他应收款等（见附注三、</w:t>
      </w:r>
      <w:r>
        <w:rPr>
          <w:rFonts w:ascii="Calibri" w:hAnsi="Calibri" w:cs="Calibri" w:eastAsia="Calibri" w:hint="default"/>
        </w:rPr>
        <w:t>11</w:t>
      </w:r>
      <w:r>
        <w:rPr/>
        <w:t>）。应收款项采用实际利率法，按摊 余成本进行后续计量，在终止确认、发生减值或摊销时产生的利得或损失，计入当期损</w:t>
      </w:r>
    </w:p>
    <w:p>
      <w:pPr>
        <w:spacing w:after="0" w:line="326"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622" w:right="0"/>
        <w:jc w:val="both"/>
      </w:pPr>
      <w:r>
        <w:rPr/>
        <w:t>益。</w:t>
      </w:r>
    </w:p>
    <w:p>
      <w:pPr>
        <w:pStyle w:val="BodyText"/>
        <w:spacing w:line="357" w:lineRule="auto" w:before="154"/>
        <w:ind w:left="1101" w:right="225"/>
        <w:jc w:val="left"/>
      </w:pPr>
      <w:r>
        <w:rPr/>
        <w:t>④可供出售金融资产 可供出售金融资产，是指初始确认时即指定为可供出售的非衍生金融资产，以及除</w:t>
      </w:r>
    </w:p>
    <w:p>
      <w:pPr>
        <w:pStyle w:val="BodyText"/>
        <w:spacing w:line="357" w:lineRule="auto"/>
        <w:ind w:left="622" w:right="241"/>
        <w:jc w:val="both"/>
      </w:pPr>
      <w:r>
        <w:rPr/>
        <w:t>上述金融资产类别以外的金融资产。可供出售金融资产采用公允价值进行后续计量，其 折溢价采用实际利率法摊销并确认为利息收入。除减值损失及外币货币性金融资产的汇 兑差额确认为当期损益外，可供出售金融资产的公允价值变动确认为其他综合收益并计 入资本公积，在该金融资产终止确认时转出，计入当期损益。与可供出售金融资产相关 的股利或利息收入，计入当期损益。</w:t>
      </w:r>
    </w:p>
    <w:p>
      <w:pPr>
        <w:pStyle w:val="BodyText"/>
        <w:spacing w:line="326" w:lineRule="auto" w:before="37"/>
        <w:ind w:left="1101" w:right="225"/>
        <w:jc w:val="left"/>
      </w:pPr>
      <w:r>
        <w:rPr/>
        <w:t>（</w:t>
      </w:r>
      <w:r>
        <w:rPr>
          <w:rFonts w:ascii="Calibri" w:hAnsi="Calibri" w:cs="Calibri" w:eastAsia="Calibri" w:hint="default"/>
        </w:rPr>
        <w:t>3</w:t>
      </w:r>
      <w:r>
        <w:rPr/>
        <w:t>）金融负债分类和计量 本集团的金融负债于初始确认时分类为：以公允价值计量且其变动计入当期损益的</w:t>
      </w:r>
    </w:p>
    <w:p>
      <w:pPr>
        <w:pStyle w:val="BodyText"/>
        <w:spacing w:line="357" w:lineRule="auto" w:before="67"/>
        <w:ind w:left="622" w:right="242"/>
        <w:jc w:val="both"/>
      </w:pPr>
      <w:r>
        <w:rPr/>
        <w:t>金融负债、其他金融负债。对于未划分为以公允价值计量且其变动计入当期损益的金融 负债的，相关交易费用计入其初始确认金额。</w:t>
      </w:r>
    </w:p>
    <w:p>
      <w:pPr>
        <w:pStyle w:val="BodyText"/>
        <w:spacing w:line="357" w:lineRule="auto"/>
        <w:ind w:left="1101" w:right="225"/>
        <w:jc w:val="left"/>
      </w:pPr>
      <w:r>
        <w:rPr/>
        <w:t>①以公允价值计量且其变动计入当期损益的金融负债 以公允价值计量且其变动计入当期损益的金融负债，包括交易性金融负债和初始确</w:t>
      </w:r>
    </w:p>
    <w:p>
      <w:pPr>
        <w:pStyle w:val="BodyText"/>
        <w:spacing w:line="357" w:lineRule="auto"/>
        <w:ind w:left="622" w:right="242"/>
        <w:jc w:val="both"/>
      </w:pPr>
      <w:r>
        <w:rPr/>
        <w:t>认时指定为以公允价值计量且其变动计入当期损益的金融负债。对于此类金融负债，按 照公允价值进行后续计量，公允价值变动形成的利得或损失以及与该等金融负债相关的 股利和利息支出计入当期损益。</w:t>
      </w:r>
    </w:p>
    <w:p>
      <w:pPr>
        <w:pStyle w:val="BodyText"/>
        <w:spacing w:line="357" w:lineRule="auto"/>
        <w:ind w:left="1101" w:right="225"/>
        <w:jc w:val="left"/>
      </w:pPr>
      <w:r>
        <w:rPr/>
        <w:t>②其他金融负债 与在活跃市场中没有报价、公允价值不能可靠计量的权益工具挂钩并须通过交付该</w:t>
      </w:r>
    </w:p>
    <w:p>
      <w:pPr>
        <w:pStyle w:val="BodyText"/>
        <w:spacing w:line="357" w:lineRule="auto"/>
        <w:ind w:left="622" w:right="464"/>
        <w:jc w:val="left"/>
      </w:pPr>
      <w:r>
        <w:rPr/>
        <w:t>权益工具结算的衍生金融负债，按照成本进行后续计量。其他金融负债采用实际利率 法，按摊余成本进行后续计量，终止确认或摊销产生的利得或损失计入当期损益。</w:t>
      </w:r>
    </w:p>
    <w:p>
      <w:pPr>
        <w:pStyle w:val="BodyText"/>
        <w:spacing w:line="326" w:lineRule="auto"/>
        <w:ind w:left="1101" w:right="225"/>
        <w:jc w:val="left"/>
      </w:pPr>
      <w:r>
        <w:rPr/>
        <w:t>（</w:t>
      </w:r>
      <w:r>
        <w:rPr>
          <w:rFonts w:ascii="Calibri" w:hAnsi="Calibri" w:cs="Calibri" w:eastAsia="Calibri" w:hint="default"/>
        </w:rPr>
        <w:t>4</w:t>
      </w:r>
      <w:r>
        <w:rPr/>
        <w:t>）衍生金融工具及嵌入衍生工具 本集团衍生金融工具初始以衍生交易合同签订当日的公允价值进行计量，并以其公</w:t>
      </w:r>
    </w:p>
    <w:p>
      <w:pPr>
        <w:pStyle w:val="BodyText"/>
        <w:spacing w:line="357" w:lineRule="auto" w:before="67"/>
        <w:ind w:left="622" w:right="224"/>
        <w:jc w:val="left"/>
      </w:pPr>
      <w:r>
        <w:rPr/>
        <w:t>允价值进行后续计量。公允价值为正数的衍生金融工具确认为一项资产，公允价值为负 数的确认为一项负债。因公允价值变动而产生的任何不符合套期会计规定的利得或损 失，直接计入当期损益。</w:t>
      </w:r>
    </w:p>
    <w:p>
      <w:pPr>
        <w:pStyle w:val="BodyText"/>
        <w:spacing w:line="357" w:lineRule="auto"/>
        <w:ind w:left="622" w:right="241" w:firstLine="479"/>
        <w:jc w:val="both"/>
      </w:pPr>
      <w:r>
        <w:rPr/>
        <w:t>对包含嵌入衍生工具的混合工具，如未指定为以公允价值计量且其变动计入当期损 益的金融资产或金融负债，嵌入衍生工具与该主合同在经济特征及风险方面不存在紧密 关系，且与嵌入衍生工具条件相同，单独存在的工具符合衍生工具定义的，嵌入衍生工</w:t>
      </w:r>
    </w:p>
    <w:p>
      <w:pPr>
        <w:spacing w:after="0" w:line="357" w:lineRule="auto"/>
        <w:jc w:val="both"/>
        <w:sectPr>
          <w:footerReference w:type="default" r:id="rId46"/>
          <w:pgSz w:w="11910" w:h="16840"/>
          <w:pgMar w:footer="1085" w:header="884"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具从混合工具中分拆，作为单独的衍生金融工具处理。如果无法在取得时或后续的资产 负债表日对嵌入衍生工具进行单独计量，则将混合工具整体指定为以公允价值计量且其 变动计入当期损益的金融资产或金融负债。</w:t>
      </w:r>
    </w:p>
    <w:p>
      <w:pPr>
        <w:pStyle w:val="BodyText"/>
        <w:spacing w:line="326" w:lineRule="auto"/>
        <w:ind w:left="1101" w:right="2862"/>
        <w:jc w:val="left"/>
      </w:pPr>
      <w:r>
        <w:rPr/>
        <w:t>（</w:t>
      </w:r>
      <w:r>
        <w:rPr>
          <w:rFonts w:ascii="Calibri" w:hAnsi="Calibri" w:cs="Calibri" w:eastAsia="Calibri" w:hint="default"/>
        </w:rPr>
        <w:t>5</w:t>
      </w:r>
      <w:r>
        <w:rPr/>
        <w:t>）金融工具的公允价值 金融资产和金融负债的公允价值确定方法见附注三、</w:t>
      </w:r>
      <w:r>
        <w:rPr>
          <w:rFonts w:ascii="Calibri" w:hAnsi="Calibri" w:cs="Calibri" w:eastAsia="Calibri" w:hint="default"/>
        </w:rPr>
        <w:t>10</w:t>
      </w:r>
      <w:r>
        <w:rPr/>
        <w:t>。</w:t>
      </w:r>
    </w:p>
    <w:p>
      <w:pPr>
        <w:pStyle w:val="BodyText"/>
        <w:spacing w:line="326" w:lineRule="auto" w:before="17"/>
        <w:ind w:left="1101" w:right="225"/>
        <w:jc w:val="left"/>
      </w:pPr>
      <w:r>
        <w:rPr/>
        <w:t>（</w:t>
      </w:r>
      <w:r>
        <w:rPr>
          <w:rFonts w:ascii="Calibri" w:hAnsi="Calibri" w:cs="Calibri" w:eastAsia="Calibri" w:hint="default"/>
        </w:rPr>
        <w:t>6</w:t>
      </w:r>
      <w:r>
        <w:rPr/>
        <w:t>）金融资产减值 除了以公允价值计量且其变动计入当期损益的金融资产外，本集团于资产负债表日</w:t>
      </w:r>
    </w:p>
    <w:p>
      <w:pPr>
        <w:pStyle w:val="BodyText"/>
        <w:spacing w:line="357" w:lineRule="auto" w:before="67"/>
        <w:ind w:left="622" w:right="242"/>
        <w:jc w:val="both"/>
      </w:pPr>
      <w:r>
        <w:rPr/>
        <w:t>对其他金融资产的账面价值进行检查，有客观证据表明该金融资产发生减值的，计提减 值准备。表明金融资产发生减值的客观证据，是指金融资产初始确认后实际发生的、对 该金融资产的预计未来现金流量有影响，且企业能够对该影响进行可靠计量的事项。</w:t>
      </w:r>
    </w:p>
    <w:p>
      <w:pPr>
        <w:pStyle w:val="BodyText"/>
        <w:spacing w:line="240" w:lineRule="auto"/>
        <w:ind w:left="1101" w:right="225"/>
        <w:jc w:val="left"/>
      </w:pPr>
      <w:r>
        <w:rPr/>
        <w:t>金融资产发生减值的客观证据，包括下列可观察到的情形：</w:t>
      </w:r>
    </w:p>
    <w:p>
      <w:pPr>
        <w:pStyle w:val="BodyText"/>
        <w:spacing w:line="240" w:lineRule="auto" w:before="154"/>
        <w:ind w:left="1101" w:right="225"/>
        <w:jc w:val="left"/>
      </w:pPr>
      <w:r>
        <w:rPr/>
        <w:t>①发行方或债务人发生严重财务困难；</w:t>
      </w:r>
    </w:p>
    <w:p>
      <w:pPr>
        <w:pStyle w:val="BodyText"/>
        <w:spacing w:line="240" w:lineRule="auto" w:before="154"/>
        <w:ind w:left="1101" w:right="225"/>
        <w:jc w:val="left"/>
      </w:pPr>
      <w:r>
        <w:rPr/>
        <w:t>②债务人违反了合同条款，如偿付利息或本金发生违约或逾期等；</w:t>
      </w:r>
    </w:p>
    <w:p>
      <w:pPr>
        <w:pStyle w:val="BodyText"/>
        <w:spacing w:line="240" w:lineRule="auto" w:before="154"/>
        <w:ind w:left="1101" w:right="131"/>
        <w:jc w:val="left"/>
      </w:pPr>
      <w:r>
        <w:rPr/>
        <w:t>③本集团出于经济或法律等方面因素的考虑，对发生财务困难的债务人作出让步；</w:t>
      </w:r>
    </w:p>
    <w:p>
      <w:pPr>
        <w:pStyle w:val="BodyText"/>
        <w:spacing w:line="240" w:lineRule="auto" w:before="154"/>
        <w:ind w:left="1101" w:right="225"/>
        <w:jc w:val="left"/>
      </w:pPr>
      <w:r>
        <w:rPr/>
        <w:t>④债务人很可能倒闭或者进行其他财务重组；</w:t>
      </w:r>
    </w:p>
    <w:p>
      <w:pPr>
        <w:pStyle w:val="BodyText"/>
        <w:spacing w:line="240" w:lineRule="auto" w:before="154"/>
        <w:ind w:left="1101" w:right="225"/>
        <w:jc w:val="left"/>
      </w:pPr>
      <w:r>
        <w:rPr/>
        <w:t>⑤因发行方发生重大财务困难，导致金融资产无法在活跃市场继续交易；</w:t>
      </w:r>
    </w:p>
    <w:p>
      <w:pPr>
        <w:pStyle w:val="BodyText"/>
        <w:spacing w:line="357" w:lineRule="auto" w:before="154"/>
        <w:ind w:left="622" w:right="242" w:firstLine="479"/>
        <w:jc w:val="both"/>
      </w:pPr>
      <w:r>
        <w:rPr/>
        <w:t>⑥无法辨认一组金融资产中的某项资产的现金流量是否已经减少，但根据公开的数 据对其进行总体评价后发现，该组金融资产自初始确认以来的预计未来现金流量确已减 少且可计量，包括：</w:t>
      </w:r>
    </w:p>
    <w:p>
      <w:pPr>
        <w:pStyle w:val="BodyText"/>
        <w:spacing w:line="240" w:lineRule="auto"/>
        <w:ind w:left="1462" w:right="225"/>
        <w:jc w:val="left"/>
      </w:pPr>
      <w:r>
        <w:rPr>
          <w:rFonts w:ascii="Calibri" w:hAnsi="Calibri" w:cs="Calibri" w:eastAsia="Calibri" w:hint="default"/>
        </w:rPr>
        <w:t>- </w:t>
      </w:r>
      <w:r>
        <w:rPr>
          <w:rFonts w:ascii="Calibri" w:hAnsi="Calibri" w:cs="Calibri" w:eastAsia="Calibri" w:hint="default"/>
          <w:spacing w:val="17"/>
        </w:rPr>
        <w:t> </w:t>
      </w:r>
      <w:r>
        <w:rPr/>
        <w:t>该组金融资产的债务人支付能力逐步恶化；</w:t>
      </w:r>
    </w:p>
    <w:p>
      <w:pPr>
        <w:pStyle w:val="BodyText"/>
        <w:spacing w:line="240" w:lineRule="auto" w:before="123"/>
        <w:ind w:left="1462" w:right="225"/>
        <w:jc w:val="left"/>
      </w:pPr>
      <w:r>
        <w:rPr>
          <w:rFonts w:ascii="Calibri" w:hAnsi="Calibri" w:cs="Calibri" w:eastAsia="Calibri" w:hint="default"/>
        </w:rPr>
        <w:t>- </w:t>
      </w:r>
      <w:r>
        <w:rPr>
          <w:rFonts w:ascii="Calibri" w:hAnsi="Calibri" w:cs="Calibri" w:eastAsia="Calibri" w:hint="default"/>
          <w:spacing w:val="17"/>
        </w:rPr>
        <w:t> </w:t>
      </w:r>
      <w:r>
        <w:rPr/>
        <w:t>债务人所在国家或地区经济出现了可能导致该组金融资产无法支付的状况；</w:t>
      </w:r>
    </w:p>
    <w:p>
      <w:pPr>
        <w:pStyle w:val="BodyText"/>
        <w:spacing w:line="357" w:lineRule="auto" w:before="123"/>
        <w:ind w:left="622" w:right="225" w:firstLine="479"/>
        <w:jc w:val="left"/>
      </w:pPr>
      <w:r>
        <w:rPr/>
        <w:t>⑦债务人经营所处的技术、市场、经济或法律环境等发生重大不利变化，使权益工 具投资人可能无法收回投资成本；</w:t>
      </w:r>
    </w:p>
    <w:p>
      <w:pPr>
        <w:pStyle w:val="BodyText"/>
        <w:spacing w:line="340" w:lineRule="auto"/>
        <w:ind w:left="622" w:right="225" w:firstLine="479"/>
        <w:jc w:val="left"/>
      </w:pPr>
      <w:r>
        <w:rPr/>
        <w:t>⑧权益工具投资的公允价值发生严重或非暂时性下跌，如权益工具投资于资产负债 表日的公允价值低于其初始投资成本超过</w:t>
      </w:r>
      <w:r>
        <w:rPr>
          <w:rFonts w:ascii="Calibri" w:hAnsi="Calibri" w:cs="Calibri" w:eastAsia="Calibri" w:hint="default"/>
        </w:rPr>
        <w:t>50%</w:t>
      </w:r>
      <w:r>
        <w:rPr/>
        <w:t>（含</w:t>
      </w:r>
      <w:r>
        <w:rPr>
          <w:rFonts w:ascii="Calibri" w:hAnsi="Calibri" w:cs="Calibri" w:eastAsia="Calibri" w:hint="default"/>
        </w:rPr>
        <w:t>50%</w:t>
      </w:r>
      <w:r>
        <w:rPr/>
        <w:t>）或低于其初始投资成本持续时 间超过</w:t>
      </w:r>
      <w:r>
        <w:rPr>
          <w:rFonts w:ascii="Calibri" w:hAnsi="Calibri" w:cs="Calibri" w:eastAsia="Calibri" w:hint="default"/>
        </w:rPr>
        <w:t>12</w:t>
      </w:r>
      <w:r>
        <w:rPr/>
        <w:t>个月（含</w:t>
      </w:r>
      <w:r>
        <w:rPr>
          <w:rFonts w:ascii="Calibri" w:hAnsi="Calibri" w:cs="Calibri" w:eastAsia="Calibri" w:hint="default"/>
        </w:rPr>
        <w:t>12</w:t>
      </w:r>
      <w:r>
        <w:rPr/>
        <w:t>个月）。</w:t>
      </w:r>
    </w:p>
    <w:p>
      <w:pPr>
        <w:pStyle w:val="BodyText"/>
        <w:spacing w:line="326" w:lineRule="auto" w:before="0"/>
        <w:ind w:left="622" w:right="218" w:firstLine="479"/>
        <w:jc w:val="left"/>
      </w:pPr>
      <w:r>
        <w:rPr/>
        <w:t>低于其初始投资成本持续时间超过</w:t>
      </w:r>
      <w:r>
        <w:rPr>
          <w:rFonts w:ascii="Calibri" w:hAnsi="Calibri" w:cs="Calibri" w:eastAsia="Calibri" w:hint="default"/>
        </w:rPr>
        <w:t>12</w:t>
      </w:r>
      <w:r>
        <w:rPr/>
        <w:t>个月（含</w:t>
      </w:r>
      <w:r>
        <w:rPr>
          <w:rFonts w:ascii="Calibri" w:hAnsi="Calibri" w:cs="Calibri" w:eastAsia="Calibri" w:hint="default"/>
        </w:rPr>
        <w:t>12</w:t>
      </w:r>
      <w:r>
        <w:rPr/>
        <w:t>个月）是指，权益工具投资公允价 值月度均值连续</w:t>
      </w:r>
      <w:r>
        <w:rPr>
          <w:rFonts w:ascii="Calibri" w:hAnsi="Calibri" w:cs="Calibri" w:eastAsia="Calibri" w:hint="default"/>
        </w:rPr>
        <w:t>12</w:t>
      </w:r>
      <w:r>
        <w:rPr/>
        <w:t>个月均低于其初始投资成本。</w:t>
      </w:r>
    </w:p>
    <w:p>
      <w:pPr>
        <w:pStyle w:val="BodyText"/>
        <w:spacing w:line="240" w:lineRule="auto" w:before="17"/>
        <w:ind w:left="1101" w:right="225"/>
        <w:jc w:val="left"/>
      </w:pPr>
      <w:r>
        <w:rPr/>
        <w:t>⑨其他表明金融资产发生减值的客观证据。</w:t>
      </w:r>
    </w:p>
    <w:p>
      <w:pPr>
        <w:spacing w:after="0" w:line="240" w:lineRule="auto"/>
        <w:jc w:val="left"/>
        <w:sectPr>
          <w:footerReference w:type="default" r:id="rId47"/>
          <w:pgSz w:w="11910" w:h="16840"/>
          <w:pgMar w:footer="1085" w:header="884" w:top="1300" w:bottom="1280" w:left="1080" w:right="840"/>
          <w:pgNumType w:start="121"/>
        </w:sectPr>
      </w:pPr>
    </w:p>
    <w:p>
      <w:pPr>
        <w:spacing w:line="240" w:lineRule="auto" w:before="7"/>
        <w:rPr>
          <w:rFonts w:ascii="宋体" w:hAnsi="宋体" w:cs="宋体" w:eastAsia="宋体" w:hint="default"/>
          <w:sz w:val="10"/>
          <w:szCs w:val="10"/>
        </w:rPr>
      </w:pPr>
    </w:p>
    <w:p>
      <w:pPr>
        <w:pStyle w:val="BodyText"/>
        <w:spacing w:line="357" w:lineRule="auto" w:before="26"/>
        <w:ind w:left="1101" w:right="225"/>
        <w:jc w:val="left"/>
      </w:pPr>
      <w:r>
        <w:rPr/>
        <w:t>以摊余成本计量的金融资产 如果有客观证据表明该金融资产发生减值，则将该金融资产的账面价值减记至预计</w:t>
      </w:r>
    </w:p>
    <w:p>
      <w:pPr>
        <w:pStyle w:val="BodyText"/>
        <w:spacing w:line="357" w:lineRule="auto"/>
        <w:ind w:left="0" w:right="242"/>
        <w:jc w:val="right"/>
      </w:pPr>
      <w:r>
        <w:rPr/>
        <w:t>未来现金流量（不包括尚未发生的未来信用损失）现值，减记金额计入当期损益。预计 未来现金流量现值，按照该金融资产原实际利率折现确定，并考虑相关担保物的价值。 对单项金额重大的金融资产单独进行减值测试，如有客观证据表明其已发生减值， 确认减值损失，计入当期损益。对单项金额不重大的金融资产，包括在具有类似信用风 险特征的金融资产组合中进行减值测试。单独测试未发生减值的金融资产（包括单项金 额重大和不重大的金融资产），包括在具有类似信用风险特征的金融资产组合中再进行 减值测试。已单项确认减值损失的金融资产，不包括在具有类似信用风险特征的金融资</w:t>
      </w:r>
    </w:p>
    <w:p>
      <w:pPr>
        <w:pStyle w:val="BodyText"/>
        <w:spacing w:line="357" w:lineRule="auto"/>
        <w:ind w:left="1101" w:right="225" w:hanging="480"/>
        <w:jc w:val="left"/>
      </w:pPr>
      <w:r>
        <w:rPr/>
        <w:t>产组合中进行减值测试。 本集团对以摊余成本计量的金融资产确认减值损失后，如有客观证据表明该金融资</w:t>
      </w:r>
    </w:p>
    <w:p>
      <w:pPr>
        <w:pStyle w:val="BodyText"/>
        <w:spacing w:line="357" w:lineRule="auto"/>
        <w:ind w:left="622" w:right="224"/>
        <w:jc w:val="left"/>
      </w:pPr>
      <w:r>
        <w:rPr/>
        <w:t>产价值已恢复，且客观上与确认该损失后发生的事项有关，原确认的减值损失予以转 回，计入当期损益。但是，该转回后的账面价值不超过假定不计提减值准备情况下该金 融资产在转回日的摊余成本。</w:t>
      </w:r>
    </w:p>
    <w:p>
      <w:pPr>
        <w:pStyle w:val="BodyText"/>
        <w:spacing w:line="357" w:lineRule="auto"/>
        <w:ind w:left="1101" w:right="225"/>
        <w:jc w:val="left"/>
      </w:pPr>
      <w:r>
        <w:rPr/>
        <w:t>可供出售金融资产 如果有客观证据表明该金融资产发生减值，原直接计入资本公积的因公允价值下降</w:t>
      </w:r>
    </w:p>
    <w:p>
      <w:pPr>
        <w:pStyle w:val="BodyText"/>
        <w:spacing w:line="357" w:lineRule="auto"/>
        <w:ind w:left="622" w:right="242"/>
        <w:jc w:val="both"/>
      </w:pPr>
      <w:r>
        <w:rPr/>
        <w:t>形成的累计损失，予以转出，计入当期损益。该转出的累计损失，为可供出售金融资产 的初始取得成本扣除已收回本金和已摊销金额、当前公允价值和原已计入损益的减值损 失后的余额。</w:t>
      </w:r>
    </w:p>
    <w:p>
      <w:pPr>
        <w:pStyle w:val="BodyText"/>
        <w:spacing w:line="357" w:lineRule="auto"/>
        <w:ind w:left="622" w:right="241" w:firstLine="479"/>
        <w:jc w:val="both"/>
      </w:pPr>
      <w:r>
        <w:rPr/>
        <w:t>对于已确认减值损失的可供出售债务工具，在随后的会计期间公允价值已上升且客 观上与确认原减值损失确认后发生的事项有关的，原确认的减值损失予以转回，计入当 期损益。可供出售权益工具投资发生的减值损失，不通过损益转回。</w:t>
      </w:r>
    </w:p>
    <w:p>
      <w:pPr>
        <w:pStyle w:val="BodyText"/>
        <w:spacing w:line="357" w:lineRule="auto" w:before="37"/>
        <w:ind w:left="1101" w:right="225"/>
        <w:jc w:val="left"/>
      </w:pPr>
      <w:r>
        <w:rPr/>
        <w:t>以成本计量的金融资产 在活跃市场中没有报价且其公允价值不能可靠计量的权益工具投资，或与该权益工</w:t>
      </w:r>
    </w:p>
    <w:p>
      <w:pPr>
        <w:pStyle w:val="BodyText"/>
        <w:spacing w:line="357" w:lineRule="auto"/>
        <w:ind w:left="622" w:right="224"/>
        <w:jc w:val="left"/>
      </w:pPr>
      <w:r>
        <w:rPr/>
        <w:t>具挂钩并须通过交付该权益工具结算的衍生金融资产发生减值时，将该金融资产的账面 价值，与按照类似金融资产当时市场收益率对未来现金流量折现确定的现值之间的差 额，确认为减值损失，计入当期损益。发生的减值损失一经确认，不得转回。</w:t>
      </w:r>
    </w:p>
    <w:p>
      <w:pPr>
        <w:pStyle w:val="BodyText"/>
        <w:spacing w:line="326" w:lineRule="auto"/>
        <w:ind w:left="1101" w:right="225"/>
        <w:jc w:val="left"/>
      </w:pPr>
      <w:r>
        <w:rPr/>
        <w:t>（</w:t>
      </w:r>
      <w:r>
        <w:rPr>
          <w:rFonts w:ascii="Calibri" w:hAnsi="Calibri" w:cs="Calibri" w:eastAsia="Calibri" w:hint="default"/>
        </w:rPr>
        <w:t>7</w:t>
      </w:r>
      <w:r>
        <w:rPr/>
        <w:t>）金融资产转移 金融资产转移，是指将金融资产让与或交付给该金融资产发行方以外的另一方（转</w:t>
      </w:r>
    </w:p>
    <w:p>
      <w:pPr>
        <w:spacing w:after="0" w:line="326"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622" w:right="0"/>
        <w:jc w:val="both"/>
      </w:pPr>
      <w:r>
        <w:rPr/>
        <w:t>入方）。</w:t>
      </w:r>
    </w:p>
    <w:p>
      <w:pPr>
        <w:pStyle w:val="BodyText"/>
        <w:spacing w:line="357" w:lineRule="auto" w:before="154"/>
        <w:ind w:left="622" w:right="225" w:firstLine="479"/>
        <w:jc w:val="left"/>
      </w:pPr>
      <w:r>
        <w:rPr/>
        <w:t>本集团已将金融资产所有权上几乎所有的风险和报酬转移给转入方的，终止确认该 金融资产；保留了金融资产所有权上几乎所有的风险和报酬的，不终止确认该金融资 产。</w:t>
      </w:r>
    </w:p>
    <w:p>
      <w:pPr>
        <w:pStyle w:val="BodyText"/>
        <w:spacing w:line="357" w:lineRule="auto"/>
        <w:ind w:left="622" w:right="242" w:firstLine="479"/>
        <w:jc w:val="both"/>
      </w:pPr>
      <w:r>
        <w:rPr/>
        <w:t>本集团既没有转移也没有保留金融资产所有权上几乎所有的风险和报酬的，分别下 列情况处理：放弃了对该金融资产控制的，终止确认该金融资产并确认产生的资产和负 债；未放弃对该金融资产控制的，按照其继续涉入所转移金融资产的程度确认有关金融 资产，并相应确认有关负债。</w:t>
      </w:r>
    </w:p>
    <w:p>
      <w:pPr>
        <w:pStyle w:val="BodyText"/>
        <w:spacing w:line="326" w:lineRule="auto" w:before="37"/>
        <w:ind w:left="1101" w:right="225"/>
        <w:jc w:val="left"/>
      </w:pPr>
      <w:r>
        <w:rPr/>
        <w:t>（</w:t>
      </w:r>
      <w:r>
        <w:rPr>
          <w:rFonts w:ascii="Calibri" w:hAnsi="Calibri" w:cs="Calibri" w:eastAsia="Calibri" w:hint="default"/>
        </w:rPr>
        <w:t>8</w:t>
      </w:r>
      <w:r>
        <w:rPr/>
        <w:t>）金融资产和金融负债的抵销 当本集团具有抵销已确认金融资产和金融负债的法定权利，且目前可执行该种法定</w:t>
      </w:r>
    </w:p>
    <w:p>
      <w:pPr>
        <w:pStyle w:val="BodyText"/>
        <w:spacing w:line="357" w:lineRule="auto" w:before="67"/>
        <w:ind w:left="622" w:right="242"/>
        <w:jc w:val="both"/>
      </w:pPr>
      <w:r>
        <w:rPr/>
        <w:t>权利，同时本集团计划以净额结算或同时变现该金融资产和清偿该金融负债时，金融资 产和金融负债以相互抵销后的金额在资产负债表内列示。除此以外，金融资产和金融负 债在资产负债表内分别列示，不予相互抵销。</w:t>
      </w:r>
    </w:p>
    <w:p>
      <w:pPr>
        <w:spacing w:line="240" w:lineRule="auto" w:before="9"/>
        <w:rPr>
          <w:rFonts w:ascii="宋体" w:hAnsi="宋体" w:cs="宋体" w:eastAsia="宋体" w:hint="default"/>
          <w:sz w:val="32"/>
          <w:szCs w:val="32"/>
        </w:rPr>
      </w:pPr>
    </w:p>
    <w:p>
      <w:pPr>
        <w:pStyle w:val="Heading2"/>
        <w:spacing w:line="240" w:lineRule="auto"/>
        <w:ind w:left="821" w:right="225"/>
        <w:jc w:val="left"/>
        <w:rPr>
          <w:b w:val="0"/>
          <w:bCs w:val="0"/>
        </w:rPr>
      </w:pPr>
      <w:r>
        <w:rPr>
          <w:rFonts w:ascii="Times New Roman" w:hAnsi="Times New Roman" w:cs="Times New Roman" w:eastAsia="Times New Roman" w:hint="default"/>
        </w:rPr>
        <w:t>11</w:t>
      </w:r>
      <w:r>
        <w:rPr/>
        <w:t>、应收款项</w:t>
      </w:r>
      <w:r>
        <w:rPr>
          <w:b w:val="0"/>
          <w:bCs w:val="0"/>
        </w:rPr>
      </w:r>
    </w:p>
    <w:p>
      <w:pPr>
        <w:spacing w:before="50"/>
        <w:ind w:left="82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）单项金额重大并单独计提坏账准备的应收款项</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622" w:type="dxa"/>
        <w:tblLayout w:type="fixed"/>
        <w:tblCellMar>
          <w:top w:w="0" w:type="dxa"/>
          <w:left w:w="0" w:type="dxa"/>
          <w:bottom w:w="0" w:type="dxa"/>
          <w:right w:w="0" w:type="dxa"/>
        </w:tblCellMar>
        <w:tblLook w:val="01E0"/>
      </w:tblPr>
      <w:tblGrid>
        <w:gridCol w:w="1772"/>
        <w:gridCol w:w="7434"/>
      </w:tblGrid>
      <w:tr>
        <w:trPr>
          <w:trHeight w:val="63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56"/>
              <w:jc w:val="left"/>
              <w:rPr>
                <w:rFonts w:ascii="宋体" w:hAnsi="宋体" w:cs="宋体" w:eastAsia="宋体" w:hint="default"/>
                <w:sz w:val="21"/>
                <w:szCs w:val="21"/>
              </w:rPr>
            </w:pPr>
            <w:r>
              <w:rPr>
                <w:rFonts w:ascii="宋体" w:hAnsi="宋体" w:cs="宋体" w:eastAsia="宋体" w:hint="default"/>
                <w:sz w:val="21"/>
                <w:szCs w:val="21"/>
              </w:rPr>
              <w:t>单项金额重大的判</w:t>
            </w:r>
            <w:r>
              <w:rPr>
                <w:rFonts w:ascii="宋体" w:hAnsi="宋体" w:cs="宋体" w:eastAsia="宋体" w:hint="default"/>
                <w:w w:val="100"/>
                <w:sz w:val="21"/>
                <w:szCs w:val="21"/>
              </w:rPr>
              <w:t> </w:t>
            </w:r>
            <w:r>
              <w:rPr>
                <w:rFonts w:ascii="宋体" w:hAnsi="宋体" w:cs="宋体" w:eastAsia="宋体" w:hint="default"/>
                <w:sz w:val="21"/>
                <w:szCs w:val="21"/>
              </w:rPr>
              <w:t>断依据或金额标准</w:t>
            </w:r>
          </w:p>
        </w:tc>
        <w:tc>
          <w:tcPr>
            <w:tcW w:w="743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2" w:right="36"/>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7"/>
                <w:sz w:val="21"/>
                <w:szCs w:val="21"/>
              </w:rPr>
              <w:t> </w:t>
            </w:r>
            <w:r>
              <w:rPr>
                <w:rFonts w:ascii="Calibri" w:hAnsi="Calibri" w:cs="Calibri" w:eastAsia="Calibri" w:hint="default"/>
                <w:sz w:val="21"/>
                <w:szCs w:val="21"/>
              </w:rPr>
              <w:t>500</w:t>
            </w:r>
            <w:r>
              <w:rPr>
                <w:rFonts w:ascii="Calibri" w:hAnsi="Calibri" w:cs="Calibri" w:eastAsia="Calibri" w:hint="default"/>
                <w:spacing w:val="2"/>
                <w:sz w:val="21"/>
                <w:szCs w:val="21"/>
              </w:rPr>
              <w:t> </w:t>
            </w:r>
            <w:r>
              <w:rPr>
                <w:rFonts w:ascii="宋体" w:hAnsi="宋体" w:cs="宋体" w:eastAsia="宋体" w:hint="default"/>
                <w:sz w:val="21"/>
                <w:szCs w:val="21"/>
              </w:rPr>
              <w:t>万元（含</w:t>
            </w:r>
            <w:r>
              <w:rPr>
                <w:rFonts w:ascii="宋体" w:hAnsi="宋体" w:cs="宋体" w:eastAsia="宋体" w:hint="default"/>
                <w:spacing w:val="-54"/>
                <w:sz w:val="21"/>
                <w:szCs w:val="21"/>
              </w:rPr>
              <w:t> </w:t>
            </w:r>
            <w:r>
              <w:rPr>
                <w:rFonts w:ascii="Calibri" w:hAnsi="Calibri" w:cs="Calibri" w:eastAsia="Calibri" w:hint="default"/>
                <w:sz w:val="21"/>
                <w:szCs w:val="21"/>
              </w:rPr>
              <w:t>500</w:t>
            </w:r>
            <w:r>
              <w:rPr>
                <w:rFonts w:ascii="Calibri" w:hAnsi="Calibri" w:cs="Calibri" w:eastAsia="Calibri" w:hint="default"/>
                <w:spacing w:val="4"/>
                <w:sz w:val="21"/>
                <w:szCs w:val="21"/>
              </w:rPr>
              <w:t> </w:t>
            </w:r>
            <w:r>
              <w:rPr>
                <w:rFonts w:ascii="宋体" w:hAnsi="宋体" w:cs="宋体" w:eastAsia="宋体" w:hint="default"/>
                <w:sz w:val="21"/>
                <w:szCs w:val="21"/>
              </w:rPr>
              <w:t>万元）以上的应收款项为单项金额重大的应收款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94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56"/>
              <w:jc w:val="both"/>
              <w:rPr>
                <w:rFonts w:ascii="宋体" w:hAnsi="宋体" w:cs="宋体" w:eastAsia="宋体" w:hint="default"/>
                <w:sz w:val="21"/>
                <w:szCs w:val="21"/>
              </w:rPr>
            </w:pPr>
            <w:r>
              <w:rPr>
                <w:rFonts w:ascii="宋体" w:hAnsi="宋体" w:cs="宋体" w:eastAsia="宋体" w:hint="default"/>
                <w:sz w:val="21"/>
                <w:szCs w:val="21"/>
              </w:rPr>
              <w:t>单项金额重大并单</w:t>
            </w:r>
            <w:r>
              <w:rPr>
                <w:rFonts w:ascii="宋体" w:hAnsi="宋体" w:cs="宋体" w:eastAsia="宋体" w:hint="default"/>
                <w:w w:val="100"/>
                <w:sz w:val="21"/>
                <w:szCs w:val="21"/>
              </w:rPr>
              <w:t> </w:t>
            </w:r>
            <w:r>
              <w:rPr>
                <w:rFonts w:ascii="宋体" w:hAnsi="宋体" w:cs="宋体" w:eastAsia="宋体" w:hint="default"/>
                <w:sz w:val="21"/>
                <w:szCs w:val="21"/>
              </w:rPr>
              <w:t>项计提坏账准备的</w:t>
            </w:r>
            <w:r>
              <w:rPr>
                <w:rFonts w:ascii="宋体" w:hAnsi="宋体" w:cs="宋体" w:eastAsia="宋体" w:hint="default"/>
                <w:w w:val="100"/>
                <w:sz w:val="21"/>
                <w:szCs w:val="21"/>
              </w:rPr>
              <w:t> </w:t>
            </w:r>
            <w:r>
              <w:rPr>
                <w:rFonts w:ascii="宋体" w:hAnsi="宋体" w:cs="宋体" w:eastAsia="宋体" w:hint="default"/>
                <w:sz w:val="21"/>
                <w:szCs w:val="21"/>
              </w:rPr>
              <w:t>计提方法</w:t>
            </w:r>
          </w:p>
        </w:tc>
        <w:tc>
          <w:tcPr>
            <w:tcW w:w="7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42"/>
              <w:jc w:val="left"/>
              <w:rPr>
                <w:rFonts w:ascii="宋体" w:hAnsi="宋体" w:cs="宋体" w:eastAsia="宋体" w:hint="default"/>
                <w:sz w:val="21"/>
                <w:szCs w:val="21"/>
              </w:rPr>
            </w:pPr>
            <w:r>
              <w:rPr>
                <w:rFonts w:ascii="宋体" w:hAnsi="宋体" w:cs="宋体" w:eastAsia="宋体" w:hint="default"/>
                <w:spacing w:val="-2"/>
                <w:sz w:val="21"/>
                <w:szCs w:val="21"/>
              </w:rPr>
              <w:t>对于单项金额重大的应收款项单独进行减值测试，有客观证据表明发生了减值，</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根据其未来现金流量现值低于其账面价值的差额计提坏账准备。</w:t>
            </w:r>
            <w:r>
              <w:rPr>
                <w:rFonts w:ascii="宋体" w:hAnsi="宋体" w:cs="宋体" w:eastAsia="宋体" w:hint="default"/>
                <w:spacing w:val="-4"/>
                <w:sz w:val="21"/>
                <w:szCs w:val="21"/>
              </w:rPr>
              <w:t> </w:t>
            </w:r>
            <w:r>
              <w:rPr>
                <w:rFonts w:ascii="宋体" w:hAnsi="宋体" w:cs="宋体" w:eastAsia="宋体" w:hint="default"/>
                <w:sz w:val="21"/>
                <w:szCs w:val="21"/>
              </w:rPr>
              <w:t>单项金额重大</w:t>
            </w:r>
            <w:r>
              <w:rPr>
                <w:rFonts w:ascii="宋体" w:hAnsi="宋体" w:cs="宋体" w:eastAsia="宋体" w:hint="default"/>
                <w:w w:val="100"/>
                <w:sz w:val="21"/>
                <w:szCs w:val="21"/>
              </w:rPr>
              <w:t> </w:t>
            </w:r>
            <w:r>
              <w:rPr>
                <w:rFonts w:ascii="宋体" w:hAnsi="宋体" w:cs="宋体" w:eastAsia="宋体" w:hint="default"/>
                <w:sz w:val="21"/>
                <w:szCs w:val="21"/>
              </w:rPr>
              <w:t>经单独测试未发生减值的应收款项，再按组合计提坏账准备。</w:t>
            </w:r>
          </w:p>
        </w:tc>
      </w:tr>
    </w:tbl>
    <w:p>
      <w:pPr>
        <w:spacing w:line="240" w:lineRule="auto" w:before="17"/>
        <w:rPr>
          <w:rFonts w:ascii="Microsoft JhengHei" w:hAnsi="Microsoft JhengHei" w:cs="Microsoft JhengHei" w:eastAsia="Microsoft JhengHei" w:hint="default"/>
          <w:b/>
          <w:bCs/>
          <w:sz w:val="17"/>
          <w:szCs w:val="17"/>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）按信用风险特征组合计提坏账准备的应收款项</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1101" w:right="225"/>
        <w:jc w:val="left"/>
      </w:pPr>
      <w:r>
        <w:rPr/>
        <w:t>组合中，采用账龄分析法计提坏账准备的：</w:t>
      </w:r>
    </w:p>
    <w:p>
      <w:pPr>
        <w:pStyle w:val="BodyText"/>
        <w:spacing w:line="240" w:lineRule="auto" w:before="154"/>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7"/>
        <w:rPr>
          <w:rFonts w:ascii="宋体" w:hAnsi="宋体" w:cs="宋体" w:eastAsia="宋体" w:hint="default"/>
          <w:sz w:val="6"/>
          <w:szCs w:val="6"/>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应收账款计提比例</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其他应收款计提比例</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2"/>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5.00%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20.00%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50.00%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3"/>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100.00%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100.00%</w:t>
            </w:r>
          </w:p>
        </w:tc>
      </w:tr>
    </w:tbl>
    <w:p>
      <w:pPr>
        <w:pStyle w:val="BodyText"/>
        <w:spacing w:line="240" w:lineRule="auto" w:before="39"/>
        <w:ind w:left="1101" w:right="225"/>
        <w:jc w:val="left"/>
      </w:pPr>
      <w:r>
        <w:rPr/>
        <w:t>组合中，采用余额百分比法计提坏账准备的：</w:t>
      </w:r>
    </w:p>
    <w:p>
      <w:pPr>
        <w:pStyle w:val="BodyText"/>
        <w:spacing w:line="240" w:lineRule="auto" w:before="154"/>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1101" w:right="225"/>
        <w:jc w:val="left"/>
      </w:pPr>
      <w:r>
        <w:rPr/>
        <w:t>组合中，采用其他方法计提坏账准备的：</w:t>
      </w:r>
    </w:p>
    <w:p>
      <w:pPr>
        <w:pStyle w:val="BodyText"/>
        <w:spacing w:line="240" w:lineRule="auto" w:before="154"/>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25"/>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622" w:type="dxa"/>
        <w:tblLayout w:type="fixed"/>
        <w:tblCellMar>
          <w:top w:w="0" w:type="dxa"/>
          <w:left w:w="0" w:type="dxa"/>
          <w:bottom w:w="0" w:type="dxa"/>
          <w:right w:w="0" w:type="dxa"/>
        </w:tblCellMar>
        <w:tblLook w:val="01E0"/>
      </w:tblPr>
      <w:tblGrid>
        <w:gridCol w:w="4603"/>
        <w:gridCol w:w="4603"/>
      </w:tblGrid>
      <w:tr>
        <w:trPr>
          <w:trHeight w:val="322"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4"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634"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64" w:right="87" w:hanging="1575"/>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计提坏账准备</w:t>
            </w:r>
          </w:p>
        </w:tc>
      </w:tr>
    </w:tbl>
    <w:p>
      <w:pPr>
        <w:spacing w:line="380"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、存货</w:t>
      </w:r>
      <w:r>
        <w:rPr>
          <w:rFonts w:ascii="Microsoft JhengHei" w:hAnsi="Microsoft JhengHei" w:cs="Microsoft JhengHei" w:eastAsia="Microsoft JhengHei" w:hint="default"/>
          <w:sz w:val="24"/>
          <w:szCs w:val="24"/>
        </w:rPr>
      </w:r>
    </w:p>
    <w:p>
      <w:pPr>
        <w:pStyle w:val="BodyText"/>
        <w:spacing w:line="326" w:lineRule="auto" w:before="126"/>
        <w:ind w:left="1101" w:right="6225"/>
        <w:jc w:val="left"/>
      </w:pPr>
      <w:r>
        <w:rPr/>
        <w:t>（</w:t>
      </w:r>
      <w:r>
        <w:rPr>
          <w:rFonts w:ascii="Calibri" w:hAnsi="Calibri" w:cs="Calibri" w:eastAsia="Calibri" w:hint="default"/>
        </w:rPr>
        <w:t>1</w:t>
      </w:r>
      <w:r>
        <w:rPr/>
        <w:t>）存货的分类 本集团存货为库存商品。</w:t>
      </w:r>
    </w:p>
    <w:p>
      <w:pPr>
        <w:pStyle w:val="BodyText"/>
        <w:spacing w:line="326" w:lineRule="auto" w:before="68"/>
        <w:ind w:left="1101" w:right="945"/>
        <w:jc w:val="left"/>
      </w:pPr>
      <w:r>
        <w:rPr/>
        <w:t>（</w:t>
      </w:r>
      <w:r>
        <w:rPr>
          <w:rFonts w:ascii="Calibri" w:hAnsi="Calibri" w:cs="Calibri" w:eastAsia="Calibri" w:hint="default"/>
        </w:rPr>
        <w:t>2</w:t>
      </w:r>
      <w:r>
        <w:rPr/>
        <w:t>）发出存货的计价方法 本集团存货取得时按实际成本计价。库存商品发出时采用加权平均法计价。</w:t>
      </w:r>
    </w:p>
    <w:p>
      <w:pPr>
        <w:pStyle w:val="BodyText"/>
        <w:spacing w:line="326" w:lineRule="auto" w:before="67"/>
        <w:ind w:left="1101" w:right="225"/>
        <w:jc w:val="left"/>
      </w:pPr>
      <w:r>
        <w:rPr/>
        <w:t>（</w:t>
      </w:r>
      <w:r>
        <w:rPr>
          <w:rFonts w:ascii="Calibri" w:hAnsi="Calibri" w:cs="Calibri" w:eastAsia="Calibri" w:hint="default"/>
        </w:rPr>
        <w:t>3</w:t>
      </w:r>
      <w:r>
        <w:rPr/>
        <w:t>）存货可变现净值的确定依据及存货跌价准备的计提方法 存货可变现净值是按存货的估计售价减去至完工时估计将要发生的成本、估计的销</w:t>
      </w:r>
    </w:p>
    <w:p>
      <w:pPr>
        <w:pStyle w:val="BodyText"/>
        <w:spacing w:line="357" w:lineRule="auto" w:before="67"/>
        <w:ind w:left="622" w:right="464"/>
        <w:jc w:val="left"/>
      </w:pPr>
      <w:r>
        <w:rPr/>
        <w:t>售费用以及相关税费后的金额。在确定存货的可变现净值时，以取得的确凿证据为基 础，同时考虑持有存货的目的以及资产负债表日后事项的影响。</w:t>
      </w:r>
    </w:p>
    <w:p>
      <w:pPr>
        <w:pStyle w:val="BodyText"/>
        <w:spacing w:line="357" w:lineRule="auto"/>
        <w:ind w:left="622" w:right="242" w:firstLine="479"/>
        <w:jc w:val="both"/>
      </w:pPr>
      <w:r>
        <w:rPr/>
        <w:t>资产负债表日，存货成本高于其可变现净值的，计提存货跌价准备。本集团通常按 照单个存货项目计提存货跌价准备，资产负债表日，以前减记存货价值的影响因素已经 消失的，存货跌价准备在原已计提的金额内转回。</w:t>
      </w:r>
    </w:p>
    <w:p>
      <w:pPr>
        <w:pStyle w:val="BodyText"/>
        <w:spacing w:line="326" w:lineRule="auto"/>
        <w:ind w:left="1101" w:right="4785"/>
        <w:jc w:val="left"/>
      </w:pPr>
      <w:r>
        <w:rPr/>
        <w:t>（</w:t>
      </w:r>
      <w:r>
        <w:rPr>
          <w:rFonts w:ascii="Calibri" w:hAnsi="Calibri" w:cs="Calibri" w:eastAsia="Calibri" w:hint="default"/>
        </w:rPr>
        <w:t>4</w:t>
      </w:r>
      <w:r>
        <w:rPr/>
        <w:t>）存货的盘存制度 本集团存货盘存制度采用永续盘存制。</w:t>
      </w:r>
    </w:p>
    <w:p>
      <w:pPr>
        <w:spacing w:line="312" w:lineRule="auto" w:before="0"/>
        <w:ind w:left="1101" w:right="225" w:hanging="2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Microsoft JhengHei" w:hAnsi="Microsoft JhengHei" w:cs="Microsoft JhengHei" w:eastAsia="Microsoft JhengHei" w:hint="default"/>
          <w:b/>
          <w:bCs/>
          <w:sz w:val="24"/>
          <w:szCs w:val="24"/>
        </w:rPr>
        <w:t>、划分为持有待售资产</w:t>
      </w:r>
      <w:r>
        <w:rPr>
          <w:rFonts w:ascii="Microsoft JhengHei" w:hAnsi="Microsoft JhengHei" w:cs="Microsoft JhengHei" w:eastAsia="Microsoft JhengHei" w:hint="default"/>
          <w:b/>
          <w:bCs/>
          <w:spacing w:val="-54"/>
          <w:sz w:val="24"/>
          <w:szCs w:val="24"/>
        </w:rPr>
        <w:t> </w:t>
      </w:r>
      <w:r>
        <w:rPr>
          <w:rFonts w:ascii="Microsoft JhengHei" w:hAnsi="Microsoft JhengHei" w:cs="Microsoft JhengHei" w:eastAsia="Microsoft JhengHei" w:hint="default"/>
          <w:b/>
          <w:bCs/>
          <w:spacing w:val="-54"/>
          <w:sz w:val="24"/>
          <w:szCs w:val="24"/>
        </w:rPr>
      </w:r>
      <w:r>
        <w:rPr>
          <w:rFonts w:ascii="宋体" w:hAnsi="宋体" w:cs="宋体" w:eastAsia="宋体" w:hint="default"/>
          <w:sz w:val="24"/>
          <w:szCs w:val="24"/>
        </w:rPr>
        <w:t>同时满足下列条件的非流动资产（不包括金融资产及递延所得税资产）或处置组应</w:t>
      </w:r>
    </w:p>
    <w:p>
      <w:pPr>
        <w:pStyle w:val="BodyText"/>
        <w:spacing w:line="357" w:lineRule="auto" w:before="82"/>
        <w:ind w:left="622" w:right="242"/>
        <w:jc w:val="both"/>
      </w:pPr>
      <w:r>
        <w:rPr/>
        <w:t>当确认为持有待售：该非流动资产或处置组必须在其当前状况下仅根据出售此类非流动 资产或处置组的惯常条款即可立即出售；本集团已经就处置该非流动资产或处置组作出 决议，如按规定需得到股东批准的，应当已经取得股东大会或相应权力机构的批准；本 集团已经与受让方签订了不可撤销的转让协议；该项转让将在一年内完成。</w:t>
      </w:r>
    </w:p>
    <w:p>
      <w:pPr>
        <w:pStyle w:val="BodyText"/>
        <w:spacing w:line="357" w:lineRule="auto"/>
        <w:ind w:left="622" w:right="242" w:firstLine="479"/>
        <w:jc w:val="both"/>
      </w:pPr>
      <w:r>
        <w:rPr/>
        <w:t>持有待售的资产包括单项资产和处置组。在特定情况下，处置组包括企业合并中取 得的商誉等。</w:t>
      </w:r>
    </w:p>
    <w:p>
      <w:pPr>
        <w:pStyle w:val="Heading2"/>
        <w:spacing w:line="378" w:lineRule="exact"/>
        <w:ind w:left="821" w:right="225"/>
        <w:jc w:val="left"/>
        <w:rPr>
          <w:b w:val="0"/>
          <w:bCs w:val="0"/>
        </w:rPr>
      </w:pPr>
      <w:r>
        <w:rPr>
          <w:rFonts w:ascii="Times New Roman" w:hAnsi="Times New Roman" w:cs="Times New Roman" w:eastAsia="Times New Roman" w:hint="default"/>
        </w:rPr>
        <w:t>14</w:t>
      </w:r>
      <w:r>
        <w:rPr/>
        <w:t>、长期股权投资</w:t>
      </w:r>
      <w:r>
        <w:rPr>
          <w:b w:val="0"/>
          <w:bCs w:val="0"/>
        </w:rPr>
      </w:r>
    </w:p>
    <w:p>
      <w:pPr>
        <w:pStyle w:val="BodyText"/>
        <w:spacing w:line="240" w:lineRule="auto" w:before="126"/>
        <w:ind w:left="1101" w:right="131"/>
        <w:jc w:val="left"/>
      </w:pPr>
      <w:r>
        <w:rPr/>
        <w:t>本集团长期股权投资包括对被投资单位实施控制、重大影响的权益性投资，以及对</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合营企业的权益性投资。本集团能够对被投资单位施加重大影响的，为本集团的联营企 业。</w:t>
      </w:r>
    </w:p>
    <w:p>
      <w:pPr>
        <w:pStyle w:val="BodyText"/>
        <w:spacing w:line="326" w:lineRule="auto"/>
        <w:ind w:left="1101" w:right="225"/>
        <w:jc w:val="left"/>
      </w:pPr>
      <w:r>
        <w:rPr/>
        <w:t>（</w:t>
      </w:r>
      <w:r>
        <w:rPr>
          <w:rFonts w:ascii="Calibri" w:hAnsi="Calibri" w:cs="Calibri" w:eastAsia="Calibri" w:hint="default"/>
        </w:rPr>
        <w:t>1</w:t>
      </w:r>
      <w:r>
        <w:rPr/>
        <w:t>）投资成本确定 对于企业合并形成的长期股权投资：同一控制下企业合并取得的长期股权投资，在</w:t>
      </w:r>
    </w:p>
    <w:p>
      <w:pPr>
        <w:pStyle w:val="BodyText"/>
        <w:spacing w:line="357" w:lineRule="auto" w:before="67"/>
        <w:ind w:left="622" w:right="242"/>
        <w:jc w:val="both"/>
      </w:pPr>
      <w:r>
        <w:rPr/>
        <w:t>合并日按照取得被合并方所有者权益在最终控制方合并财务报表中的账面价值份额作为 投资成本；非同一控制下企业合并取得的长期股权投资，按照合并成本作为长期股权投 资的投资成本。</w:t>
      </w:r>
    </w:p>
    <w:p>
      <w:pPr>
        <w:pStyle w:val="BodyText"/>
        <w:spacing w:line="357" w:lineRule="auto"/>
        <w:ind w:left="622" w:right="225" w:firstLine="479"/>
        <w:jc w:val="left"/>
      </w:pPr>
      <w:r>
        <w:rPr/>
        <w:t>对于以企业合并以外的其他方式取得的长期股权投资：支付现金取得的长期股权投 资，按照实际支付的购买价款作为初始投资成本；发行权益性证券取得的长期股权投 资，以发行权益性证券的公允价值作为初始投资成本。</w:t>
      </w:r>
    </w:p>
    <w:p>
      <w:pPr>
        <w:pStyle w:val="BodyText"/>
        <w:spacing w:line="326" w:lineRule="auto"/>
        <w:ind w:left="1101" w:right="225"/>
        <w:jc w:val="left"/>
      </w:pPr>
      <w:r>
        <w:rPr/>
        <w:t>（</w:t>
      </w:r>
      <w:r>
        <w:rPr>
          <w:rFonts w:ascii="Calibri" w:hAnsi="Calibri" w:cs="Calibri" w:eastAsia="Calibri" w:hint="default"/>
        </w:rPr>
        <w:t>2</w:t>
      </w:r>
      <w:r>
        <w:rPr/>
        <w:t>）后续计量及损益确认方法 本集团能够对被投资单位实施控制的长期股权投资采用成本法核算；对联营企业和</w:t>
      </w:r>
    </w:p>
    <w:p>
      <w:pPr>
        <w:pStyle w:val="BodyText"/>
        <w:spacing w:line="357" w:lineRule="auto" w:before="67"/>
        <w:ind w:left="1101" w:right="225" w:hanging="480"/>
        <w:jc w:val="left"/>
      </w:pPr>
      <w:r>
        <w:rPr/>
        <w:t>合营企业的投资采用权益法核算。 采用成本法核算的长期股权投资，除取得投资时实际支付的价款或对价中包含的已</w:t>
      </w:r>
    </w:p>
    <w:p>
      <w:pPr>
        <w:pStyle w:val="BodyText"/>
        <w:spacing w:line="357" w:lineRule="auto"/>
        <w:ind w:left="622" w:right="242"/>
        <w:jc w:val="both"/>
      </w:pPr>
      <w:r>
        <w:rPr/>
        <w:t>宣告但尚未发放的现金股利或利润外，被投资单位宣告分派的现金股利或利润，确认为 投资收益计入当期损益。</w:t>
      </w:r>
    </w:p>
    <w:p>
      <w:pPr>
        <w:pStyle w:val="BodyText"/>
        <w:spacing w:line="357" w:lineRule="auto"/>
        <w:ind w:left="622" w:right="224" w:firstLine="479"/>
        <w:jc w:val="left"/>
      </w:pPr>
      <w:r>
        <w:rPr/>
        <w:t>采用权益法核算的长期股权投资，初始投资成本大于投资时应享有被投资单位可辨 认净资产公允价值份额的，不调整长期股权投资的投资成本；初始投资成本小于投资时 应享有被投资单位可辨认净资产公允价值份额的，对长期股权投资的账面价值进行调 整，差额计入投资当期的损益。</w:t>
      </w:r>
    </w:p>
    <w:p>
      <w:pPr>
        <w:pStyle w:val="BodyText"/>
        <w:spacing w:line="357" w:lineRule="auto"/>
        <w:ind w:left="622" w:right="224" w:firstLine="479"/>
        <w:jc w:val="left"/>
      </w:pPr>
      <w:r>
        <w:rPr/>
        <w:t>采用权益法核算时，按照应享有或应分担的被投资单位实现的净损益和其他综合收 益的份额，分别确认投资收益和其他综合收益，同时调整长期股权投资的账面价值；按 照被投资单位宣告分派的利润或现金股利计算应享有的部分，相应减少长期股权投资的 账面价值；被投资单位除净损益、其他综合收益和利润分配以外所有者权益的其他变 动，调整长期股权投资的账面价值并计入所有者权益。在确认应享有被投资单位净损益 的份额时，以取得投资时被投资单位各项可辨认资产等的公允价值为基础，并按照本集 团的会计政策及会计期间，对被投资单位的净利润进行调整后确认。</w:t>
      </w:r>
    </w:p>
    <w:p>
      <w:pPr>
        <w:pStyle w:val="BodyText"/>
        <w:spacing w:line="357" w:lineRule="auto"/>
        <w:ind w:left="622" w:right="224" w:firstLine="479"/>
        <w:jc w:val="left"/>
      </w:pPr>
      <w:r>
        <w:rPr/>
        <w:t>因追加投资等原因能够对被投资单位施加重大影响或实施共同控制但不构成控制 的，按照原持有的股权投资的公允价值加上新增投资成本之和，作为改按权益法核算的</w:t>
      </w:r>
    </w:p>
    <w:p>
      <w:pPr>
        <w:spacing w:after="0" w:line="357"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初始投资成本。原持有的股权投资分类为可供出售金融资产的，其公允价值与账面价值 之间的差额，以及原计入其他综合收益的累计公允价值变动应当转入改按权益法核算的 当期损益。</w:t>
      </w:r>
    </w:p>
    <w:p>
      <w:pPr>
        <w:pStyle w:val="BodyText"/>
        <w:spacing w:line="350" w:lineRule="auto"/>
        <w:ind w:left="622" w:right="240" w:firstLine="479"/>
        <w:jc w:val="both"/>
      </w:pPr>
      <w:r>
        <w:rPr/>
        <w:t>因处置部分股权投资等原因丧失了对被投资单位的共同控制或重大影响的，处置后 的剩余股权应当改按《企业会计准则第</w:t>
      </w:r>
      <w:r>
        <w:rPr>
          <w:rFonts w:ascii="Calibri" w:hAnsi="Calibri" w:cs="Calibri" w:eastAsia="Calibri" w:hint="default"/>
        </w:rPr>
        <w:t>22</w:t>
      </w:r>
      <w:r>
        <w:rPr/>
        <w:t>号</w:t>
      </w:r>
      <w:r>
        <w:rPr>
          <w:rFonts w:ascii="Calibri" w:hAnsi="Calibri" w:cs="Calibri" w:eastAsia="Calibri" w:hint="default"/>
        </w:rPr>
        <w:t>—</w:t>
      </w:r>
      <w:r>
        <w:rPr/>
        <w:t>金融工具确认和计量》进行会计处理，在 丧失共同控制或重大影响之日的公允价值与账面价值之间的差额计入当期损益。原股权 投资因采用权益法核算而确认的其他综合收益，应当在终止采用权益法核算时采用与被 投资单位直接处置相关资产或负债相同的基础进行会计处理；原股权投资相关的其他所</w:t>
      </w:r>
    </w:p>
    <w:p>
      <w:pPr>
        <w:pStyle w:val="BodyText"/>
        <w:spacing w:line="357" w:lineRule="auto" w:before="44"/>
        <w:ind w:left="1101" w:right="225" w:hanging="480"/>
        <w:jc w:val="left"/>
      </w:pPr>
      <w:r>
        <w:rPr/>
        <w:t>有者权益变动转入当期损益。 因处置部分股权投资等原因丧失了对被投资单位的控制的，处置后的剩余股权能够</w:t>
      </w:r>
    </w:p>
    <w:p>
      <w:pPr>
        <w:pStyle w:val="BodyText"/>
        <w:spacing w:line="348" w:lineRule="auto"/>
        <w:ind w:left="622" w:right="242"/>
        <w:jc w:val="both"/>
      </w:pPr>
      <w:r>
        <w:rPr/>
        <w:t>对被投资单位实施共同控制或施加重大影响的，改按权益法核算，并对该剩余股权视同 自取得时即采用权益法核算进行调整；处置后的剩余股权不能对被投资单位实施共同控 制或施加重大影响的，改按《企业会计准则第</w:t>
      </w:r>
      <w:r>
        <w:rPr>
          <w:rFonts w:ascii="Calibri" w:hAnsi="Calibri" w:cs="Calibri" w:eastAsia="Calibri" w:hint="default"/>
        </w:rPr>
        <w:t>22</w:t>
      </w:r>
      <w:r>
        <w:rPr/>
        <w:t>号</w:t>
      </w:r>
      <w:r>
        <w:rPr>
          <w:rFonts w:ascii="Calibri" w:hAnsi="Calibri" w:cs="Calibri" w:eastAsia="Calibri" w:hint="default"/>
        </w:rPr>
        <w:t>—</w:t>
      </w:r>
      <w:r>
        <w:rPr/>
        <w:t>金融工具确认和计量》的有关规定 进行会计处理，其在丧失控制之日的公允价值与账面价值间的差额计入当期损益。</w:t>
      </w:r>
    </w:p>
    <w:p>
      <w:pPr>
        <w:pStyle w:val="BodyText"/>
        <w:spacing w:line="357" w:lineRule="auto" w:before="46"/>
        <w:ind w:left="622" w:right="242" w:firstLine="479"/>
        <w:jc w:val="both"/>
      </w:pPr>
      <w:r>
        <w:rPr/>
        <w:t>本集团与联营企业及合营企业之间发生的未实现内部交易损益按照持股比例计算归 属于本集团的部分，在抵销基础上确认投资损益。但本集团与被投资单位发生的未实现 内部交易损失，属于所转让资产减值损失的，不予以抵销。</w:t>
      </w:r>
    </w:p>
    <w:p>
      <w:pPr>
        <w:pStyle w:val="BodyText"/>
        <w:spacing w:line="326" w:lineRule="auto"/>
        <w:ind w:left="1101" w:right="225"/>
        <w:jc w:val="left"/>
      </w:pPr>
      <w:r>
        <w:rPr/>
        <w:t>（</w:t>
      </w:r>
      <w:r>
        <w:rPr>
          <w:rFonts w:ascii="Calibri" w:hAnsi="Calibri" w:cs="Calibri" w:eastAsia="Calibri" w:hint="default"/>
        </w:rPr>
        <w:t>3</w:t>
      </w:r>
      <w:r>
        <w:rPr/>
        <w:t>）确定对被投资单位具有共同控制、重大影响的依据 共同控制，是指按照相关约定对某项安排所共有的控制，并且该安排的相关活动必</w:t>
      </w:r>
    </w:p>
    <w:p>
      <w:pPr>
        <w:pStyle w:val="BodyText"/>
        <w:spacing w:line="357" w:lineRule="auto" w:before="67"/>
        <w:ind w:left="622" w:right="224"/>
        <w:jc w:val="left"/>
      </w:pPr>
      <w:r>
        <w:rPr/>
        <w:t>须经过分享控制权的参与方一致同意后才能决策。在判断是否存在共同控制时，首先判 断所有参与方或参与方组合是否集体控制该安排，如果所有参与方或一组参与方必须一 致行动才能决定某项安排的相关活动，则认为所有参与方或一组参与方集体控制该安 排。其次再判断该安排相关活动的决策是否必须经过这些集体控制该安排的参与方一致 同意。如果存在两个或两个以上的参与方组合能够集体控制某项安排的，不构成共同控 制。判断是否存在共同控制时，不考虑享有的保护性权利。</w:t>
      </w:r>
    </w:p>
    <w:p>
      <w:pPr>
        <w:pStyle w:val="BodyText"/>
        <w:spacing w:line="357" w:lineRule="auto"/>
        <w:ind w:left="622" w:right="242" w:firstLine="479"/>
        <w:jc w:val="both"/>
      </w:pPr>
      <w:r>
        <w:rPr/>
        <w:t>重大影响，是指投资方对被投资单位的财务和经营政策有参与决策的权力，但并不 能够控制或者与其他方一起共同控制这些政策的制定。在确定能否对被投资单位施加重 大影响时，考虑投资方直接或间接持有被投资单位的表决权股份以及投资方及其他方持 有的当期可执行潜在表决权在假定转换为对被投资方单位的股权后产生的影响，包括被</w:t>
      </w:r>
    </w:p>
    <w:p>
      <w:pPr>
        <w:spacing w:after="0" w:line="357"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1101" w:right="180" w:hanging="480"/>
        <w:jc w:val="left"/>
      </w:pPr>
      <w:r>
        <w:rPr/>
        <w:t>投资单位发行的当期可转换的认股权证、股份期权及可转换公司债券等的影响。 当本集团直接或通过子公司间接拥有被投资单位</w:t>
      </w:r>
      <w:r>
        <w:rPr>
          <w:rFonts w:ascii="Calibri" w:hAnsi="Calibri" w:cs="Calibri" w:eastAsia="Calibri" w:hint="default"/>
        </w:rPr>
        <w:t>20%</w:t>
      </w:r>
      <w:r>
        <w:rPr/>
        <w:t>（含</w:t>
      </w:r>
      <w:r>
        <w:rPr>
          <w:rFonts w:ascii="Calibri" w:hAnsi="Calibri" w:cs="Calibri" w:eastAsia="Calibri" w:hint="default"/>
        </w:rPr>
        <w:t>20%</w:t>
      </w:r>
      <w:r>
        <w:rPr/>
        <w:t>）以上但低于</w:t>
      </w:r>
      <w:r>
        <w:rPr>
          <w:rFonts w:ascii="Calibri" w:hAnsi="Calibri" w:cs="Calibri" w:eastAsia="Calibri" w:hint="default"/>
        </w:rPr>
        <w:t>50%</w:t>
      </w:r>
      <w:r>
        <w:rPr/>
        <w:t>的表</w:t>
      </w:r>
    </w:p>
    <w:p>
      <w:pPr>
        <w:pStyle w:val="BodyText"/>
        <w:spacing w:line="294" w:lineRule="exact" w:before="0"/>
        <w:ind w:left="622" w:right="0"/>
        <w:jc w:val="both"/>
      </w:pPr>
      <w:r>
        <w:rPr/>
        <w:t>决权股份时，除非有明确证据表明该种情况下不能参与被投资单位的生产经营决策，不</w:t>
      </w:r>
    </w:p>
    <w:p>
      <w:pPr>
        <w:pStyle w:val="BodyText"/>
        <w:spacing w:line="340" w:lineRule="auto" w:before="154"/>
        <w:ind w:left="622" w:right="242"/>
        <w:jc w:val="both"/>
      </w:pPr>
      <w:r>
        <w:rPr/>
        <w:t>形成重大影响外，均确定对被投资单位具有重大影响；本集团拥有被投资单位</w:t>
      </w:r>
      <w:r>
        <w:rPr>
          <w:rFonts w:ascii="Calibri" w:hAnsi="Calibri" w:cs="Calibri" w:eastAsia="Calibri" w:hint="default"/>
        </w:rPr>
        <w:t>20%</w:t>
      </w:r>
      <w:r>
        <w:rPr/>
        <w:t>（不 含）以下的表决权股份，一般不认为对被投资单位具有重大影响，除非有明确证据表明 该种情况下能够参与被投资单位的生产经营决策，形成重大影响。</w:t>
      </w:r>
    </w:p>
    <w:p>
      <w:pPr>
        <w:pStyle w:val="Heading2"/>
        <w:spacing w:line="395" w:lineRule="exact"/>
        <w:ind w:left="821" w:right="225"/>
        <w:jc w:val="left"/>
        <w:rPr>
          <w:b w:val="0"/>
          <w:bCs w:val="0"/>
        </w:rPr>
      </w:pPr>
      <w:r>
        <w:rPr>
          <w:rFonts w:ascii="Times New Roman" w:hAnsi="Times New Roman" w:cs="Times New Roman" w:eastAsia="Times New Roman" w:hint="default"/>
        </w:rPr>
        <w:t>15</w:t>
      </w:r>
      <w:r>
        <w:rPr/>
        <w:t>、投资性房地产</w:t>
      </w:r>
      <w:r>
        <w:rPr>
          <w:b w:val="0"/>
          <w:bCs w:val="0"/>
        </w:rPr>
      </w:r>
    </w:p>
    <w:p>
      <w:pPr>
        <w:pStyle w:val="BodyText"/>
        <w:spacing w:line="357" w:lineRule="auto" w:before="126"/>
        <w:ind w:left="622" w:right="242" w:firstLine="479"/>
        <w:jc w:val="both"/>
      </w:pPr>
      <w:r>
        <w:rPr/>
        <w:t>投资性房地产是指为赚取租金或资本增值，或两者兼有而持有的房地产。本集团投 资性房地产包括已出租的土地使用权、持有并准备增值后转让的土地使用权、已出租的 建筑物。</w:t>
      </w:r>
    </w:p>
    <w:p>
      <w:pPr>
        <w:pStyle w:val="BodyText"/>
        <w:spacing w:line="357" w:lineRule="auto"/>
        <w:ind w:left="622" w:right="242" w:firstLine="479"/>
        <w:jc w:val="both"/>
      </w:pPr>
      <w:r>
        <w:rPr/>
        <w:t>本集团投资性房地产按照取得时的成本进行初始计量，并按照固定资产或无形资产 的有关规定，按期计提折旧或摊销。</w:t>
      </w:r>
    </w:p>
    <w:p>
      <w:pPr>
        <w:pStyle w:val="BodyText"/>
        <w:spacing w:line="357" w:lineRule="auto"/>
        <w:ind w:left="622" w:right="242" w:firstLine="479"/>
        <w:jc w:val="both"/>
      </w:pPr>
      <w:r>
        <w:rPr/>
        <w:t>本集团采用年限平均法计提折旧。投资性房地产自达到预定可使用状态时开始计提 折旧，终止确认时或转为自用固定资产时停止计提折旧。在不考虑减值准备的情况下， 按投资性房地产类别、预计使用寿命和预计残值，本集团确定各类投资性房地产的年折 旧率如下：本集团采用年限平均法计提折旧。投资性房地产自达到预定可使用状态时开 始计提折旧，终止确认时或转为自用固定资产时停止计提折旧。在不考虑减值准备的情 况下，按投资性房地产类别、预计使用寿命和预计残值，本集团确定各类投资性房地产 的年折旧率如下：</w:t>
      </w:r>
    </w:p>
    <w:tbl>
      <w:tblPr>
        <w:tblW w:w="0" w:type="auto"/>
        <w:jc w:val="left"/>
        <w:tblInd w:w="622" w:type="dxa"/>
        <w:tblLayout w:type="fixed"/>
        <w:tblCellMar>
          <w:top w:w="0" w:type="dxa"/>
          <w:left w:w="0" w:type="dxa"/>
          <w:bottom w:w="0" w:type="dxa"/>
          <w:right w:w="0" w:type="dxa"/>
        </w:tblCellMar>
        <w:tblLook w:val="01E0"/>
      </w:tblPr>
      <w:tblGrid>
        <w:gridCol w:w="2727"/>
        <w:gridCol w:w="2321"/>
        <w:gridCol w:w="1803"/>
        <w:gridCol w:w="2355"/>
      </w:tblGrid>
      <w:tr>
        <w:trPr>
          <w:trHeight w:val="34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使用年限（年）</w:t>
            </w:r>
            <w:r>
              <w:rPr>
                <w:rFonts w:ascii="Microsoft JhengHei" w:hAnsi="Microsoft JhengHei" w:cs="Microsoft JhengHei" w:eastAsia="Microsoft JhengHei"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2" w:right="0"/>
              <w:jc w:val="center"/>
              <w:rPr>
                <w:rFonts w:ascii="Calibri" w:hAnsi="Calibri" w:cs="Calibri" w:eastAsia="Calibri" w:hint="default"/>
                <w:sz w:val="21"/>
                <w:szCs w:val="21"/>
              </w:rPr>
            </w:pPr>
            <w:r>
              <w:rPr>
                <w:rFonts w:ascii="Microsoft JhengHei" w:hAnsi="Microsoft JhengHei" w:cs="Microsoft JhengHei" w:eastAsia="Microsoft JhengHei" w:hint="default"/>
                <w:b/>
                <w:bCs/>
                <w:sz w:val="21"/>
                <w:szCs w:val="21"/>
              </w:rPr>
              <w:t>残值率</w:t>
            </w:r>
            <w:r>
              <w:rPr>
                <w:rFonts w:ascii="Calibri" w:hAnsi="Calibri" w:cs="Calibri" w:eastAsia="Calibri" w:hint="default"/>
                <w:b/>
                <w:bCs/>
                <w:sz w:val="21"/>
                <w:szCs w:val="21"/>
              </w:rPr>
              <w:t>%</w:t>
            </w:r>
            <w:r>
              <w:rPr>
                <w:rFonts w:ascii="Calibri" w:hAnsi="Calibri" w:cs="Calibri" w:eastAsia="Calibri" w:hint="default"/>
                <w:sz w:val="21"/>
                <w:szCs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Calibri" w:hAnsi="Calibri" w:cs="Calibri" w:eastAsia="Calibri" w:hint="default"/>
                <w:sz w:val="21"/>
                <w:szCs w:val="21"/>
              </w:rPr>
            </w:pPr>
            <w:r>
              <w:rPr>
                <w:rFonts w:ascii="Microsoft JhengHei" w:hAnsi="Microsoft JhengHei" w:cs="Microsoft JhengHei" w:eastAsia="Microsoft JhengHei" w:hint="default"/>
                <w:b/>
                <w:bCs/>
                <w:sz w:val="21"/>
                <w:szCs w:val="21"/>
              </w:rPr>
              <w:t>年折旧率</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4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3"/>
              <w:jc w:val="center"/>
              <w:rPr>
                <w:rFonts w:ascii="Calibri" w:hAnsi="Calibri" w:cs="Calibri" w:eastAsia="Calibri" w:hint="default"/>
                <w:sz w:val="21"/>
                <w:szCs w:val="21"/>
              </w:rPr>
            </w:pPr>
            <w:r>
              <w:rPr>
                <w:rFonts w:ascii="Calibri" w:hAnsi="Calibri" w:cs="Calibri" w:eastAsia="Calibri" w:hint="default"/>
                <w:sz w:val="21"/>
                <w:szCs w:val="21"/>
              </w:rPr>
              <w:t>20</w:t>
            </w:r>
            <w:r>
              <w:rPr>
                <w:rFonts w:ascii="宋体" w:hAnsi="宋体" w:cs="宋体" w:eastAsia="宋体" w:hint="default"/>
                <w:sz w:val="21"/>
                <w:szCs w:val="21"/>
              </w:rPr>
              <w:t>、</w:t>
            </w:r>
            <w:r>
              <w:rPr>
                <w:rFonts w:ascii="Calibri" w:hAnsi="Calibri" w:cs="Calibri" w:eastAsia="Calibri" w:hint="default"/>
                <w:sz w:val="21"/>
                <w:szCs w:val="21"/>
              </w:rPr>
              <w:t>40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w w:val="100"/>
                <w:sz w:val="21"/>
              </w:rPr>
              <w:t>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1"/>
              <w:jc w:val="center"/>
              <w:rPr>
                <w:rFonts w:ascii="Calibri" w:hAnsi="Calibri" w:cs="Calibri" w:eastAsia="Calibri" w:hint="default"/>
                <w:sz w:val="21"/>
                <w:szCs w:val="21"/>
              </w:rPr>
            </w:pPr>
            <w:r>
              <w:rPr>
                <w:rFonts w:ascii="Calibri" w:hAnsi="Calibri" w:cs="Calibri" w:eastAsia="Calibri" w:hint="default"/>
                <w:sz w:val="21"/>
                <w:szCs w:val="21"/>
              </w:rPr>
              <w:t>4.75</w:t>
            </w:r>
            <w:r>
              <w:rPr>
                <w:rFonts w:ascii="宋体" w:hAnsi="宋体" w:cs="宋体" w:eastAsia="宋体" w:hint="default"/>
                <w:sz w:val="21"/>
                <w:szCs w:val="21"/>
              </w:rPr>
              <w:t>、</w:t>
            </w:r>
            <w:r>
              <w:rPr>
                <w:rFonts w:ascii="Calibri" w:hAnsi="Calibri" w:cs="Calibri" w:eastAsia="Calibri" w:hint="default"/>
                <w:sz w:val="21"/>
                <w:szCs w:val="21"/>
              </w:rPr>
              <w:t>2.375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2"/>
        <w:spacing w:line="367" w:lineRule="exact"/>
        <w:ind w:left="1104" w:right="225"/>
        <w:jc w:val="left"/>
        <w:rPr>
          <w:b w:val="0"/>
          <w:bCs w:val="0"/>
        </w:rPr>
      </w:pPr>
      <w:r>
        <w:rPr>
          <w:rFonts w:ascii="Times New Roman" w:hAnsi="Times New Roman" w:cs="Times New Roman" w:eastAsia="Times New Roman" w:hint="default"/>
        </w:rPr>
        <w:t>16</w:t>
      </w:r>
      <w:r>
        <w:rPr/>
        <w:t>、固定资产</w:t>
      </w:r>
      <w:r>
        <w:rPr>
          <w:b w:val="0"/>
          <w:bCs w:val="0"/>
        </w:rPr>
      </w:r>
    </w:p>
    <w:p>
      <w:pPr>
        <w:pStyle w:val="BodyText"/>
        <w:spacing w:line="312" w:lineRule="auto" w:before="51"/>
        <w:ind w:left="1104" w:right="22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）确认条件</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本集团固定资产是指为生产商品、提供劳务、出租或经营管理而持有的，使用寿命</w:t>
      </w:r>
    </w:p>
    <w:p>
      <w:pPr>
        <w:pStyle w:val="BodyText"/>
        <w:spacing w:line="357" w:lineRule="auto" w:before="82"/>
        <w:ind w:left="622" w:right="224"/>
        <w:jc w:val="left"/>
      </w:pPr>
      <w:r>
        <w:rPr/>
        <w:t>超过一个会计年度的有形资产。与该固定资产有关的经济利益很可能流入企业，并且该 固定资产的成本能够可靠地计量时，固定资产才能予以确认。 本集团固定资产按照取 得时的实际成本进行初始计量。</w:t>
      </w:r>
    </w:p>
    <w:p>
      <w:pPr>
        <w:pStyle w:val="Heading2"/>
        <w:spacing w:line="378" w:lineRule="exact"/>
        <w:ind w:left="1104" w:right="225"/>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622" w:type="dxa"/>
        <w:tblLayout w:type="fixed"/>
        <w:tblCellMar>
          <w:top w:w="0" w:type="dxa"/>
          <w:left w:w="0" w:type="dxa"/>
          <w:bottom w:w="0" w:type="dxa"/>
          <w:right w:w="0" w:type="dxa"/>
        </w:tblCellMar>
        <w:tblLook w:val="01E0"/>
      </w:tblPr>
      <w:tblGrid>
        <w:gridCol w:w="1841"/>
        <w:gridCol w:w="1841"/>
        <w:gridCol w:w="1841"/>
        <w:gridCol w:w="1841"/>
        <w:gridCol w:w="1841"/>
      </w:tblGrid>
      <w:tr>
        <w:trPr>
          <w:trHeight w:val="322" w:hRule="exact"/>
        </w:trPr>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折旧年限</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残值率</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年折旧率</w:t>
            </w:r>
            <w:r>
              <w:rPr>
                <w:rFonts w:ascii="Microsoft JhengHei" w:hAnsi="Microsoft JhengHei" w:cs="Microsoft JhengHei" w:eastAsia="Microsoft JhengHei" w:hint="default"/>
                <w:sz w:val="21"/>
                <w:szCs w:val="21"/>
              </w:rPr>
            </w:r>
          </w:p>
        </w:tc>
      </w:tr>
    </w:tbl>
    <w:p>
      <w:pPr>
        <w:spacing w:after="0" w:line="286" w:lineRule="exact"/>
        <w:jc w:val="left"/>
        <w:rPr>
          <w:rFonts w:ascii="Microsoft JhengHei" w:hAnsi="Microsoft JhengHei" w:cs="Microsoft JhengHei" w:eastAsia="Microsoft JhengHei" w:hint="default"/>
          <w:sz w:val="21"/>
          <w:szCs w:val="21"/>
        </w:rPr>
        <w:sectPr>
          <w:pgSz w:w="11910" w:h="16840"/>
          <w:pgMar w:header="884" w:footer="1085" w:top="1300" w:bottom="1280" w:left="1080" w:right="840"/>
        </w:sectPr>
      </w:pPr>
    </w:p>
    <w:p>
      <w:pPr>
        <w:spacing w:line="240" w:lineRule="auto" w:before="3"/>
        <w:rPr>
          <w:rFonts w:ascii="Microsoft JhengHei" w:hAnsi="Microsoft JhengHei" w:cs="Microsoft JhengHei" w:eastAsia="Microsoft JhengHei" w:hint="default"/>
          <w:b/>
          <w:bCs/>
          <w:sz w:val="7"/>
          <w:szCs w:val="7"/>
        </w:rPr>
      </w:pPr>
    </w:p>
    <w:tbl>
      <w:tblPr>
        <w:tblW w:w="0" w:type="auto"/>
        <w:jc w:val="left"/>
        <w:tblInd w:w="622" w:type="dxa"/>
        <w:tblLayout w:type="fixed"/>
        <w:tblCellMar>
          <w:top w:w="0" w:type="dxa"/>
          <w:left w:w="0" w:type="dxa"/>
          <w:bottom w:w="0" w:type="dxa"/>
          <w:right w:w="0" w:type="dxa"/>
        </w:tblCellMar>
        <w:tblLook w:val="01E0"/>
      </w:tblPr>
      <w:tblGrid>
        <w:gridCol w:w="1841"/>
        <w:gridCol w:w="1841"/>
        <w:gridCol w:w="1841"/>
        <w:gridCol w:w="1841"/>
        <w:gridCol w:w="1841"/>
      </w:tblGrid>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06"/>
              <w:jc w:val="right"/>
              <w:rPr>
                <w:rFonts w:ascii="Calibri" w:hAnsi="Calibri" w:cs="Calibri" w:eastAsia="Calibri" w:hint="default"/>
                <w:sz w:val="21"/>
                <w:szCs w:val="21"/>
              </w:rPr>
            </w:pPr>
            <w:r>
              <w:rPr>
                <w:rFonts w:ascii="Calibri"/>
                <w:sz w:val="21"/>
              </w:rPr>
              <w:t>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1"/>
              <w:jc w:val="right"/>
              <w:rPr>
                <w:rFonts w:ascii="Calibri" w:hAnsi="Calibri" w:cs="Calibri" w:eastAsia="Calibri" w:hint="default"/>
                <w:sz w:val="21"/>
                <w:szCs w:val="21"/>
              </w:rPr>
            </w:pPr>
            <w:r>
              <w:rPr>
                <w:rFonts w:ascii="Calibri"/>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6"/>
              <w:jc w:val="right"/>
              <w:rPr>
                <w:rFonts w:ascii="Calibri" w:hAnsi="Calibri" w:cs="Calibri" w:eastAsia="Calibri" w:hint="default"/>
                <w:sz w:val="21"/>
                <w:szCs w:val="21"/>
              </w:rPr>
            </w:pPr>
            <w:r>
              <w:rPr>
                <w:rFonts w:ascii="Calibri"/>
                <w:spacing w:val="-1"/>
                <w:sz w:val="21"/>
              </w:rPr>
              <w:t>2.375</w:t>
            </w:r>
          </w:p>
        </w:tc>
      </w:tr>
      <w:tr>
        <w:trPr>
          <w:trHeight w:val="32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0"/>
              <w:jc w:val="right"/>
              <w:rPr>
                <w:rFonts w:ascii="Calibri" w:hAnsi="Calibri" w:cs="Calibri" w:eastAsia="Calibri" w:hint="default"/>
                <w:sz w:val="21"/>
                <w:szCs w:val="21"/>
              </w:rPr>
            </w:pPr>
            <w:r>
              <w:rPr>
                <w:rFonts w:ascii="Calibri"/>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1"/>
              <w:jc w:val="right"/>
              <w:rPr>
                <w:rFonts w:ascii="Calibri" w:hAnsi="Calibri" w:cs="Calibri" w:eastAsia="Calibri" w:hint="default"/>
                <w:sz w:val="21"/>
                <w:szCs w:val="21"/>
              </w:rPr>
            </w:pPr>
            <w:r>
              <w:rPr>
                <w:rFonts w:ascii="Calibri"/>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6"/>
              <w:jc w:val="right"/>
              <w:rPr>
                <w:rFonts w:ascii="Calibri" w:hAnsi="Calibri" w:cs="Calibri" w:eastAsia="Calibri" w:hint="default"/>
                <w:sz w:val="21"/>
                <w:szCs w:val="21"/>
              </w:rPr>
            </w:pPr>
            <w:r>
              <w:rPr>
                <w:rFonts w:ascii="Calibri"/>
                <w:spacing w:val="-1"/>
                <w:sz w:val="21"/>
              </w:rPr>
              <w:t>19.00</w:t>
            </w:r>
          </w:p>
        </w:tc>
      </w:tr>
      <w:tr>
        <w:trPr>
          <w:trHeight w:val="32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0"/>
              <w:jc w:val="right"/>
              <w:rPr>
                <w:rFonts w:ascii="Calibri" w:hAnsi="Calibri" w:cs="Calibri" w:eastAsia="Calibri" w:hint="default"/>
                <w:sz w:val="21"/>
                <w:szCs w:val="21"/>
              </w:rPr>
            </w:pPr>
            <w:r>
              <w:rPr>
                <w:rFonts w:ascii="Calibri"/>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61"/>
              <w:jc w:val="right"/>
              <w:rPr>
                <w:rFonts w:ascii="Calibri" w:hAnsi="Calibri" w:cs="Calibri" w:eastAsia="Calibri" w:hint="default"/>
                <w:sz w:val="21"/>
                <w:szCs w:val="21"/>
              </w:rPr>
            </w:pPr>
            <w:r>
              <w:rPr>
                <w:rFonts w:ascii="Calibri"/>
                <w:w w:val="100"/>
                <w:sz w:val="21"/>
              </w:rPr>
              <w:t>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6"/>
              <w:jc w:val="right"/>
              <w:rPr>
                <w:rFonts w:ascii="Calibri" w:hAnsi="Calibri" w:cs="Calibri" w:eastAsia="Calibri" w:hint="default"/>
                <w:sz w:val="21"/>
                <w:szCs w:val="21"/>
              </w:rPr>
            </w:pPr>
            <w:r>
              <w:rPr>
                <w:rFonts w:ascii="Calibri"/>
                <w:spacing w:val="-1"/>
                <w:sz w:val="21"/>
              </w:rPr>
              <w:t>19.00</w:t>
            </w:r>
          </w:p>
        </w:tc>
      </w:tr>
    </w:tbl>
    <w:p>
      <w:pPr>
        <w:spacing w:line="380" w:lineRule="exact" w:before="0"/>
        <w:ind w:left="1104"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）融资租入固定资产的认定依据、计价和折旧方法</w:t>
      </w:r>
      <w:r>
        <w:rPr>
          <w:rFonts w:ascii="Microsoft JhengHei" w:hAnsi="Microsoft JhengHei" w:cs="Microsoft JhengHei" w:eastAsia="Microsoft JhengHei" w:hint="default"/>
          <w:sz w:val="24"/>
          <w:szCs w:val="24"/>
        </w:rPr>
      </w:r>
    </w:p>
    <w:p>
      <w:pPr>
        <w:pStyle w:val="BodyText"/>
        <w:spacing w:line="240" w:lineRule="auto" w:before="126"/>
        <w:ind w:left="1104" w:right="131"/>
        <w:jc w:val="left"/>
      </w:pPr>
      <w:r>
        <w:rPr/>
        <w:t>当本集团租入的固定资产符合下列一项或数项标准时，确认为融资租入固定资产：</w:t>
      </w:r>
    </w:p>
    <w:p>
      <w:pPr>
        <w:pStyle w:val="BodyText"/>
        <w:spacing w:line="357" w:lineRule="auto" w:before="154"/>
        <w:ind w:left="622" w:right="224"/>
        <w:jc w:val="left"/>
      </w:pPr>
      <w:r>
        <w:rPr/>
        <w:t>①在租赁期届满时，租赁资产的所有权转移给本集团。②本集团有购买租赁资产的选择 权，所订立的购买价款预计将远低于行使选择权时租赁资产的公允价值，因而在租赁开 始日就可以合理确定本集团将会行使这种选择权。③即使资产的所有权不转移，但租赁 期占租赁资产使用寿命的大部分。④本集团在租赁开始日的最低租赁付款额现值，几乎 相当于租赁开始日租赁资产公允价值。⑤租赁资产性质特殊，如果不作较大改造，只有 本集团才能使用。融资租赁租入的固定资产，按租赁开始日租赁资产公允价值与最低租 赁付款额的现值两者中较低者，作为入账价值。最低租赁付款额作为长期应付款的入账 价值，其差额作为未确认融资费用。在租赁谈判和签订租赁合同过程中发生的，可归属 于租赁项目的手续费、律师费、差旅费、印花税等初始直接费用，计入租入资产价值。 未确认融资费用在租赁期内各个期间采用实际利率法进行分摊。</w:t>
      </w:r>
      <w:r>
        <w:rPr>
          <w:spacing w:val="1"/>
        </w:rPr>
        <w:t> </w:t>
      </w:r>
      <w:r>
        <w:rPr/>
        <w:t>融资租入的固定资产</w:t>
      </w:r>
      <w:r>
        <w:rPr/>
        <w:t> 采用与自有固定资产一致的政策计提租赁资产折旧。能够合理确定租赁期届满时将会取 得租赁资产所有权的，在租赁资产尚可使用年限内计提折旧；无法合理确定租赁期届满 时能够取得租赁资产所有权的，在租赁期与租赁资产尚可使用年限两者中较短的期间内 计提折旧。</w:t>
      </w:r>
    </w:p>
    <w:p>
      <w:pPr>
        <w:pStyle w:val="Heading2"/>
        <w:spacing w:line="378" w:lineRule="exact"/>
        <w:ind w:right="225"/>
        <w:jc w:val="left"/>
        <w:rPr>
          <w:b w:val="0"/>
          <w:bCs w:val="0"/>
        </w:rPr>
      </w:pPr>
      <w:r>
        <w:rPr>
          <w:rFonts w:ascii="Times New Roman" w:hAnsi="Times New Roman" w:cs="Times New Roman" w:eastAsia="Times New Roman" w:hint="default"/>
        </w:rPr>
        <w:t>17</w:t>
      </w:r>
      <w:r>
        <w:rPr/>
        <w:t>、在建工程</w:t>
      </w:r>
      <w:r>
        <w:rPr>
          <w:b w:val="0"/>
          <w:bCs w:val="0"/>
        </w:rPr>
      </w:r>
    </w:p>
    <w:p>
      <w:pPr>
        <w:pStyle w:val="BodyText"/>
        <w:spacing w:line="357" w:lineRule="auto" w:before="126"/>
        <w:ind w:left="622" w:right="465" w:firstLine="479"/>
        <w:jc w:val="left"/>
      </w:pPr>
      <w:r>
        <w:rPr/>
        <w:t>本集团在建工程成本按实际工程支出确定，包括在建期间发生的各项必要工程支 出、工程达到预定可使用状态前的应予资本化的借款费用以及其他相关费用等。</w:t>
      </w:r>
    </w:p>
    <w:p>
      <w:pPr>
        <w:pStyle w:val="BodyText"/>
        <w:spacing w:line="240" w:lineRule="auto"/>
        <w:ind w:left="1101" w:right="225"/>
        <w:jc w:val="left"/>
      </w:pPr>
      <w:r>
        <w:rPr/>
        <w:t>在建工程在达到预定可使用状态时转入固定资产。</w:t>
      </w:r>
    </w:p>
    <w:p>
      <w:pPr>
        <w:pStyle w:val="Heading2"/>
        <w:spacing w:line="240" w:lineRule="auto" w:before="78"/>
        <w:ind w:right="225"/>
        <w:jc w:val="left"/>
        <w:rPr>
          <w:b w:val="0"/>
          <w:bCs w:val="0"/>
        </w:rPr>
      </w:pPr>
      <w:r>
        <w:rPr>
          <w:rFonts w:ascii="Times New Roman" w:hAnsi="Times New Roman" w:cs="Times New Roman" w:eastAsia="Times New Roman" w:hint="default"/>
        </w:rPr>
        <w:t>18</w:t>
      </w:r>
      <w:r>
        <w:rPr/>
        <w:t>、借款费用</w:t>
      </w:r>
      <w:r>
        <w:rPr>
          <w:b w:val="0"/>
          <w:bCs w:val="0"/>
        </w:rPr>
      </w:r>
    </w:p>
    <w:p>
      <w:pPr>
        <w:pStyle w:val="BodyText"/>
        <w:spacing w:line="326" w:lineRule="auto" w:before="126"/>
        <w:ind w:left="1101" w:right="225"/>
        <w:jc w:val="left"/>
      </w:pPr>
      <w:r>
        <w:rPr/>
        <w:t>（</w:t>
      </w:r>
      <w:r>
        <w:rPr>
          <w:rFonts w:ascii="Calibri" w:hAnsi="Calibri" w:cs="Calibri" w:eastAsia="Calibri" w:hint="default"/>
        </w:rPr>
        <w:t>1</w:t>
      </w:r>
      <w:r>
        <w:rPr/>
        <w:t>）借款费用资本化的确认原则 本集团发生的借款费用，可直接归属于符合资本化条件的资产的购建或者生产的，</w:t>
      </w:r>
    </w:p>
    <w:p>
      <w:pPr>
        <w:pStyle w:val="BodyText"/>
        <w:spacing w:line="357" w:lineRule="auto" w:before="67"/>
        <w:ind w:left="622" w:right="224"/>
        <w:jc w:val="left"/>
      </w:pPr>
      <w:r>
        <w:rPr/>
        <w:t>予以资本化，计入相关资产成本；其他借款费用，在发生时根据其发生额确认为费用， 计入当期损益。借款费用同时满足下列条件的，开始资本化：</w:t>
      </w:r>
    </w:p>
    <w:p>
      <w:pPr>
        <w:pStyle w:val="BodyText"/>
        <w:spacing w:line="357" w:lineRule="auto"/>
        <w:ind w:left="622" w:right="341" w:firstLine="479"/>
        <w:jc w:val="left"/>
      </w:pPr>
      <w:r>
        <w:rPr/>
        <w:t>①</w:t>
      </w:r>
      <w:r>
        <w:rPr>
          <w:spacing w:val="4"/>
        </w:rPr>
        <w:t> </w:t>
      </w:r>
      <w:r>
        <w:rPr/>
        <w:t>资产支出已经发生，资产支出包括为购建或者生产符合资本化条件的资产而以</w:t>
      </w:r>
      <w:r>
        <w:rPr/>
        <w:t> 支付现金、转移非现金资产或者承担带息债务形式发生的支出；</w:t>
      </w:r>
    </w:p>
    <w:p>
      <w:pPr>
        <w:spacing w:after="0" w:line="357"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1101" w:right="225"/>
        <w:jc w:val="left"/>
      </w:pPr>
      <w:r>
        <w:rPr/>
        <w:t>②</w:t>
      </w:r>
      <w:r>
        <w:rPr>
          <w:spacing w:val="4"/>
        </w:rPr>
        <w:t> </w:t>
      </w:r>
      <w:r>
        <w:rPr/>
        <w:t>借款费用已经发生；</w:t>
      </w:r>
    </w:p>
    <w:p>
      <w:pPr>
        <w:pStyle w:val="BodyText"/>
        <w:spacing w:line="357" w:lineRule="auto" w:before="154"/>
        <w:ind w:left="622" w:right="581" w:firstLine="479"/>
        <w:jc w:val="left"/>
      </w:pPr>
      <w:r>
        <w:rPr/>
        <w:t>③</w:t>
      </w:r>
      <w:r>
        <w:rPr>
          <w:spacing w:val="4"/>
        </w:rPr>
        <w:t> </w:t>
      </w:r>
      <w:r>
        <w:rPr/>
        <w:t>为使资产达到预定可使用或者可销售状态所必要的购建或者生产活动已经开</w:t>
      </w:r>
      <w:r>
        <w:rPr/>
        <w:t> 始。</w:t>
      </w:r>
    </w:p>
    <w:p>
      <w:pPr>
        <w:pStyle w:val="BodyText"/>
        <w:spacing w:line="326" w:lineRule="auto"/>
        <w:ind w:left="1101" w:right="225"/>
        <w:jc w:val="left"/>
      </w:pPr>
      <w:r>
        <w:rPr/>
        <w:t>（</w:t>
      </w:r>
      <w:r>
        <w:rPr>
          <w:rFonts w:ascii="Calibri" w:hAnsi="Calibri" w:cs="Calibri" w:eastAsia="Calibri" w:hint="default"/>
        </w:rPr>
        <w:t>2</w:t>
      </w:r>
      <w:r>
        <w:rPr/>
        <w:t>）借款费用资本化期间 本集团购建或者生产符合资本化条件的资产达到预定可使用或者可销售状态时，借</w:t>
      </w:r>
    </w:p>
    <w:p>
      <w:pPr>
        <w:pStyle w:val="BodyText"/>
        <w:spacing w:line="357" w:lineRule="auto" w:before="67"/>
        <w:ind w:left="622" w:right="242"/>
        <w:jc w:val="both"/>
      </w:pPr>
      <w:r>
        <w:rPr/>
        <w:t>款费用停止资本化。在符合资本化条件的资产达到预定可使用或者可销售状态之后所发 生的借款费用，在发生时根据其发生额确认为费用，计入当期损益。</w:t>
      </w:r>
    </w:p>
    <w:p>
      <w:pPr>
        <w:pStyle w:val="BodyText"/>
        <w:spacing w:line="357" w:lineRule="auto"/>
        <w:ind w:left="622" w:right="225" w:firstLine="479"/>
        <w:jc w:val="left"/>
      </w:pPr>
      <w:r>
        <w:rPr/>
        <w:t>符合资本化条件的资产在购建或者生产过程中发生非正常中断、且中断时间连续超 过</w:t>
      </w:r>
      <w:r>
        <w:rPr>
          <w:rFonts w:ascii="Calibri" w:hAnsi="Calibri" w:cs="Calibri" w:eastAsia="Calibri" w:hint="default"/>
        </w:rPr>
        <w:t>3</w:t>
      </w:r>
      <w:r>
        <w:rPr/>
        <w:t>个月的，暂停借款费用的资本化；正常中断期间的借款费用继续资本化。</w:t>
      </w:r>
    </w:p>
    <w:p>
      <w:pPr>
        <w:pStyle w:val="BodyText"/>
        <w:spacing w:line="324" w:lineRule="exact" w:before="0"/>
        <w:ind w:left="1101" w:right="225"/>
        <w:jc w:val="left"/>
      </w:pPr>
      <w:r>
        <w:rPr/>
        <w:t>（</w:t>
      </w:r>
      <w:r>
        <w:rPr>
          <w:rFonts w:ascii="Calibri" w:hAnsi="Calibri" w:cs="Calibri" w:eastAsia="Calibri" w:hint="default"/>
        </w:rPr>
        <w:t>3</w:t>
      </w:r>
      <w:r>
        <w:rPr/>
        <w:t>）借款费用资本化率以及资本化金额的计算方法</w:t>
      </w:r>
    </w:p>
    <w:p>
      <w:pPr>
        <w:pStyle w:val="BodyText"/>
        <w:spacing w:line="357" w:lineRule="auto" w:before="123"/>
        <w:ind w:left="622" w:right="241" w:firstLine="479"/>
        <w:jc w:val="both"/>
      </w:pPr>
      <w:r>
        <w:rPr/>
        <w:t>专门借款当期实际发生的利息费用，减去尚未动用的借款资金存入银行取得的利息 收入或进行暂时性投资取得的投资收益后的金额予以资本化；一般借款根据累计资产支 出超过专门借款部分的资产支出加权平均数乘以所占用一般借款的资本化率，确定资本 化金额。资本化率根据一般借款的加权平均利率计算确定。</w:t>
      </w:r>
    </w:p>
    <w:p>
      <w:pPr>
        <w:pStyle w:val="BodyText"/>
        <w:spacing w:line="357" w:lineRule="auto"/>
        <w:ind w:left="622" w:right="225" w:firstLine="479"/>
        <w:jc w:val="left"/>
      </w:pPr>
      <w:r>
        <w:rPr/>
        <w:t>资本化期间内，外币专门借款的汇兑差额全部予以资本化；外币一般借款的汇兑差 额计入当期损益</w:t>
      </w:r>
    </w:p>
    <w:p>
      <w:pPr>
        <w:pStyle w:val="Heading2"/>
        <w:spacing w:line="378" w:lineRule="exact"/>
        <w:ind w:right="225"/>
        <w:jc w:val="left"/>
        <w:rPr>
          <w:b w:val="0"/>
          <w:bCs w:val="0"/>
        </w:rPr>
      </w:pPr>
      <w:r>
        <w:rPr>
          <w:rFonts w:ascii="Times New Roman" w:hAnsi="Times New Roman" w:cs="Times New Roman" w:eastAsia="Times New Roman" w:hint="default"/>
        </w:rPr>
        <w:t>19</w:t>
      </w:r>
      <w:r>
        <w:rPr/>
        <w:t>、生物资产</w:t>
      </w:r>
      <w:r>
        <w:rPr>
          <w:b w:val="0"/>
          <w:bCs w:val="0"/>
        </w:rPr>
      </w:r>
    </w:p>
    <w:p>
      <w:pPr>
        <w:spacing w:line="304" w:lineRule="auto" w:before="126"/>
        <w:ind w:left="1101" w:right="7425"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20</w:t>
      </w:r>
      <w:r>
        <w:rPr>
          <w:rFonts w:ascii="Microsoft JhengHei" w:hAnsi="Microsoft JhengHei" w:cs="Microsoft JhengHei" w:eastAsia="Microsoft JhengHei" w:hint="default"/>
          <w:b/>
          <w:bCs/>
          <w:sz w:val="24"/>
          <w:szCs w:val="24"/>
        </w:rPr>
        <w:t>、油气资产</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21</w:t>
      </w:r>
      <w:r>
        <w:rPr>
          <w:rFonts w:ascii="Microsoft JhengHei" w:hAnsi="Microsoft JhengHei" w:cs="Microsoft JhengHei" w:eastAsia="Microsoft JhengHei" w:hint="default"/>
          <w:b/>
          <w:bCs/>
          <w:sz w:val="24"/>
          <w:szCs w:val="24"/>
        </w:rPr>
        <w:t>、无形资产</w:t>
      </w:r>
      <w:r>
        <w:rPr>
          <w:rFonts w:ascii="Microsoft JhengHei" w:hAnsi="Microsoft JhengHei" w:cs="Microsoft JhengHei" w:eastAsia="Microsoft JhengHei" w:hint="default"/>
          <w:sz w:val="24"/>
          <w:szCs w:val="24"/>
        </w:rPr>
      </w:r>
    </w:p>
    <w:p>
      <w:pPr>
        <w:pStyle w:val="Heading2"/>
        <w:spacing w:line="382" w:lineRule="exact"/>
        <w:ind w:right="225"/>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357" w:lineRule="auto" w:before="127"/>
        <w:ind w:left="1101" w:right="225"/>
        <w:jc w:val="left"/>
      </w:pPr>
      <w:r>
        <w:rPr/>
        <w:t>本集团无形资产包括软件、专利权等。 无形资产按照成本进行初始计量，并于取得无形资产时分析判断其使用寿命。使用</w:t>
      </w:r>
    </w:p>
    <w:p>
      <w:pPr>
        <w:pStyle w:val="BodyText"/>
        <w:spacing w:line="357" w:lineRule="auto"/>
        <w:ind w:left="622" w:right="242"/>
        <w:jc w:val="both"/>
      </w:pPr>
      <w:r>
        <w:rPr/>
        <w:t>寿命为有限的，自无形资产可供使用时起，采用能反映与该资产有关的经济利益的预期 实现方式的摊销方法，在预计使用年限内摊销；无法可靠确定预期实现方式的，采用直 线法摊销；使用寿命不确定的无形资产，不作摊销。</w:t>
      </w:r>
    </w:p>
    <w:p>
      <w:pPr>
        <w:pStyle w:val="BodyText"/>
        <w:spacing w:line="240" w:lineRule="auto"/>
        <w:ind w:left="1101" w:right="225"/>
        <w:jc w:val="left"/>
      </w:pPr>
      <w:r>
        <w:rPr/>
        <w:t>使用寿命有限的无形资产摊销方法如下：</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15"/>
        <w:gridCol w:w="2002"/>
        <w:gridCol w:w="2345"/>
        <w:gridCol w:w="1844"/>
      </w:tblGrid>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使用寿命</w:t>
            </w:r>
            <w:r>
              <w:rPr>
                <w:rFonts w:ascii="Microsoft JhengHei" w:hAnsi="Microsoft JhengHei" w:cs="Microsoft JhengHei" w:eastAsia="Microsoft JhengHei" w:hint="default"/>
                <w:sz w:val="21"/>
                <w:szCs w:val="21"/>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0"/>
              <w:jc w:val="center"/>
              <w:rPr>
                <w:rFonts w:ascii="宋体" w:hAnsi="宋体" w:cs="宋体" w:eastAsia="宋体" w:hint="default"/>
                <w:sz w:val="21"/>
                <w:szCs w:val="21"/>
              </w:rPr>
            </w:pPr>
            <w:r>
              <w:rPr>
                <w:rFonts w:ascii="Calibri" w:hAnsi="Calibri" w:cs="Calibri" w:eastAsia="Calibri" w:hint="default"/>
                <w:sz w:val="21"/>
                <w:szCs w:val="21"/>
              </w:rPr>
              <w:t>5-10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15"/>
        <w:gridCol w:w="2002"/>
        <w:gridCol w:w="2345"/>
        <w:gridCol w:w="1844"/>
      </w:tblGrid>
      <w:tr>
        <w:trPr>
          <w:trHeight w:val="34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39"/>
        <w:ind w:left="622" w:right="225" w:firstLine="479"/>
        <w:jc w:val="left"/>
      </w:pPr>
      <w:r>
        <w:rPr/>
        <w:t>本集团于每年年度终了，对使用寿命有限的无形资产的使用寿命及摊销方法进行复 核，与以前估计不同的，调整原先估计数，并按会计估计变更处理。</w:t>
      </w:r>
    </w:p>
    <w:p>
      <w:pPr>
        <w:pStyle w:val="BodyText"/>
        <w:spacing w:line="357" w:lineRule="auto"/>
        <w:ind w:left="622" w:right="225" w:firstLine="479"/>
        <w:jc w:val="left"/>
      </w:pPr>
      <w:r>
        <w:rPr/>
        <w:t>资产负债表日预计某项无形资产已经不能给企业带来未来经济利益的，将该项无形 资产的账面价值全部转入当期损益。</w:t>
      </w:r>
    </w:p>
    <w:p>
      <w:pPr>
        <w:pStyle w:val="BodyText"/>
        <w:spacing w:line="357" w:lineRule="auto"/>
        <w:ind w:left="622" w:right="225" w:firstLine="479"/>
        <w:jc w:val="left"/>
      </w:pPr>
      <w:r>
        <w:rPr/>
        <w:t>本集团于资产负债表日判断资产是否存在可能发生减值的迹象，存在减值迹象的， 本集团将估计其可收回金额，进行减值测试。</w:t>
      </w:r>
    </w:p>
    <w:p>
      <w:pPr>
        <w:pStyle w:val="Heading2"/>
        <w:spacing w:line="378" w:lineRule="exact"/>
        <w:ind w:left="1104" w:right="225"/>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357" w:lineRule="auto" w:before="127"/>
        <w:ind w:left="1104" w:right="222"/>
        <w:jc w:val="left"/>
      </w:pPr>
      <w:r>
        <w:rPr/>
        <w:t>本集团将内部研究开发项目的支出，区分为研究阶段支出和开发阶段支出。 研究阶段的支出，于发生时计入当期损益。 开发阶段的支出，同时满足下列条件的，才能予以资本化，即：完成该无形资产以</w:t>
      </w:r>
    </w:p>
    <w:p>
      <w:pPr>
        <w:pStyle w:val="BodyText"/>
        <w:spacing w:line="357" w:lineRule="auto"/>
        <w:ind w:left="622" w:right="224"/>
        <w:jc w:val="left"/>
      </w:pPr>
      <w:r>
        <w:rPr/>
        <w:t>使其能够使用或出售在技术上具有可行性；具有完成该无形资产并使用或出售的意图； 无形资产产生经济利益的方式，包括能够证明运用该无形资产生产的产品存在市场或无 形资产自身存在市场，无形资产将在内部使用的，能够证明其有用性；有足够的技术、 财务资源和其他资源支持，以完成该无形资产的开发，并有能力使用或出售该无形资 产；归属于该无形资产开发阶段的支出能够可靠地计量。不满足上述条件的开发支出计 入当期损益。</w:t>
      </w:r>
    </w:p>
    <w:p>
      <w:pPr>
        <w:pStyle w:val="BodyText"/>
        <w:spacing w:line="357" w:lineRule="auto"/>
        <w:ind w:left="622" w:right="222" w:firstLine="482"/>
        <w:jc w:val="left"/>
      </w:pPr>
      <w:r>
        <w:rPr/>
        <w:t>本集团研究开发项目在满足上述条件，通过技术可行性及经济可行性研究，形成项 目立项后，进入开发阶段。</w:t>
      </w:r>
    </w:p>
    <w:p>
      <w:pPr>
        <w:pStyle w:val="BodyText"/>
        <w:spacing w:line="357" w:lineRule="auto"/>
        <w:ind w:left="622" w:right="222" w:firstLine="482"/>
        <w:jc w:val="left"/>
      </w:pPr>
      <w:r>
        <w:rPr/>
        <w:t>已资本化的开发阶段的支出在资产负债表上列示为开发支出，自该项目达到预定可 使用状态之日转为无形资产。</w:t>
      </w:r>
    </w:p>
    <w:p>
      <w:pPr>
        <w:pStyle w:val="Heading2"/>
        <w:spacing w:line="378" w:lineRule="exact"/>
        <w:ind w:left="1104" w:right="225"/>
        <w:jc w:val="left"/>
        <w:rPr>
          <w:b w:val="0"/>
          <w:bCs w:val="0"/>
        </w:rPr>
      </w:pPr>
      <w:r>
        <w:rPr>
          <w:rFonts w:ascii="Times New Roman" w:hAnsi="Times New Roman" w:cs="Times New Roman" w:eastAsia="Times New Roman" w:hint="default"/>
        </w:rPr>
        <w:t>22</w:t>
      </w:r>
      <w:r>
        <w:rPr/>
        <w:t>、长期资产减值</w:t>
      </w:r>
      <w:r>
        <w:rPr>
          <w:b w:val="0"/>
          <w:bCs w:val="0"/>
        </w:rPr>
      </w:r>
    </w:p>
    <w:p>
      <w:pPr>
        <w:pStyle w:val="BodyText"/>
        <w:spacing w:line="357" w:lineRule="auto" w:before="126"/>
        <w:ind w:left="622" w:right="222" w:firstLine="482"/>
        <w:jc w:val="left"/>
      </w:pPr>
      <w:r>
        <w:rPr/>
        <w:t>本集团对子公司、联营企业和合营企业的长期股权投资、采用成本模式进行后续计 量的投资性房地产、固定资产、在建工程、无形资产、商誉等（存货、按公允价值模式 计量的投资性房地产、递延所得税资产、金融资产除外）的资产减值，按以下方法确 定：</w:t>
      </w:r>
    </w:p>
    <w:p>
      <w:pPr>
        <w:pStyle w:val="BodyText"/>
        <w:spacing w:line="357" w:lineRule="auto"/>
        <w:ind w:left="622" w:right="241" w:firstLine="482"/>
        <w:jc w:val="both"/>
      </w:pPr>
      <w:r>
        <w:rPr/>
        <w:t>本集团于资产负债表日判断资产是否存在可能发生减值的迹象，存在减值迹象的， 本集团将估计其可收回金额，进行减值测试。对因企业合并所形成的商誉、使用寿命不 确定的无形资产和尚未达到可使用状态的无形资产无论是否存在减值迹象，每年都进行 减值测试。</w:t>
      </w:r>
    </w:p>
    <w:p>
      <w:pPr>
        <w:spacing w:after="0" w:line="357" w:lineRule="auto"/>
        <w:jc w:val="both"/>
        <w:sectPr>
          <w:footerReference w:type="default" r:id="rId48"/>
          <w:pgSz w:w="11910" w:h="16840"/>
          <w:pgMar w:footer="1085" w:header="884"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1" w:firstLine="482"/>
        <w:jc w:val="both"/>
      </w:pPr>
      <w:r>
        <w:rPr/>
        <w:t>可收回金额根据资产的公允价值减去处置费用后的净额与资产预计未来现金流量的 现值两者之间较高者确定。本集团以单项资产为基础估计其可收回金额；难以对单项资 产的可收回金额进行估计的，以该资产所属的资产组为基础确定资产组的可收回金额。 资产组的认定，以资产组产生的主要现金流入是否独立于其他资产或者资产组的现金流 入为依据。</w:t>
      </w:r>
    </w:p>
    <w:p>
      <w:pPr>
        <w:pStyle w:val="BodyText"/>
        <w:spacing w:line="357" w:lineRule="auto"/>
        <w:ind w:left="622" w:right="222" w:firstLine="482"/>
        <w:jc w:val="left"/>
      </w:pPr>
      <w:r>
        <w:rPr/>
        <w:t>当资产或资产组的可收回金额低于其账面价值时，本集团将其账面价值减记至可收 回金额，减记的金额计入当期损益，同时计提相应的资产减值准备。</w:t>
      </w:r>
    </w:p>
    <w:p>
      <w:pPr>
        <w:pStyle w:val="BodyText"/>
        <w:spacing w:line="357" w:lineRule="auto"/>
        <w:ind w:left="622" w:right="241" w:firstLine="482"/>
        <w:jc w:val="both"/>
      </w:pPr>
      <w:r>
        <w:rPr/>
        <w:t>就商誉的减值测试而言，对于因企业合并形成的商誉的账面价值，自购买日起按照 合理的方法分摊至相关的资产组；难以分摊至相关的资产组的，将其分摊至相关的资产 组组合。相关的资产组或资产组组合，是能够从企业合并的协同效应中受益的资产组或 者资产组组合，且不大于本集团确定的报告分部。</w:t>
      </w:r>
    </w:p>
    <w:p>
      <w:pPr>
        <w:pStyle w:val="BodyText"/>
        <w:spacing w:line="357" w:lineRule="auto"/>
        <w:ind w:left="622" w:right="222" w:firstLine="482"/>
        <w:jc w:val="left"/>
      </w:pPr>
      <w:r>
        <w:rPr/>
        <w:t>减值测试时，如与商誉相关的资产组或者资产组组合存在减值迹象的，首先对不包 含商誉的资产组或者资产组组合进行减值测试，计算可收回金额，确认相应的减值损 失。然后对包含商誉的资产组或者资产组组合进行减值测试，比较其账面价值与可收回 金额，如可收回金额低于账面价值的，确认商誉的减值损失。</w:t>
      </w:r>
    </w:p>
    <w:p>
      <w:pPr>
        <w:pStyle w:val="BodyText"/>
        <w:spacing w:line="240" w:lineRule="auto"/>
        <w:ind w:left="1104" w:right="225"/>
        <w:jc w:val="left"/>
      </w:pPr>
      <w:r>
        <w:rPr/>
        <w:t>资产减值损失一经确认，在以后会计期间不再转回。</w:t>
      </w:r>
    </w:p>
    <w:p>
      <w:pPr>
        <w:spacing w:line="312" w:lineRule="auto" w:before="77"/>
        <w:ind w:left="1104" w:right="22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本集团发生的长期待摊费用按实际成本计价，并按预计受益期限平均摊销。对不能</w:t>
      </w:r>
    </w:p>
    <w:p>
      <w:pPr>
        <w:pStyle w:val="BodyText"/>
        <w:spacing w:line="240" w:lineRule="auto" w:before="82"/>
        <w:ind w:left="622" w:right="225"/>
        <w:jc w:val="left"/>
      </w:pPr>
      <w:r>
        <w:rPr/>
        <w:t>使以后会计期间受益的长期待摊费用项目，其摊余价值全部计入当期损益。</w:t>
      </w:r>
    </w:p>
    <w:p>
      <w:pPr>
        <w:pStyle w:val="Heading2"/>
        <w:spacing w:line="240" w:lineRule="auto" w:before="77"/>
        <w:ind w:left="1104" w:right="225"/>
        <w:jc w:val="left"/>
        <w:rPr>
          <w:b w:val="0"/>
          <w:bCs w:val="0"/>
        </w:rPr>
      </w:pPr>
      <w:r>
        <w:rPr>
          <w:rFonts w:ascii="Times New Roman" w:hAnsi="Times New Roman" w:cs="Times New Roman" w:eastAsia="Times New Roman" w:hint="default"/>
        </w:rPr>
        <w:t>24</w:t>
      </w:r>
      <w:r>
        <w:rPr/>
        <w:t>、职工薪酬</w:t>
      </w:r>
      <w:r>
        <w:rPr>
          <w:b w:val="0"/>
          <w:bCs w:val="0"/>
        </w:rPr>
      </w:r>
    </w:p>
    <w:p>
      <w:pPr>
        <w:spacing w:line="312" w:lineRule="auto" w:before="50"/>
        <w:ind w:left="1104" w:right="22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）短期薪酬的会计处理方法</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本集团在职工提供服务的会计期间，将实际发生的职工工资、奖金、按规定的基准</w:t>
      </w:r>
    </w:p>
    <w:p>
      <w:pPr>
        <w:pStyle w:val="BodyText"/>
        <w:spacing w:line="357" w:lineRule="auto" w:before="82"/>
        <w:ind w:left="622" w:right="224"/>
        <w:jc w:val="left"/>
      </w:pPr>
      <w:r>
        <w:rPr/>
        <w:t>和比例为职工缴纳的医疗保险费、工伤保险费和生育保险费等社会保险费和住房公积 金，确认为负债，并计入当期损益或相关资产成本。如果该负债预期在职工提供相关服 务的年度报告期结束后十二个月内不能完全支付，且财务影响重大的，则该负债将以折 现后的金额计量。</w:t>
      </w:r>
    </w:p>
    <w:p>
      <w:pPr>
        <w:pStyle w:val="Heading2"/>
        <w:spacing w:line="378" w:lineRule="exact"/>
        <w:ind w:left="1104" w:right="225"/>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57" w:lineRule="auto" w:before="126"/>
        <w:ind w:left="622" w:right="222" w:firstLine="482"/>
        <w:jc w:val="left"/>
      </w:pPr>
      <w:r>
        <w:rPr/>
        <w:t>离职后福利计划全部为设定提存计划。设定提存计划，是指向独立的基金缴存固定 费用后，企业不再承担进一步支付义务的离职后福利计划。</w:t>
      </w:r>
    </w:p>
    <w:p>
      <w:pPr>
        <w:spacing w:after="0" w:line="357" w:lineRule="auto"/>
        <w:jc w:val="left"/>
        <w:sectPr>
          <w:footerReference w:type="default" r:id="rId49"/>
          <w:pgSz w:w="11910" w:h="16840"/>
          <w:pgMar w:footer="1085" w:header="884" w:top="1300" w:bottom="1280" w:left="1080" w:right="840"/>
          <w:pgNumType w:start="131"/>
        </w:sectPr>
      </w:pPr>
    </w:p>
    <w:p>
      <w:pPr>
        <w:spacing w:line="240" w:lineRule="auto" w:before="7"/>
        <w:rPr>
          <w:rFonts w:ascii="宋体" w:hAnsi="宋体" w:cs="宋体" w:eastAsia="宋体" w:hint="default"/>
          <w:sz w:val="10"/>
          <w:szCs w:val="10"/>
        </w:rPr>
      </w:pPr>
    </w:p>
    <w:p>
      <w:pPr>
        <w:pStyle w:val="BodyText"/>
        <w:spacing w:line="357" w:lineRule="auto" w:before="26"/>
        <w:ind w:left="1104" w:right="222"/>
        <w:jc w:val="left"/>
      </w:pPr>
      <w:r>
        <w:rPr/>
        <w:t>设定提存计划包括基本养老保险、失业保险等。 在职工提供服务的会计期间，根据设定提存计划计算的应缴存金额确认为负债，并</w:t>
      </w:r>
    </w:p>
    <w:p>
      <w:pPr>
        <w:pStyle w:val="BodyText"/>
        <w:spacing w:line="240" w:lineRule="auto"/>
        <w:ind w:left="622" w:right="0"/>
        <w:jc w:val="both"/>
      </w:pPr>
      <w:r>
        <w:rPr/>
        <w:t>计入当期损益或相关资产成本。</w:t>
      </w:r>
    </w:p>
    <w:p>
      <w:pPr>
        <w:spacing w:line="312" w:lineRule="auto" w:before="77"/>
        <w:ind w:left="1104" w:right="22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）辞退福利的会计处理方法</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本集团向职工提供辞退福利的，在下列两者孰早日确认辞退福利产生的职工薪酬负</w:t>
      </w:r>
    </w:p>
    <w:p>
      <w:pPr>
        <w:pStyle w:val="BodyText"/>
        <w:spacing w:line="357" w:lineRule="auto" w:before="82"/>
        <w:ind w:left="622" w:right="242"/>
        <w:jc w:val="both"/>
      </w:pPr>
      <w:r>
        <w:rPr/>
        <w:t>债，并计入当期损益：本集团不能单方面撤回因解除劳动关系计划或裁减建议所提供的 辞退福利时；本集团确认与涉及支付辞退福利的重组相关的成本或费用时。</w:t>
      </w:r>
    </w:p>
    <w:p>
      <w:pPr>
        <w:pStyle w:val="BodyText"/>
        <w:spacing w:line="357" w:lineRule="auto"/>
        <w:ind w:left="622" w:right="241" w:firstLine="482"/>
        <w:jc w:val="both"/>
      </w:pPr>
      <w:r>
        <w:rPr/>
        <w:t>实行职工内部退休计划的，在正式退休日之前的经济补偿，属于辞退福利，自职工 停止提供服务日至正常退休日期间，拟支付的内退职工工资和缴纳的社会保险费等一次 性计入当期损益。正式退休日期之后的经济补偿（如正常养老退休金），按照离职后福 利处理。</w:t>
      </w:r>
    </w:p>
    <w:p>
      <w:pPr>
        <w:pStyle w:val="Heading2"/>
        <w:spacing w:line="378" w:lineRule="exact"/>
        <w:ind w:left="1104" w:right="225"/>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pStyle w:val="BodyText"/>
        <w:spacing w:line="357" w:lineRule="auto" w:before="126"/>
        <w:ind w:left="622" w:right="222" w:firstLine="482"/>
        <w:jc w:val="left"/>
      </w:pPr>
      <w:r>
        <w:rPr/>
        <w:t>本集团向职工提供的其他长期职工福利，符合设定提存计划条件的，按照上述关于 设定提存计划的有关规定进行处理。</w:t>
      </w:r>
    </w:p>
    <w:p>
      <w:pPr>
        <w:pStyle w:val="Heading2"/>
        <w:spacing w:line="378" w:lineRule="exact"/>
        <w:ind w:left="1104" w:right="225"/>
        <w:jc w:val="left"/>
        <w:rPr>
          <w:b w:val="0"/>
          <w:bCs w:val="0"/>
        </w:rPr>
      </w:pPr>
      <w:r>
        <w:rPr>
          <w:rFonts w:ascii="Times New Roman" w:hAnsi="Times New Roman" w:cs="Times New Roman" w:eastAsia="Times New Roman" w:hint="default"/>
        </w:rPr>
        <w:t>25</w:t>
      </w:r>
      <w:r>
        <w:rPr/>
        <w:t>、预计负债</w:t>
      </w:r>
      <w:r>
        <w:rPr>
          <w:b w:val="0"/>
          <w:bCs w:val="0"/>
        </w:rPr>
      </w:r>
    </w:p>
    <w:p>
      <w:pPr>
        <w:pStyle w:val="BodyText"/>
        <w:spacing w:line="240" w:lineRule="auto" w:before="127"/>
        <w:ind w:left="1104" w:right="225"/>
        <w:jc w:val="left"/>
      </w:pPr>
      <w:r>
        <w:rPr/>
        <w:t>如果与或有事项相关的义务同时符合以下条件，本集团将其确认为预计负债：</w:t>
      </w:r>
    </w:p>
    <w:p>
      <w:pPr>
        <w:pStyle w:val="BodyText"/>
        <w:spacing w:line="240" w:lineRule="auto" w:before="154"/>
        <w:ind w:left="1104" w:right="225"/>
        <w:jc w:val="left"/>
      </w:pPr>
      <w:r>
        <w:rPr/>
        <w:t>（</w:t>
      </w:r>
      <w:r>
        <w:rPr>
          <w:rFonts w:ascii="Calibri" w:hAnsi="Calibri" w:cs="Calibri" w:eastAsia="Calibri" w:hint="default"/>
        </w:rPr>
        <w:t>1</w:t>
      </w:r>
      <w:r>
        <w:rPr/>
        <w:t>）该义务是本集团承担的现时义务；</w:t>
      </w:r>
    </w:p>
    <w:p>
      <w:pPr>
        <w:pStyle w:val="BodyText"/>
        <w:spacing w:line="240" w:lineRule="auto" w:before="123"/>
        <w:ind w:left="1104" w:right="225"/>
        <w:jc w:val="left"/>
      </w:pPr>
      <w:r>
        <w:rPr/>
        <w:t>（</w:t>
      </w:r>
      <w:r>
        <w:rPr>
          <w:rFonts w:ascii="Calibri" w:hAnsi="Calibri" w:cs="Calibri" w:eastAsia="Calibri" w:hint="default"/>
        </w:rPr>
        <w:t>2</w:t>
      </w:r>
      <w:r>
        <w:rPr/>
        <w:t>）该义务的履行很可能导致经济利益流出本集团；</w:t>
      </w:r>
    </w:p>
    <w:p>
      <w:pPr>
        <w:pStyle w:val="BodyText"/>
        <w:spacing w:line="326" w:lineRule="auto" w:before="123"/>
        <w:ind w:left="1104" w:right="222"/>
        <w:jc w:val="left"/>
      </w:pPr>
      <w:r>
        <w:rPr/>
        <w:t>（</w:t>
      </w:r>
      <w:r>
        <w:rPr>
          <w:rFonts w:ascii="Calibri" w:hAnsi="Calibri" w:cs="Calibri" w:eastAsia="Calibri" w:hint="default"/>
        </w:rPr>
        <w:t>3</w:t>
      </w:r>
      <w:r>
        <w:rPr/>
        <w:t>）该义务的金额能够可靠地计量。 预计负债按照履行相关现时义务所需支出的最佳估计数进行初始计量，并综合考虑</w:t>
      </w:r>
    </w:p>
    <w:p>
      <w:pPr>
        <w:pStyle w:val="BodyText"/>
        <w:spacing w:line="357" w:lineRule="auto" w:before="67"/>
        <w:ind w:left="622" w:right="242"/>
        <w:jc w:val="both"/>
      </w:pPr>
      <w:r>
        <w:rPr/>
        <w:t>与或有事项有关的风险、不确定性和货币时间价值等因素。货币时间价值影响重大的， 通过对相关未来现金流出进行折现后确定最佳估计数。本集团于资产负债表日对预计负 债的账面价值进行复核，并对账面价值进行调整以反映当前最佳估计数。</w:t>
      </w:r>
    </w:p>
    <w:p>
      <w:pPr>
        <w:pStyle w:val="BodyText"/>
        <w:spacing w:line="357" w:lineRule="auto"/>
        <w:ind w:left="622" w:right="241" w:firstLine="482"/>
        <w:jc w:val="both"/>
      </w:pPr>
      <w:r>
        <w:rPr/>
        <w:t>如果清偿已确认预计负债所需支出全部或部分预期由第三方或其他方补偿，则补偿 金额只能在基本确定能收到时，作为资产单独确认。确认的补偿金额不超过所确认负债 的账面价值。</w:t>
      </w:r>
    </w:p>
    <w:p>
      <w:pPr>
        <w:pStyle w:val="Heading2"/>
        <w:spacing w:line="378" w:lineRule="exact"/>
        <w:ind w:left="1104" w:right="225"/>
        <w:jc w:val="left"/>
        <w:rPr>
          <w:b w:val="0"/>
          <w:bCs w:val="0"/>
        </w:rPr>
      </w:pPr>
      <w:r>
        <w:rPr>
          <w:rFonts w:ascii="Times New Roman" w:hAnsi="Times New Roman" w:cs="Times New Roman" w:eastAsia="Times New Roman" w:hint="default"/>
        </w:rPr>
        <w:t>26</w:t>
      </w:r>
      <w:r>
        <w:rPr/>
        <w:t>、股份支付</w:t>
      </w:r>
      <w:r>
        <w:rPr>
          <w:b w:val="0"/>
          <w:bCs w:val="0"/>
        </w:rPr>
      </w:r>
    </w:p>
    <w:p>
      <w:pPr>
        <w:pStyle w:val="BodyText"/>
        <w:spacing w:line="357" w:lineRule="auto" w:before="126"/>
        <w:ind w:left="622" w:right="222" w:firstLine="482"/>
        <w:jc w:val="left"/>
      </w:pPr>
      <w:r>
        <w:rPr/>
        <w:t>以权益结算的股份支付，按授予职工权益工具的公允价值计量。授予后立即可行权 的，在授予日按照权益工具的公允价值计入相关成本或费用，相应增加资本公积。在完</w:t>
      </w:r>
    </w:p>
    <w:p>
      <w:pPr>
        <w:spacing w:after="0" w:line="357"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成等待期内的服务或达到规定业绩条件才可行权的，在等待期内的每个资产负债表日， 以对可行权权益工具数量的最佳估计为基础，按照权益工具授予日的公允价值，将当期 取得的服务计入相关成本或费用和资本公积。在可行权日之后不再对已确认的相关成本 或费用和所有者权益总额进行调整。</w:t>
      </w:r>
    </w:p>
    <w:p>
      <w:pPr>
        <w:pStyle w:val="BodyText"/>
        <w:spacing w:line="357" w:lineRule="auto"/>
        <w:ind w:left="622" w:right="241" w:firstLine="482"/>
        <w:jc w:val="both"/>
      </w:pPr>
      <w:r>
        <w:rPr/>
        <w:t>以现金结算的股份支付，按照本集团承担的以股份或其他权益工具为基础计算确定 的负债的公允价值计量。授予后立即可行权的，在授予日以本集团承担负债的公允价值 计入相关成本或费用，相应增加负债。在完成等待期内的服务或达到规定业绩条件以后 才可行权的以现金结算的股份支付，在等待期内的每个资产负债表日，以对可行权情况 的最佳估计为基础，按照本集团承担负债的公允价值金额，将当期取得的服务计入成本 或费用和相应的负债。在相关负债结算前的每个资产负债表日以及结算日，对负债的公 允价值重新计量，其变动计入当期损益。</w:t>
      </w:r>
    </w:p>
    <w:p>
      <w:pPr>
        <w:pStyle w:val="BodyText"/>
        <w:spacing w:line="357" w:lineRule="auto"/>
        <w:ind w:left="622" w:right="241" w:firstLine="482"/>
        <w:jc w:val="both"/>
      </w:pPr>
      <w:r>
        <w:rPr/>
        <w:t>本集团对股份支付计划进行修改时，若修改增加了所授予权益工具的公允价值，按 照权益工具公允价值的增加相应地确认取得服务的增加；若修改增加了所授予权益工具 的数量，则将增加的权益工具的公允价值相应地确认为取得服务的增加。权益工具公允 价值的增加是指修改前后的权益工具在修改日的公允价值之间的差额。若修改减少了股 份支付公允价值总额或采用了其他不利于职工的方式修改股份支付计划的条款和条件， 则仍继续对取得的服务进行会计处理，视同该变更从未发生，除非本集团取消了部分或 全部已授予的权益工具。</w:t>
      </w:r>
    </w:p>
    <w:p>
      <w:pPr>
        <w:pStyle w:val="BodyText"/>
        <w:spacing w:line="357" w:lineRule="auto"/>
        <w:ind w:left="622" w:right="241" w:firstLine="482"/>
        <w:jc w:val="both"/>
      </w:pPr>
      <w:r>
        <w:rPr/>
        <w:t>在等待期内，如果取消了授予的权益工具（因未满足可行权条件的非市场条件而被 取消的除外），本集团对取消所授予的权益性工具作为加速行权处理，将剩余等待期内 应确认的金额立即计入当期损益，同时确认资本公积。职工或其他方能够选择满足非可 行权条件但在等待期内未满足的，本集团将其作为授予权益工具的取消处理。</w:t>
      </w:r>
    </w:p>
    <w:p>
      <w:pPr>
        <w:pStyle w:val="Heading2"/>
        <w:spacing w:line="378" w:lineRule="exact"/>
        <w:ind w:left="1104" w:right="225"/>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pStyle w:val="BodyText"/>
        <w:spacing w:line="357" w:lineRule="auto" w:before="126"/>
        <w:ind w:left="622" w:right="241" w:firstLine="482"/>
        <w:jc w:val="both"/>
      </w:pPr>
      <w:r>
        <w:rPr/>
        <w:t>本集团发行的金融工具按照金融工具准则进行初始确认和计量；其后，于每个资产 负债表日计提利息或分派股利，按照相关具体企业会计准则进行处理。即以所发行金融 工具的分类为基础，确定该工具利息支出或股利分配等的会计处理。对于归类为权益工 具的金融工具，其利息支出或股利分配都作为本集团的利润分配，其回购、注销等作为 权益的变动处理；对于归类为金融负债的金融工具，其利息支出或股利分配原则上按照 借款费用进行处理，其回购或赎回产生的利得或损失等计入当期损益。</w:t>
      </w:r>
    </w:p>
    <w:p>
      <w:pPr>
        <w:spacing w:after="0" w:line="357"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1" w:firstLine="482"/>
        <w:jc w:val="both"/>
      </w:pPr>
      <w:r>
        <w:rPr/>
        <w:t>本集团发行金融工具，其发生的手续费、佣金等交易费用，如分类为债务工具且以 摊余成本计量的，计入所发行工具的初始计量金额；如分类为权益工具的，从权益中扣 除。</w:t>
      </w:r>
    </w:p>
    <w:p>
      <w:pPr>
        <w:pStyle w:val="Heading2"/>
        <w:spacing w:line="378" w:lineRule="exact"/>
        <w:ind w:left="1104" w:right="225"/>
        <w:jc w:val="left"/>
        <w:rPr>
          <w:b w:val="0"/>
          <w:bCs w:val="0"/>
        </w:rPr>
      </w:pPr>
      <w:r>
        <w:rPr>
          <w:rFonts w:ascii="Times New Roman" w:hAnsi="Times New Roman" w:cs="Times New Roman" w:eastAsia="Times New Roman" w:hint="default"/>
        </w:rPr>
        <w:t>28</w:t>
      </w:r>
      <w:r>
        <w:rPr/>
        <w:t>、收入</w:t>
      </w:r>
      <w:r>
        <w:rPr>
          <w:b w:val="0"/>
          <w:bCs w:val="0"/>
        </w:rPr>
      </w:r>
    </w:p>
    <w:p>
      <w:pPr>
        <w:pStyle w:val="BodyText"/>
        <w:spacing w:line="240" w:lineRule="auto" w:before="126"/>
        <w:ind w:left="1101" w:right="225"/>
        <w:jc w:val="left"/>
      </w:pPr>
      <w:r>
        <w:rPr/>
        <w:t>（</w:t>
      </w:r>
      <w:r>
        <w:rPr>
          <w:rFonts w:ascii="Calibri" w:hAnsi="Calibri" w:cs="Calibri" w:eastAsia="Calibri" w:hint="default"/>
        </w:rPr>
        <w:t>1</w:t>
      </w:r>
      <w:r>
        <w:rPr/>
        <w:t>）一般原则</w:t>
      </w:r>
    </w:p>
    <w:p>
      <w:pPr>
        <w:pStyle w:val="BodyText"/>
        <w:spacing w:line="357" w:lineRule="auto" w:before="123"/>
        <w:ind w:left="1101" w:right="225"/>
        <w:jc w:val="left"/>
      </w:pPr>
      <w:r>
        <w:rPr/>
        <w:t>①销售商品 在已将商品所有权上的主要风险和报酬转移给购货方，既没有保留通常与所有权相</w:t>
      </w:r>
    </w:p>
    <w:p>
      <w:pPr>
        <w:pStyle w:val="BodyText"/>
        <w:spacing w:line="357" w:lineRule="auto"/>
        <w:ind w:left="622" w:right="242"/>
        <w:jc w:val="both"/>
      </w:pPr>
      <w:r>
        <w:rPr/>
        <w:t>联系的继续管理权，也没有对已售商品实施有效控制，收入的金额能够可靠地计量，相 关的经济利益很可能流入企业，相关的已发生或将发生的成本能够可靠地计量时，确认 商品销售收入的实现。</w:t>
      </w:r>
    </w:p>
    <w:p>
      <w:pPr>
        <w:pStyle w:val="BodyText"/>
        <w:spacing w:line="357" w:lineRule="auto"/>
        <w:ind w:left="1101" w:right="225"/>
        <w:jc w:val="left"/>
      </w:pPr>
      <w:r>
        <w:rPr/>
        <w:t>②提供劳务 对在提供劳务交易的结果能够可靠估计的情况下，本集团于资产负债表日按完工百</w:t>
      </w:r>
    </w:p>
    <w:p>
      <w:pPr>
        <w:pStyle w:val="BodyText"/>
        <w:spacing w:line="357" w:lineRule="auto"/>
        <w:ind w:left="1101" w:right="566" w:hanging="480"/>
        <w:jc w:val="left"/>
      </w:pPr>
      <w:r>
        <w:rPr/>
        <w:t>分比法确认收入。 劳务交易的完工进度按已经提供的劳务占应提供劳务总量的比例确定。 提供劳务交易的结果能够可靠估计是指同时满足：</w:t>
      </w:r>
      <w:r>
        <w:rPr>
          <w:rFonts w:ascii="Calibri" w:hAnsi="Calibri" w:cs="Calibri" w:eastAsia="Calibri" w:hint="default"/>
        </w:rPr>
        <w:t>A</w:t>
      </w:r>
      <w:r>
        <w:rPr/>
        <w:t>、收入的金额能够可靠地计</w:t>
      </w:r>
    </w:p>
    <w:p>
      <w:pPr>
        <w:pStyle w:val="BodyText"/>
        <w:spacing w:line="325" w:lineRule="exact" w:before="0"/>
        <w:ind w:left="622" w:right="225"/>
        <w:jc w:val="left"/>
      </w:pPr>
      <w:r>
        <w:rPr/>
        <w:t>量；</w:t>
      </w:r>
      <w:r>
        <w:rPr>
          <w:rFonts w:ascii="Calibri" w:hAnsi="Calibri" w:cs="Calibri" w:eastAsia="Calibri" w:hint="default"/>
        </w:rPr>
        <w:t>B</w:t>
      </w:r>
      <w:r>
        <w:rPr/>
        <w:t>、相关的经济利益很可能流入企业；</w:t>
      </w:r>
      <w:r>
        <w:rPr>
          <w:rFonts w:ascii="Calibri" w:hAnsi="Calibri" w:cs="Calibri" w:eastAsia="Calibri" w:hint="default"/>
        </w:rPr>
        <w:t>C</w:t>
      </w:r>
      <w:r>
        <w:rPr/>
        <w:t>、交易的完工程度能够可靠地确定；</w:t>
      </w:r>
      <w:r>
        <w:rPr>
          <w:rFonts w:ascii="Calibri" w:hAnsi="Calibri" w:cs="Calibri" w:eastAsia="Calibri" w:hint="default"/>
        </w:rPr>
        <w:t>D</w:t>
      </w:r>
      <w:r>
        <w:rPr/>
        <w:t>、交</w:t>
      </w:r>
    </w:p>
    <w:p>
      <w:pPr>
        <w:pStyle w:val="BodyText"/>
        <w:spacing w:line="357" w:lineRule="auto" w:before="123"/>
        <w:ind w:left="1101" w:right="225" w:hanging="480"/>
        <w:jc w:val="left"/>
      </w:pPr>
      <w:r>
        <w:rPr/>
        <w:t>易中已发生和将发生的成本能够可靠地计量。 如果提供劳务交易的结果不能够可靠估计，则按已经发生并预计能够得到补偿的劳</w:t>
      </w:r>
    </w:p>
    <w:p>
      <w:pPr>
        <w:pStyle w:val="BodyText"/>
        <w:spacing w:line="357" w:lineRule="auto"/>
        <w:ind w:left="622" w:right="242"/>
        <w:jc w:val="both"/>
      </w:pPr>
      <w:r>
        <w:rPr/>
        <w:t>务成本金额确认提供的劳务收入，并将已发生的劳务成本作为当期费用。已经发生的劳 务成本如预计不能得到补偿的，则不确认收入。</w:t>
      </w:r>
    </w:p>
    <w:p>
      <w:pPr>
        <w:pStyle w:val="BodyText"/>
        <w:spacing w:line="357" w:lineRule="auto"/>
        <w:ind w:left="1101" w:right="225"/>
        <w:jc w:val="left"/>
      </w:pPr>
      <w:r>
        <w:rPr/>
        <w:t>③让渡资产使用权 与资产使用权让渡相关的经济利益能够流入及收入的金额能够可靠地计量时，本集</w:t>
      </w:r>
    </w:p>
    <w:p>
      <w:pPr>
        <w:pStyle w:val="BodyText"/>
        <w:spacing w:line="240" w:lineRule="auto" w:before="37"/>
        <w:ind w:left="622" w:right="225"/>
        <w:jc w:val="left"/>
      </w:pPr>
      <w:r>
        <w:rPr/>
        <w:t>团确认收入。</w:t>
      </w:r>
    </w:p>
    <w:p>
      <w:pPr>
        <w:pStyle w:val="BodyText"/>
        <w:spacing w:line="326" w:lineRule="auto" w:before="154"/>
        <w:ind w:left="1101" w:right="5265"/>
        <w:jc w:val="left"/>
      </w:pPr>
      <w:r>
        <w:rPr/>
        <w:t>（</w:t>
      </w:r>
      <w:r>
        <w:rPr>
          <w:rFonts w:ascii="Calibri" w:hAnsi="Calibri" w:cs="Calibri" w:eastAsia="Calibri" w:hint="default"/>
        </w:rPr>
        <w:t>2</w:t>
      </w:r>
      <w:r>
        <w:rPr/>
        <w:t>）收入确认的具体方法 本集团收入确认的具体方法如下：</w:t>
      </w:r>
    </w:p>
    <w:p>
      <w:pPr>
        <w:pStyle w:val="BodyText"/>
        <w:spacing w:line="326" w:lineRule="auto" w:before="67"/>
        <w:ind w:left="1101" w:right="1418"/>
        <w:jc w:val="left"/>
      </w:pPr>
      <w:r>
        <w:rPr/>
        <w:t>①</w:t>
      </w:r>
      <w:r>
        <w:rPr>
          <w:spacing w:val="3"/>
        </w:rPr>
        <w:t> </w:t>
      </w:r>
      <w:r>
        <w:rPr>
          <w:rFonts w:ascii="Calibri" w:hAnsi="Calibri" w:cs="Calibri" w:eastAsia="Calibri" w:hint="default"/>
        </w:rPr>
        <w:t>GIS</w:t>
      </w:r>
      <w:r>
        <w:rPr/>
        <w:t>软件产品销售收入的确认原则及方法 本集团</w:t>
      </w:r>
      <w:r>
        <w:rPr>
          <w:rFonts w:ascii="Calibri" w:hAnsi="Calibri" w:cs="Calibri" w:eastAsia="Calibri" w:hint="default"/>
        </w:rPr>
        <w:t>GIS</w:t>
      </w:r>
      <w:r>
        <w:rPr/>
        <w:t>软件产品分为</w:t>
      </w:r>
      <w:r>
        <w:rPr>
          <w:rFonts w:ascii="Calibri" w:hAnsi="Calibri" w:cs="Calibri" w:eastAsia="Calibri" w:hint="default"/>
        </w:rPr>
        <w:t>GIS</w:t>
      </w:r>
      <w:r>
        <w:rPr/>
        <w:t>通用软件产品和</w:t>
      </w:r>
      <w:r>
        <w:rPr>
          <w:rFonts w:ascii="Calibri" w:hAnsi="Calibri" w:cs="Calibri" w:eastAsia="Calibri" w:hint="default"/>
        </w:rPr>
        <w:t>GIS</w:t>
      </w:r>
      <w:r>
        <w:rPr/>
        <w:t>定制软件产品两个类别。 </w:t>
      </w:r>
      <w:r>
        <w:rPr>
          <w:rFonts w:ascii="Calibri" w:hAnsi="Calibri" w:cs="Calibri" w:eastAsia="Calibri" w:hint="default"/>
        </w:rPr>
        <w:t>1)</w:t>
      </w:r>
      <w:r>
        <w:rPr>
          <w:rFonts w:ascii="Calibri" w:hAnsi="Calibri" w:cs="Calibri" w:eastAsia="Calibri" w:hint="default"/>
          <w:spacing w:val="-1"/>
        </w:rPr>
        <w:t> </w:t>
      </w:r>
      <w:r>
        <w:rPr>
          <w:rFonts w:ascii="Calibri" w:hAnsi="Calibri" w:cs="Calibri" w:eastAsia="Calibri" w:hint="default"/>
        </w:rPr>
        <w:t>GIS</w:t>
      </w:r>
      <w:r>
        <w:rPr/>
        <w:t>通用软件产品销售收入的确认原则及方法</w:t>
      </w:r>
    </w:p>
    <w:p>
      <w:pPr>
        <w:pStyle w:val="BodyText"/>
        <w:spacing w:line="240" w:lineRule="auto" w:before="17"/>
        <w:ind w:left="1101" w:right="131"/>
        <w:jc w:val="left"/>
      </w:pPr>
      <w:r>
        <w:rPr/>
        <w:t>本集团在已将所销售的软件产品所有权上的主要风险或报酬转移给购货方，并不再</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对该软件产品实施继续管理权和实际控制权，相关的收入已经取得或取得了收款的凭据 且相关的经济利益很可能流入公司，与销售该商品有关的成本能够可靠地计量时，确认 商品销售收入的实现。</w:t>
      </w:r>
    </w:p>
    <w:p>
      <w:pPr>
        <w:pStyle w:val="BodyText"/>
        <w:spacing w:line="357" w:lineRule="auto"/>
        <w:ind w:left="622" w:right="242" w:firstLine="479"/>
        <w:jc w:val="both"/>
      </w:pPr>
      <w:r>
        <w:rPr/>
        <w:t>合同中明确规定了软件系统维护条款的，结合实际情况，若后续维护工作量较大， 与维护相关的收入在维护期满后确认；若后续维护工作量较小，在实现销售后确认全部 收入。</w:t>
      </w:r>
    </w:p>
    <w:p>
      <w:pPr>
        <w:pStyle w:val="BodyText"/>
        <w:spacing w:line="340" w:lineRule="auto"/>
        <w:ind w:left="1101" w:right="225"/>
        <w:jc w:val="left"/>
      </w:pPr>
      <w:r>
        <w:rPr>
          <w:rFonts w:ascii="Calibri" w:hAnsi="Calibri" w:cs="Calibri" w:eastAsia="Calibri" w:hint="default"/>
        </w:rPr>
        <w:t>2) GIS</w:t>
      </w:r>
      <w:r>
        <w:rPr/>
        <w:t>定制软件收入的确认原则及方法 在同一个会计期间内开始并完成的劳务，在劳务完成时确认收入。 劳务的开始和完成分属不同的会计期间，且在资产负债表日定制软件收入和成本能</w:t>
      </w:r>
    </w:p>
    <w:p>
      <w:pPr>
        <w:pStyle w:val="BodyText"/>
        <w:spacing w:line="357" w:lineRule="auto" w:before="53"/>
        <w:ind w:left="622" w:right="242"/>
        <w:jc w:val="both"/>
      </w:pPr>
      <w:r>
        <w:rPr/>
        <w:t>够可靠地计量，与交易相关的经济利益能够流入公司，劳务的完成程度能够可靠地确定 的前提下，采用完工百分比法确认相关的劳务收入。</w:t>
      </w:r>
    </w:p>
    <w:p>
      <w:pPr>
        <w:pStyle w:val="BodyText"/>
        <w:spacing w:line="357" w:lineRule="auto"/>
        <w:ind w:left="622" w:right="242" w:firstLine="479"/>
        <w:jc w:val="both"/>
      </w:pPr>
      <w:r>
        <w:rPr/>
        <w:t>在资产负债表日根据已经为客户实施的工作量，确定定制软件合同的完工程度，并 按完工进度确认定制软件收入。</w:t>
      </w:r>
    </w:p>
    <w:p>
      <w:pPr>
        <w:pStyle w:val="BodyText"/>
        <w:spacing w:line="326" w:lineRule="auto"/>
        <w:ind w:left="1101" w:right="225"/>
        <w:jc w:val="left"/>
      </w:pPr>
      <w:r>
        <w:rPr/>
        <w:t>②</w:t>
      </w:r>
      <w:r>
        <w:rPr>
          <w:spacing w:val="3"/>
        </w:rPr>
        <w:t> </w:t>
      </w:r>
      <w:r>
        <w:rPr>
          <w:rFonts w:ascii="Calibri" w:hAnsi="Calibri" w:cs="Calibri" w:eastAsia="Calibri" w:hint="default"/>
        </w:rPr>
        <w:t>GIS</w:t>
      </w:r>
      <w:r>
        <w:rPr/>
        <w:t>软件配套产品销售收入的确认原则及方法 本集团在已将所代理销售的软件产品所有权上的主要风险或报酬转移给购货方，并</w:t>
      </w:r>
    </w:p>
    <w:p>
      <w:pPr>
        <w:pStyle w:val="BodyText"/>
        <w:spacing w:line="357" w:lineRule="auto" w:before="68"/>
        <w:ind w:left="622" w:right="240"/>
        <w:jc w:val="both"/>
      </w:pPr>
      <w:r>
        <w:rPr/>
        <w:t>不再对该软件产品实施继续管理权和实际控制权，相关的收入已经取得或取得了收款的 凭据且相关的经济利益很可能流入公司，与销售该商品有关的成本能够可靠地计量时， 确认商品销售收入的实现。</w:t>
      </w:r>
    </w:p>
    <w:p>
      <w:pPr>
        <w:pStyle w:val="BodyText"/>
        <w:spacing w:line="357" w:lineRule="auto"/>
        <w:ind w:left="1101" w:right="225"/>
        <w:jc w:val="left"/>
      </w:pPr>
      <w:r>
        <w:rPr/>
        <w:t>③</w:t>
      </w:r>
      <w:r>
        <w:rPr>
          <w:spacing w:val="4"/>
        </w:rPr>
        <w:t> </w:t>
      </w:r>
      <w:r>
        <w:rPr/>
        <w:t>具有融资性质的分期收款销售商品收入的确认原则及方法</w:t>
      </w:r>
      <w:r>
        <w:rPr/>
        <w:t> 按照应收的合同或协议价款的公允价值确定收入金额。应收的合同或协议价款与其</w:t>
      </w:r>
    </w:p>
    <w:p>
      <w:pPr>
        <w:pStyle w:val="BodyText"/>
        <w:spacing w:line="357" w:lineRule="auto"/>
        <w:ind w:left="622" w:right="242"/>
        <w:jc w:val="both"/>
      </w:pPr>
      <w:r>
        <w:rPr/>
        <w:t>公允价值之间的差额，在合同或协议期间内，按照应收款项的摊余成本和实际利率计算 确定的金额进行摊销，作为财务费用的抵减处理。</w:t>
      </w:r>
    </w:p>
    <w:p>
      <w:pPr>
        <w:pStyle w:val="Heading2"/>
        <w:spacing w:line="378" w:lineRule="exact"/>
        <w:ind w:right="225"/>
        <w:jc w:val="left"/>
        <w:rPr>
          <w:b w:val="0"/>
          <w:bCs w:val="0"/>
        </w:rPr>
      </w:pPr>
      <w:r>
        <w:rPr>
          <w:rFonts w:ascii="Times New Roman" w:hAnsi="Times New Roman" w:cs="Times New Roman" w:eastAsia="Times New Roman" w:hint="default"/>
        </w:rPr>
        <w:t>29</w:t>
      </w:r>
      <w:r>
        <w:rPr/>
        <w:t>、政府补助</w:t>
      </w:r>
      <w:r>
        <w:rPr>
          <w:b w:val="0"/>
          <w:bCs w:val="0"/>
        </w:rPr>
      </w:r>
    </w:p>
    <w:p>
      <w:pPr>
        <w:spacing w:line="312" w:lineRule="auto" w:before="50"/>
        <w:ind w:left="1101" w:right="22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）与资产相关的政府补助判断依据及会计处理方法</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与资产相关的政府补助，是指本集团取得的、用于购建或以其他方式形成长期资产</w:t>
      </w:r>
    </w:p>
    <w:p>
      <w:pPr>
        <w:pStyle w:val="BodyText"/>
        <w:spacing w:line="357" w:lineRule="auto" w:before="82"/>
        <w:ind w:left="1101" w:right="225" w:hanging="480"/>
        <w:jc w:val="left"/>
      </w:pPr>
      <w:r>
        <w:rPr/>
        <w:t>的政府补助；除此之外，作为与收益相关的政府补助。 与资产相关的政府补助，确认为递延收益，并在相关资产使用期限内平均分配，计</w:t>
      </w:r>
    </w:p>
    <w:p>
      <w:pPr>
        <w:pStyle w:val="BodyText"/>
        <w:spacing w:line="240" w:lineRule="auto"/>
        <w:ind w:left="622" w:right="0"/>
        <w:jc w:val="both"/>
      </w:pPr>
      <w:r>
        <w:rPr/>
        <w:t>入当期损益。</w:t>
      </w:r>
    </w:p>
    <w:p>
      <w:pPr>
        <w:spacing w:after="0" w:line="240"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pStyle w:val="BodyText"/>
        <w:spacing w:line="357" w:lineRule="auto" w:before="126"/>
        <w:ind w:left="622" w:right="242" w:firstLine="479"/>
        <w:jc w:val="both"/>
      </w:pPr>
      <w:r>
        <w:rPr/>
        <w:t>对于政府文件未明确规定补助对象的，能够形成长期资产的，与资产价值相对应的 政府补助部分作为与资产相关的政府补助，其余部分作为与收益相关的政府补助；难以 区分的，将政府补助整体作为与收益相关的政府补助。</w:t>
      </w:r>
    </w:p>
    <w:p>
      <w:pPr>
        <w:pStyle w:val="BodyText"/>
        <w:spacing w:line="357" w:lineRule="auto"/>
        <w:ind w:left="622" w:right="224" w:firstLine="479"/>
        <w:jc w:val="left"/>
      </w:pPr>
      <w:r>
        <w:rPr/>
        <w:t>与收益相关的政府补助，如果用于补偿已发生的相关费用或损失，则计入当期损 益；如果用于补偿以后期间的相关费用或损失，则计入递延收益，于费用确认期间计入 当期损益。</w:t>
      </w:r>
    </w:p>
    <w:p>
      <w:pPr>
        <w:pStyle w:val="Heading2"/>
        <w:spacing w:line="378" w:lineRule="exact"/>
        <w:ind w:right="225"/>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57" w:lineRule="auto" w:before="127"/>
        <w:ind w:left="622" w:right="242" w:firstLine="479"/>
        <w:jc w:val="both"/>
      </w:pPr>
      <w:r>
        <w:rPr/>
        <w:t>所得税包括当期所得税和递延所得税。除由于企业合并产生的调整商誉，或与直接 计入所有者权益的交易或者事项相关的递延所得税计入所有者权益外，均作为所得税费 用计入当期损益。</w:t>
      </w:r>
    </w:p>
    <w:p>
      <w:pPr>
        <w:pStyle w:val="BodyText"/>
        <w:spacing w:line="357" w:lineRule="auto"/>
        <w:ind w:left="622" w:right="225" w:firstLine="479"/>
        <w:jc w:val="left"/>
      </w:pPr>
      <w:r>
        <w:rPr/>
        <w:t>本集团根据资产、负债于资产负债表日的账面价值与计税基础之间的暂时性差异， 采用资产负债表债务法确认递延所得税。</w:t>
      </w:r>
    </w:p>
    <w:p>
      <w:pPr>
        <w:pStyle w:val="BodyText"/>
        <w:spacing w:line="357" w:lineRule="auto"/>
        <w:ind w:left="622" w:right="225" w:firstLine="479"/>
        <w:jc w:val="left"/>
      </w:pPr>
      <w:r>
        <w:rPr/>
        <w:t>各项应纳税暂时性差异均确认相关的递延所得税负债，除非该应纳税暂时性差异是 在以下交易中产生的：</w:t>
      </w:r>
    </w:p>
    <w:p>
      <w:pPr>
        <w:pStyle w:val="BodyText"/>
        <w:spacing w:line="326" w:lineRule="auto"/>
        <w:ind w:left="622" w:right="224" w:firstLine="479"/>
        <w:jc w:val="left"/>
      </w:pPr>
      <w:r>
        <w:rPr/>
        <w:t>（</w:t>
      </w:r>
      <w:r>
        <w:rPr>
          <w:rFonts w:ascii="Calibri" w:hAnsi="Calibri" w:cs="Calibri" w:eastAsia="Calibri" w:hint="default"/>
        </w:rPr>
        <w:t>1</w:t>
      </w:r>
      <w:r>
        <w:rPr/>
        <w:t>）商誉的初始确认，或者具有以下特征的交易中产生的资产或负债的初始确 认：该交易不是企业合并，并且交易发生时既不影响会计利润也不影响应纳税所得额；</w:t>
      </w:r>
    </w:p>
    <w:p>
      <w:pPr>
        <w:pStyle w:val="BodyText"/>
        <w:spacing w:line="326" w:lineRule="auto" w:before="67"/>
        <w:ind w:left="622" w:right="343" w:firstLine="479"/>
        <w:jc w:val="left"/>
      </w:pPr>
      <w:r>
        <w:rPr/>
        <w:t>（</w:t>
      </w:r>
      <w:r>
        <w:rPr>
          <w:rFonts w:ascii="Calibri" w:hAnsi="Calibri" w:cs="Calibri" w:eastAsia="Calibri" w:hint="default"/>
        </w:rPr>
        <w:t>2</w:t>
      </w:r>
      <w:r>
        <w:rPr/>
        <w:t>）对于与子公司、合营企业及联营企业投资相关的应纳税暂时性差异，该暂时 性差异转回的时间能够控制并且该暂时性差异在可预见的未来很可能不会转回。</w:t>
      </w:r>
    </w:p>
    <w:p>
      <w:pPr>
        <w:pStyle w:val="BodyText"/>
        <w:spacing w:line="357" w:lineRule="auto" w:before="67"/>
        <w:ind w:left="622" w:right="225" w:firstLine="479"/>
        <w:jc w:val="left"/>
      </w:pPr>
      <w:r>
        <w:rPr/>
        <w:t>对于可抵扣暂时性差异、能够结转以后年度的可抵扣亏损和税款抵减，本集团以很 可能取得用来抵扣可抵扣暂时性差异、可抵扣亏损和税款抵减的未来应纳税所得额为 限，确认由此产生的递延所得税资产，除非该可抵扣暂时性差异是在以下交易中产生 的：</w:t>
      </w:r>
    </w:p>
    <w:p>
      <w:pPr>
        <w:pStyle w:val="BodyText"/>
        <w:spacing w:line="326" w:lineRule="auto"/>
        <w:ind w:left="622" w:right="343" w:firstLine="479"/>
        <w:jc w:val="left"/>
      </w:pPr>
      <w:r>
        <w:rPr/>
        <w:t>（</w:t>
      </w:r>
      <w:r>
        <w:rPr>
          <w:rFonts w:ascii="Calibri" w:hAnsi="Calibri" w:cs="Calibri" w:eastAsia="Calibri" w:hint="default"/>
        </w:rPr>
        <w:t>1</w:t>
      </w:r>
      <w:r>
        <w:rPr/>
        <w:t>）该交易不是企业合并，并且交易发生时既不影响会计利润也不影响应纳税所 得额；</w:t>
      </w:r>
    </w:p>
    <w:p>
      <w:pPr>
        <w:pStyle w:val="BodyText"/>
        <w:spacing w:line="340" w:lineRule="auto" w:before="67"/>
        <w:ind w:left="622" w:right="224" w:firstLine="479"/>
        <w:jc w:val="left"/>
      </w:pPr>
      <w:r>
        <w:rPr/>
        <w:t>（</w:t>
      </w:r>
      <w:r>
        <w:rPr>
          <w:rFonts w:ascii="Calibri" w:hAnsi="Calibri" w:cs="Calibri" w:eastAsia="Calibri" w:hint="default"/>
        </w:rPr>
        <w:t>2</w:t>
      </w:r>
      <w:r>
        <w:rPr/>
        <w:t>）对于与子公司、合营企业及联营企业投资相关的可抵扣暂时性差异，同时满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BodyText"/>
        <w:spacing w:line="240" w:lineRule="auto" w:before="53"/>
        <w:ind w:left="1101" w:right="131"/>
        <w:jc w:val="left"/>
      </w:pPr>
      <w:r>
        <w:rPr/>
        <w:t>于资产负债表日，本集团对递延所得税资产和递延所得税负债，按照预期收回该资</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jc w:val="both"/>
      </w:pPr>
      <w:r>
        <w:rPr/>
        <w:t>产或清偿该负债期间的适用税率计量，并反映资产负债表日预期收回资产或清偿负债方 式的所得税影响。</w:t>
      </w:r>
    </w:p>
    <w:p>
      <w:pPr>
        <w:pStyle w:val="BodyText"/>
        <w:spacing w:line="357" w:lineRule="auto"/>
        <w:ind w:left="622" w:right="240" w:firstLine="479"/>
        <w:jc w:val="both"/>
      </w:pPr>
      <w:r>
        <w:rPr/>
        <w:t>于资产负债表日，本集团对递延所得税资产的账面价值进行复核。如果未来期间很 可能无法获得足够的应纳税所得额用以抵扣递延所得税资产的利益，减记递延所得税资 产的账面价值。在很可能获得足够的应纳税所得额时，减记的金额予以转回。</w:t>
      </w:r>
    </w:p>
    <w:p>
      <w:pPr>
        <w:pStyle w:val="Heading2"/>
        <w:spacing w:line="378" w:lineRule="exact"/>
        <w:ind w:right="225"/>
        <w:jc w:val="left"/>
        <w:rPr>
          <w:b w:val="0"/>
          <w:bCs w:val="0"/>
        </w:rPr>
      </w:pPr>
      <w:r>
        <w:rPr>
          <w:rFonts w:ascii="Times New Roman" w:hAnsi="Times New Roman" w:cs="Times New Roman" w:eastAsia="Times New Roman" w:hint="default"/>
        </w:rPr>
        <w:t>31</w:t>
      </w:r>
      <w:r>
        <w:rPr/>
        <w:t>、租赁</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）经营租赁的会计处理方法</w:t>
      </w:r>
      <w:r>
        <w:rPr>
          <w:rFonts w:ascii="Microsoft JhengHei" w:hAnsi="Microsoft JhengHei" w:cs="Microsoft JhengHei" w:eastAsia="Microsoft JhengHei" w:hint="default"/>
          <w:sz w:val="24"/>
          <w:szCs w:val="24"/>
        </w:rPr>
      </w:r>
    </w:p>
    <w:p>
      <w:pPr>
        <w:pStyle w:val="BodyText"/>
        <w:spacing w:line="326" w:lineRule="auto" w:before="126"/>
        <w:ind w:left="1101" w:right="225"/>
        <w:jc w:val="left"/>
      </w:pPr>
      <w:r>
        <w:rPr/>
        <w:t>（</w:t>
      </w:r>
      <w:r>
        <w:rPr>
          <w:rFonts w:ascii="Calibri" w:hAnsi="Calibri" w:cs="Calibri" w:eastAsia="Calibri" w:hint="default"/>
        </w:rPr>
        <w:t>1</w:t>
      </w:r>
      <w:r>
        <w:rPr/>
        <w:t>）本集团作为出租人 经营租赁中的租金，本集团在租赁期内各个期间按照直线法确认当期损益。发生的</w:t>
      </w:r>
    </w:p>
    <w:p>
      <w:pPr>
        <w:pStyle w:val="BodyText"/>
        <w:spacing w:line="240" w:lineRule="auto" w:before="67"/>
        <w:ind w:left="622" w:right="0"/>
        <w:jc w:val="both"/>
      </w:pPr>
      <w:r>
        <w:rPr/>
        <w:t>初始直接费用，计入当期损益。</w:t>
      </w:r>
    </w:p>
    <w:p>
      <w:pPr>
        <w:pStyle w:val="BodyText"/>
        <w:spacing w:line="326" w:lineRule="auto" w:before="154"/>
        <w:ind w:left="1101" w:right="225"/>
        <w:jc w:val="left"/>
      </w:pPr>
      <w:r>
        <w:rPr/>
        <w:t>（</w:t>
      </w:r>
      <w:r>
        <w:rPr>
          <w:rFonts w:ascii="Calibri" w:hAnsi="Calibri" w:cs="Calibri" w:eastAsia="Calibri" w:hint="default"/>
        </w:rPr>
        <w:t>2</w:t>
      </w:r>
      <w:r>
        <w:rPr/>
        <w:t>）本集团作为承租人 经营租赁中的租金，本集团在租赁期内各个期间按照直线法计入相关资产成本或当</w:t>
      </w:r>
    </w:p>
    <w:p>
      <w:pPr>
        <w:pStyle w:val="BodyText"/>
        <w:spacing w:line="240" w:lineRule="auto" w:before="67"/>
        <w:ind w:left="622" w:right="0"/>
        <w:jc w:val="both"/>
      </w:pPr>
      <w:r>
        <w:rPr/>
        <w:t>期损益；发生的初始直接费用，计入当期损益。</w:t>
      </w:r>
    </w:p>
    <w:p>
      <w:pPr>
        <w:pStyle w:val="Heading2"/>
        <w:spacing w:line="240" w:lineRule="auto" w:before="77"/>
        <w:ind w:right="225"/>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26" w:lineRule="auto" w:before="126"/>
        <w:ind w:left="1101" w:right="225"/>
        <w:jc w:val="left"/>
      </w:pPr>
      <w:r>
        <w:rPr/>
        <w:t>（</w:t>
      </w:r>
      <w:r>
        <w:rPr>
          <w:rFonts w:ascii="Calibri" w:hAnsi="Calibri" w:cs="Calibri" w:eastAsia="Calibri" w:hint="default"/>
        </w:rPr>
        <w:t>1</w:t>
      </w:r>
      <w:r>
        <w:rPr/>
        <w:t>）本集团作为出租人 融资租赁中，在租赁开始日本集团按最低租赁收款额与初始直接费用之和作为应收</w:t>
      </w:r>
    </w:p>
    <w:p>
      <w:pPr>
        <w:pStyle w:val="BodyText"/>
        <w:spacing w:line="357" w:lineRule="auto" w:before="67"/>
        <w:ind w:left="622" w:right="242"/>
        <w:jc w:val="both"/>
      </w:pPr>
      <w:r>
        <w:rPr/>
        <w:t>融资租赁款的入账价值，同时记录未担保余值；将最低租赁收款额、初始直接费用及未 担保余值之和与其现值之和的差额确认为未实现融资收益。未实现融资收益在租赁期内 各个期间采用实际利率法计算确认当期的融资收入。</w:t>
      </w:r>
    </w:p>
    <w:p>
      <w:pPr>
        <w:pStyle w:val="BodyText"/>
        <w:spacing w:line="326" w:lineRule="auto"/>
        <w:ind w:left="1101" w:right="225"/>
        <w:jc w:val="left"/>
      </w:pPr>
      <w:r>
        <w:rPr/>
        <w:t>（</w:t>
      </w:r>
      <w:r>
        <w:rPr>
          <w:rFonts w:ascii="Calibri" w:hAnsi="Calibri" w:cs="Calibri" w:eastAsia="Calibri" w:hint="default"/>
        </w:rPr>
        <w:t>2</w:t>
      </w:r>
      <w:r>
        <w:rPr/>
        <w:t>）本集团作为承租人 融资租赁中，在租赁开始日本集团将租赁资产公允价值与最低租赁付款额现值两者</w:t>
      </w:r>
    </w:p>
    <w:p>
      <w:pPr>
        <w:pStyle w:val="BodyText"/>
        <w:spacing w:line="357" w:lineRule="auto" w:before="67"/>
        <w:ind w:left="622" w:right="240"/>
        <w:jc w:val="both"/>
      </w:pPr>
      <w:r>
        <w:rPr/>
        <w:t>中较低者作为租入资产的入账价值，将最低租赁付款额作为长期应付款的入账价值，其 差额作为未确认融资费用。初始直接费用计入租入资产价值。未确认融资费用在租赁期 内各个期间采用实际利率法计算确认当期的融资费用。本集团采用与自有固定资产相一 致的折旧政策计提租赁资产折旧。</w:t>
      </w:r>
    </w:p>
    <w:p>
      <w:pPr>
        <w:spacing w:line="240" w:lineRule="auto" w:before="9"/>
        <w:rPr>
          <w:rFonts w:ascii="宋体" w:hAnsi="宋体" w:cs="宋体" w:eastAsia="宋体" w:hint="default"/>
          <w:sz w:val="32"/>
          <w:szCs w:val="32"/>
        </w:rPr>
      </w:pPr>
    </w:p>
    <w:p>
      <w:pPr>
        <w:pStyle w:val="Heading2"/>
        <w:spacing w:line="312" w:lineRule="auto"/>
        <w:ind w:right="5025"/>
        <w:jc w:val="left"/>
        <w:rPr>
          <w:rFonts w:ascii="宋体" w:hAnsi="宋体" w:cs="宋体" w:eastAsia="宋体" w:hint="default"/>
          <w:b w:val="0"/>
          <w:bCs w:val="0"/>
        </w:rPr>
      </w:pPr>
      <w:r>
        <w:rPr>
          <w:rFonts w:ascii="Times New Roman" w:hAnsi="Times New Roman" w:cs="Times New Roman" w:eastAsia="Times New Roman" w:hint="default"/>
        </w:rPr>
        <w:t>32</w:t>
      </w:r>
      <w:r>
        <w:rPr/>
        <w:t>、其他重要的会计政策和会计估计</w:t>
      </w:r>
      <w:r>
        <w:rPr>
          <w:spacing w:val="-49"/>
        </w:rPr>
        <w:t> </w:t>
      </w:r>
      <w:r>
        <w:rPr>
          <w:spacing w:val="-49"/>
        </w:rPr>
      </w:r>
      <w:r>
        <w:rPr>
          <w:rFonts w:ascii="宋体" w:hAnsi="宋体" w:cs="宋体" w:eastAsia="宋体" w:hint="default"/>
          <w:b w:val="0"/>
          <w:bCs w:val="0"/>
        </w:rPr>
        <w:t>不适用</w:t>
      </w:r>
    </w:p>
    <w:p>
      <w:pPr>
        <w:spacing w:after="0" w:line="312" w:lineRule="auto"/>
        <w:jc w:val="left"/>
        <w:rPr>
          <w:rFonts w:ascii="宋体" w:hAnsi="宋体" w:cs="宋体" w:eastAsia="宋体" w:hint="default"/>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33</w:t>
      </w:r>
      <w:r>
        <w:rPr>
          <w:rFonts w:ascii="Microsoft JhengHei" w:hAnsi="Microsoft JhengHei" w:cs="Microsoft JhengHei" w:eastAsia="Microsoft JhengHei" w:hint="default"/>
          <w:b/>
          <w:bCs/>
          <w:sz w:val="24"/>
          <w:szCs w:val="24"/>
        </w:rPr>
        <w:t>、重要会计政策和会计估计变更</w:t>
      </w:r>
      <w:r>
        <w:rPr>
          <w:rFonts w:ascii="Microsoft JhengHei" w:hAnsi="Microsoft JhengHei" w:cs="Microsoft JhengHei" w:eastAsia="Microsoft JhengHei" w:hint="default"/>
          <w:sz w:val="24"/>
          <w:szCs w:val="24"/>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）重要会计政策变更</w:t>
      </w:r>
      <w:r>
        <w:rPr>
          <w:rFonts w:ascii="Microsoft JhengHei" w:hAnsi="Microsoft JhengHei" w:cs="Microsoft JhengHei" w:eastAsia="Microsoft JhengHei" w:hint="default"/>
          <w:sz w:val="24"/>
          <w:szCs w:val="24"/>
        </w:rPr>
      </w:r>
    </w:p>
    <w:p>
      <w:pPr>
        <w:pStyle w:val="BodyText"/>
        <w:spacing w:line="240" w:lineRule="auto" w:before="126"/>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6"/>
        <w:rPr>
          <w:rFonts w:ascii="宋体" w:hAnsi="宋体" w:cs="宋体" w:eastAsia="宋体" w:hint="default"/>
          <w:sz w:val="6"/>
          <w:szCs w:val="6"/>
        </w:rPr>
      </w:pPr>
    </w:p>
    <w:tbl>
      <w:tblPr>
        <w:tblW w:w="0" w:type="auto"/>
        <w:jc w:val="left"/>
        <w:tblInd w:w="622" w:type="dxa"/>
        <w:tblLayout w:type="fixed"/>
        <w:tblCellMar>
          <w:top w:w="0" w:type="dxa"/>
          <w:left w:w="0" w:type="dxa"/>
          <w:bottom w:w="0" w:type="dxa"/>
          <w:right w:w="0" w:type="dxa"/>
        </w:tblCellMar>
        <w:tblLook w:val="01E0"/>
      </w:tblPr>
      <w:tblGrid>
        <w:gridCol w:w="4215"/>
        <w:gridCol w:w="1467"/>
        <w:gridCol w:w="1760"/>
        <w:gridCol w:w="1764"/>
      </w:tblGrid>
      <w:tr>
        <w:trPr>
          <w:trHeight w:val="634"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会计政策变更的内容和原因</w:t>
            </w:r>
            <w:r>
              <w:rPr>
                <w:rFonts w:ascii="Microsoft JhengHei" w:hAnsi="Microsoft JhengHei" w:cs="Microsoft JhengHei" w:eastAsia="Microsoft JhengHei" w:hint="default"/>
                <w:sz w:val="21"/>
                <w:szCs w:val="21"/>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审批程序</w:t>
            </w:r>
            <w:r>
              <w:rPr>
                <w:rFonts w:ascii="Microsoft JhengHei" w:hAnsi="Microsoft JhengHei" w:cs="Microsoft JhengHei" w:eastAsia="Microsoft JhengHei" w:hint="default"/>
                <w:sz w:val="21"/>
                <w:szCs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受影响的报表项</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目</w:t>
            </w:r>
            <w:r>
              <w:rPr>
                <w:rFonts w:ascii="Microsoft JhengHei" w:hAnsi="Microsoft JhengHei" w:cs="Microsoft JhengHei" w:eastAsia="Microsoft JhengHei" w:hint="default"/>
                <w:w w:val="100"/>
                <w:sz w:val="21"/>
                <w:szCs w:val="21"/>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影响金额（元）</w:t>
            </w:r>
            <w:r>
              <w:rPr>
                <w:rFonts w:ascii="Microsoft JhengHei" w:hAnsi="Microsoft JhengHei" w:cs="Microsoft JhengHei" w:eastAsia="Microsoft JhengHei" w:hint="default"/>
                <w:sz w:val="21"/>
                <w:szCs w:val="21"/>
              </w:rPr>
            </w:r>
          </w:p>
        </w:tc>
      </w:tr>
      <w:tr>
        <w:trPr>
          <w:trHeight w:val="1570" w:hRule="exact"/>
        </w:trPr>
        <w:tc>
          <w:tcPr>
            <w:tcW w:w="4215"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03"/>
              <w:jc w:val="left"/>
              <w:rPr>
                <w:rFonts w:ascii="宋体" w:hAnsi="宋体" w:cs="宋体" w:eastAsia="宋体" w:hint="default"/>
                <w:sz w:val="21"/>
                <w:szCs w:val="21"/>
              </w:rPr>
            </w:pPr>
            <w:r>
              <w:rPr>
                <w:rFonts w:ascii="宋体" w:hAnsi="宋体" w:cs="宋体" w:eastAsia="宋体" w:hint="default"/>
                <w:sz w:val="21"/>
                <w:szCs w:val="21"/>
              </w:rPr>
              <w:t>根据《企业会计准则解释第</w:t>
            </w:r>
            <w:r>
              <w:rPr>
                <w:rFonts w:ascii="宋体" w:hAnsi="宋体" w:cs="宋体" w:eastAsia="宋体" w:hint="default"/>
                <w:spacing w:val="-52"/>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号》的要求：</w:t>
            </w:r>
            <w:r>
              <w:rPr>
                <w:rFonts w:ascii="宋体" w:hAnsi="宋体" w:cs="宋体" w:eastAsia="宋体" w:hint="default"/>
                <w:w w:val="100"/>
                <w:sz w:val="21"/>
                <w:szCs w:val="21"/>
              </w:rPr>
              <w:t> </w:t>
            </w:r>
            <w:r>
              <w:rPr>
                <w:rFonts w:ascii="宋体" w:hAnsi="宋体" w:cs="宋体" w:eastAsia="宋体" w:hint="default"/>
                <w:spacing w:val="-2"/>
                <w:sz w:val="21"/>
                <w:szCs w:val="21"/>
              </w:rPr>
              <w:t>本集团发行的附回购义务的限制性股票，按</w:t>
            </w:r>
          </w:p>
          <w:p>
            <w:pPr>
              <w:pStyle w:val="TableParagraph"/>
              <w:spacing w:line="259" w:lineRule="auto" w:before="31"/>
              <w:ind w:left="103" w:right="105"/>
              <w:jc w:val="left"/>
              <w:rPr>
                <w:rFonts w:ascii="宋体" w:hAnsi="宋体" w:cs="宋体" w:eastAsia="宋体" w:hint="default"/>
                <w:sz w:val="21"/>
                <w:szCs w:val="21"/>
              </w:rPr>
            </w:pPr>
            <w:r>
              <w:rPr>
                <w:rFonts w:ascii="宋体" w:hAnsi="宋体" w:cs="宋体" w:eastAsia="宋体" w:hint="default"/>
                <w:sz w:val="21"/>
                <w:szCs w:val="21"/>
              </w:rPr>
              <w:t>《企业会计准则解释第</w:t>
            </w:r>
            <w:r>
              <w:rPr>
                <w:rFonts w:ascii="Calibri" w:hAnsi="Calibri" w:cs="Calibri" w:eastAsia="Calibri" w:hint="default"/>
                <w:sz w:val="21"/>
                <w:szCs w:val="21"/>
              </w:rPr>
              <w:t>7</w:t>
            </w:r>
            <w:r>
              <w:rPr>
                <w:rFonts w:ascii="宋体" w:hAnsi="宋体" w:cs="宋体" w:eastAsia="宋体" w:hint="default"/>
                <w:sz w:val="21"/>
                <w:szCs w:val="21"/>
              </w:rPr>
              <w:t>号》进行处理。</w:t>
            </w:r>
            <w:r>
              <w:rPr>
                <w:rFonts w:ascii="宋体" w:hAnsi="宋体" w:cs="宋体" w:eastAsia="宋体" w:hint="default"/>
                <w:w w:val="100"/>
                <w:sz w:val="21"/>
                <w:szCs w:val="21"/>
              </w:rPr>
              <w:t> </w:t>
            </w:r>
            <w:r>
              <w:rPr>
                <w:rFonts w:ascii="宋体" w:hAnsi="宋体" w:cs="宋体" w:eastAsia="宋体" w:hint="default"/>
                <w:spacing w:val="-2"/>
                <w:sz w:val="21"/>
                <w:szCs w:val="21"/>
              </w:rPr>
              <w:t>本集团对上述会计政策变更采用追溯调整法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处理。</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董事会审批</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71"/>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其他非流动负债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库存股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Calibri" w:hAnsi="Calibri" w:cs="Calibri" w:eastAsia="Calibri" w:hint="default"/>
                <w:sz w:val="21"/>
                <w:szCs w:val="21"/>
              </w:rPr>
            </w:pPr>
            <w:r>
              <w:rPr>
                <w:rFonts w:ascii="Calibri"/>
                <w:sz w:val="21"/>
              </w:rPr>
              <w:t>12,629,972.16</w:t>
            </w:r>
          </w:p>
          <w:p>
            <w:pPr>
              <w:pStyle w:val="TableParagraph"/>
              <w:spacing w:line="240" w:lineRule="auto" w:before="55"/>
              <w:ind w:left="256" w:right="0"/>
              <w:jc w:val="center"/>
              <w:rPr>
                <w:rFonts w:ascii="Calibri" w:hAnsi="Calibri" w:cs="Calibri" w:eastAsia="Calibri" w:hint="default"/>
                <w:sz w:val="21"/>
                <w:szCs w:val="21"/>
              </w:rPr>
            </w:pPr>
            <w:r>
              <w:rPr>
                <w:rFonts w:ascii="Calibri"/>
                <w:sz w:val="21"/>
              </w:rPr>
              <w:t>-15,396,433.20</w:t>
            </w:r>
          </w:p>
          <w:p>
            <w:pPr>
              <w:pStyle w:val="TableParagraph"/>
              <w:spacing w:line="240" w:lineRule="auto" w:before="55"/>
              <w:ind w:left="362" w:right="0"/>
              <w:jc w:val="center"/>
              <w:rPr>
                <w:rFonts w:ascii="Calibri" w:hAnsi="Calibri" w:cs="Calibri" w:eastAsia="Calibri" w:hint="default"/>
                <w:sz w:val="21"/>
                <w:szCs w:val="21"/>
              </w:rPr>
            </w:pPr>
            <w:r>
              <w:rPr>
                <w:rFonts w:ascii="Calibri"/>
                <w:sz w:val="21"/>
              </w:rPr>
              <w:t>-2,766,461.04</w:t>
            </w:r>
          </w:p>
        </w:tc>
      </w:tr>
    </w:tbl>
    <w:p>
      <w:pPr>
        <w:pStyle w:val="Heading2"/>
        <w:spacing w:line="381" w:lineRule="exact"/>
        <w:ind w:right="22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26"/>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25"/>
        <w:jc w:val="left"/>
        <w:rPr>
          <w:b w:val="0"/>
          <w:bCs w:val="0"/>
        </w:rPr>
      </w:pPr>
      <w:r>
        <w:rPr>
          <w:rFonts w:ascii="Times New Roman" w:hAnsi="Times New Roman" w:cs="Times New Roman" w:eastAsia="Times New Roman" w:hint="default"/>
        </w:rPr>
        <w:t>34</w:t>
      </w:r>
      <w:r>
        <w:rPr/>
        <w:t>、其他</w:t>
      </w:r>
      <w:r>
        <w:rPr>
          <w:b w:val="0"/>
          <w:bCs w:val="0"/>
        </w:rPr>
      </w:r>
    </w:p>
    <w:p>
      <w:pPr>
        <w:spacing w:before="126"/>
        <w:ind w:left="1101" w:right="7905"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bookmarkStart w:name="_bookmark74" w:id="75"/>
      <w:bookmarkEnd w:id="75"/>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sz w:val="24"/>
          <w:szCs w:val="24"/>
        </w:rPr>
      </w:r>
    </w:p>
    <w:p>
      <w:pPr>
        <w:pStyle w:val="Heading2"/>
        <w:spacing w:line="391" w:lineRule="exact"/>
        <w:ind w:right="225"/>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税种</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Calibri" w:hAnsi="Calibri" w:cs="Calibri" w:eastAsia="Calibri"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w:t>
            </w:r>
            <w:r>
              <w:rPr>
                <w:rFonts w:ascii="Calibri" w:hAnsi="Calibri" w:cs="Calibri" w:eastAsia="Calibri" w:hint="default"/>
                <w:sz w:val="21"/>
                <w:szCs w:val="21"/>
              </w:rPr>
              <w:t>17</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alibri" w:hAnsi="Calibri" w:cs="Calibri" w:eastAsia="Calibri" w:hint="default"/>
                <w:sz w:val="21"/>
                <w:szCs w:val="21"/>
              </w:rPr>
            </w:pPr>
            <w:r>
              <w:rPr>
                <w:rFonts w:ascii="Calibri"/>
                <w:w w:val="100"/>
                <w:sz w:val="21"/>
              </w:rPr>
              <w:t>5</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应纳流转税额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25</w:t>
            </w:r>
          </w:p>
        </w:tc>
      </w:tr>
    </w:tbl>
    <w:p>
      <w:pPr>
        <w:pStyle w:val="BodyText"/>
        <w:spacing w:line="240" w:lineRule="auto" w:before="39"/>
        <w:ind w:left="1101" w:right="225"/>
        <w:jc w:val="left"/>
      </w:pPr>
      <w:r>
        <w:rPr/>
        <w:t>存在不同企业所得税税率纳税主体的，披露情况说明</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4602"/>
        <w:gridCol w:w="4604"/>
      </w:tblGrid>
      <w:tr>
        <w:trPr>
          <w:trHeight w:val="32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22" w:hRule="exact"/>
        </w:trPr>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超图国际有限公司</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16.5</w:t>
            </w:r>
          </w:p>
        </w:tc>
      </w:tr>
      <w:tr>
        <w:trPr>
          <w:trHeight w:val="324" w:hRule="exact"/>
        </w:trPr>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25.5</w:t>
            </w:r>
          </w:p>
        </w:tc>
      </w:tr>
    </w:tbl>
    <w:p>
      <w:pPr>
        <w:pStyle w:val="Heading2"/>
        <w:spacing w:line="380" w:lineRule="exact"/>
        <w:ind w:left="1104" w:right="225"/>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326" w:lineRule="auto" w:before="126"/>
        <w:ind w:left="622" w:right="209" w:firstLine="482"/>
        <w:jc w:val="both"/>
      </w:pPr>
      <w:r>
        <w:rPr/>
        <w:t>（</w:t>
      </w:r>
      <w:r>
        <w:rPr>
          <w:rFonts w:ascii="Calibri" w:hAnsi="Calibri" w:cs="Calibri" w:eastAsia="Calibri" w:hint="default"/>
        </w:rPr>
        <w:t>1</w:t>
      </w:r>
      <w:r>
        <w:rPr/>
        <w:t>）根据财政部、国家税务总局</w:t>
      </w:r>
      <w:r>
        <w:rPr>
          <w:rFonts w:ascii="Calibri" w:hAnsi="Calibri" w:cs="Calibri" w:eastAsia="Calibri" w:hint="default"/>
        </w:rPr>
        <w:t>2011</w:t>
      </w:r>
      <w:r>
        <w:rPr/>
        <w:t>年</w:t>
      </w:r>
      <w:r>
        <w:rPr>
          <w:rFonts w:ascii="Calibri" w:hAnsi="Calibri" w:cs="Calibri" w:eastAsia="Calibri" w:hint="default"/>
        </w:rPr>
        <w:t>10</w:t>
      </w:r>
      <w:r>
        <w:rPr/>
        <w:t>月</w:t>
      </w:r>
      <w:r>
        <w:rPr>
          <w:rFonts w:ascii="Calibri" w:hAnsi="Calibri" w:cs="Calibri" w:eastAsia="Calibri" w:hint="default"/>
        </w:rPr>
        <w:t>13</w:t>
      </w:r>
      <w:r>
        <w:rPr/>
        <w:t>日发布的财税【</w:t>
      </w:r>
      <w:r>
        <w:rPr>
          <w:rFonts w:ascii="Calibri" w:hAnsi="Calibri" w:cs="Calibri" w:eastAsia="Calibri" w:hint="default"/>
        </w:rPr>
        <w:t>2011</w:t>
      </w:r>
      <w:r>
        <w:rPr/>
        <w:t>】</w:t>
      </w:r>
      <w:r>
        <w:rPr>
          <w:rFonts w:ascii="Calibri" w:hAnsi="Calibri" w:cs="Calibri" w:eastAsia="Calibri" w:hint="default"/>
        </w:rPr>
        <w:t>100</w:t>
      </w:r>
      <w:r>
        <w:rPr/>
        <w:t>号文《财 政部、国家税务总局关于软件产品增值税政策的通知》规定，本公司自</w:t>
      </w:r>
      <w:r>
        <w:rPr>
          <w:rFonts w:ascii="Calibri" w:hAnsi="Calibri" w:cs="Calibri" w:eastAsia="Calibri" w:hint="default"/>
        </w:rPr>
        <w:t>2011</w:t>
      </w:r>
      <w:r>
        <w:rPr/>
        <w:t>年</w:t>
      </w:r>
      <w:r>
        <w:rPr>
          <w:rFonts w:ascii="Calibri" w:hAnsi="Calibri" w:cs="Calibri" w:eastAsia="Calibri" w:hint="default"/>
        </w:rPr>
        <w:t>1</w:t>
      </w:r>
      <w:r>
        <w:rPr/>
        <w:t>月</w:t>
      </w:r>
      <w:r>
        <w:rPr>
          <w:rFonts w:ascii="Calibri" w:hAnsi="Calibri" w:cs="Calibri" w:eastAsia="Calibri" w:hint="default"/>
        </w:rPr>
        <w:t>1</w:t>
      </w:r>
      <w:r>
        <w:rPr/>
        <w:t>日起 销售自行开发生产的计算机软件产品按法定</w:t>
      </w:r>
      <w:r>
        <w:rPr>
          <w:rFonts w:ascii="Calibri" w:hAnsi="Calibri" w:cs="Calibri" w:eastAsia="Calibri" w:hint="default"/>
        </w:rPr>
        <w:t>17%</w:t>
      </w:r>
      <w:r>
        <w:rPr/>
        <w:t>的税率征收后，对实际税负超过</w:t>
      </w:r>
      <w:r>
        <w:rPr>
          <w:rFonts w:ascii="Calibri" w:hAnsi="Calibri" w:cs="Calibri" w:eastAsia="Calibri" w:hint="default"/>
        </w:rPr>
        <w:t>3%</w:t>
      </w:r>
      <w:r>
        <w:rPr/>
        <w:t>的部 分实行即征即退。</w:t>
      </w:r>
    </w:p>
    <w:p>
      <w:pPr>
        <w:pStyle w:val="BodyText"/>
        <w:spacing w:line="333" w:lineRule="auto" w:before="67"/>
        <w:ind w:left="622" w:right="214" w:firstLine="482"/>
        <w:jc w:val="left"/>
      </w:pPr>
      <w:r>
        <w:rPr/>
        <w:t>（</w:t>
      </w:r>
      <w:r>
        <w:rPr>
          <w:rFonts w:ascii="Calibri" w:hAnsi="Calibri" w:cs="Calibri" w:eastAsia="Calibri" w:hint="default"/>
        </w:rPr>
        <w:t>2</w:t>
      </w:r>
      <w:r>
        <w:rPr/>
        <w:t>）根据财政部、国家税务总局关于在全国开展交通运输业和部分现代服务业营 业税改征增值税试点税收政策的通知》（财税〔</w:t>
      </w:r>
      <w:r>
        <w:rPr>
          <w:rFonts w:ascii="Calibri" w:hAnsi="Calibri" w:cs="Calibri" w:eastAsia="Calibri" w:hint="default"/>
        </w:rPr>
        <w:t>2013</w:t>
      </w:r>
      <w:r>
        <w:rPr/>
        <w:t>〕</w:t>
      </w:r>
      <w:r>
        <w:rPr>
          <w:rFonts w:ascii="Calibri" w:hAnsi="Calibri" w:cs="Calibri" w:eastAsia="Calibri" w:hint="default"/>
        </w:rPr>
        <w:t>37</w:t>
      </w:r>
      <w:r>
        <w:rPr/>
        <w:t>号）和财政部、国家税务总局 财税〔</w:t>
      </w:r>
      <w:r>
        <w:rPr>
          <w:rFonts w:ascii="Calibri" w:hAnsi="Calibri" w:cs="Calibri" w:eastAsia="Calibri" w:hint="default"/>
        </w:rPr>
        <w:t>2013</w:t>
      </w:r>
      <w:r>
        <w:rPr/>
        <w:t>〕</w:t>
      </w:r>
      <w:r>
        <w:rPr>
          <w:rFonts w:ascii="Calibri" w:hAnsi="Calibri" w:cs="Calibri" w:eastAsia="Calibri" w:hint="default"/>
        </w:rPr>
        <w:t>106</w:t>
      </w:r>
      <w:r>
        <w:rPr/>
        <w:t>号：《关于将铁路运输和邮政业纳入营业税改征增值税试点的通知》 的相关规定，对试点纳税人提供技术转让、技术开发和与之相关的技术咨询、技术服务 免征增值税。</w:t>
      </w:r>
    </w:p>
    <w:p>
      <w:pPr>
        <w:spacing w:after="0" w:line="333"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26" w:lineRule="auto" w:before="26"/>
        <w:ind w:left="622" w:right="217" w:firstLine="482"/>
        <w:jc w:val="left"/>
      </w:pPr>
      <w:r>
        <w:rPr/>
        <w:t>（</w:t>
      </w:r>
      <w:r>
        <w:rPr>
          <w:rFonts w:ascii="Calibri" w:hAnsi="Calibri" w:cs="Calibri" w:eastAsia="Calibri" w:hint="default"/>
        </w:rPr>
        <w:t>3</w:t>
      </w:r>
      <w:r>
        <w:rPr/>
        <w:t>）根据北京市科学技术委员会、北京市财政局、北京市国家税务局、北京市地 方税务局联合下发的《关于公示北京市</w:t>
      </w:r>
      <w:r>
        <w:rPr>
          <w:rFonts w:ascii="Calibri" w:hAnsi="Calibri" w:cs="Calibri" w:eastAsia="Calibri" w:hint="default"/>
        </w:rPr>
        <w:t>2014</w:t>
      </w:r>
      <w:r>
        <w:rPr/>
        <w:t>年度拟认定高新技术企业名单的通知》（京 科发</w:t>
      </w:r>
      <w:r>
        <w:rPr>
          <w:rFonts w:ascii="Calibri" w:hAnsi="Calibri" w:cs="Calibri" w:eastAsia="Calibri" w:hint="default"/>
        </w:rPr>
        <w:t>[2014]551</w:t>
      </w:r>
      <w:r>
        <w:rPr/>
        <w:t>号），本公司被认定为</w:t>
      </w:r>
      <w:r>
        <w:rPr>
          <w:rFonts w:ascii="Calibri" w:hAnsi="Calibri" w:cs="Calibri" w:eastAsia="Calibri" w:hint="default"/>
        </w:rPr>
        <w:t>“</w:t>
      </w:r>
      <w:r>
        <w:rPr/>
        <w:t>北京市</w:t>
      </w:r>
      <w:r>
        <w:rPr>
          <w:rFonts w:ascii="Calibri" w:hAnsi="Calibri" w:cs="Calibri" w:eastAsia="Calibri" w:hint="default"/>
        </w:rPr>
        <w:t>2014</w:t>
      </w:r>
      <w:r>
        <w:rPr/>
        <w:t>年度高新技术企业</w:t>
      </w:r>
      <w:r>
        <w:rPr>
          <w:rFonts w:ascii="Calibri" w:hAnsi="Calibri" w:cs="Calibri" w:eastAsia="Calibri" w:hint="default"/>
        </w:rPr>
        <w:t>”</w:t>
      </w:r>
      <w:r>
        <w:rPr/>
        <w:t>。依据国家税务总 局《关于实施高新技术企业所得税优惠有关问题的通知》（国税函</w:t>
      </w:r>
      <w:r>
        <w:rPr>
          <w:rFonts w:ascii="Calibri" w:hAnsi="Calibri" w:cs="Calibri" w:eastAsia="Calibri" w:hint="default"/>
        </w:rPr>
        <w:t>[2009]203</w:t>
      </w:r>
      <w:r>
        <w:rPr/>
        <w:t>号）关于 </w:t>
      </w:r>
      <w:r>
        <w:rPr>
          <w:rFonts w:ascii="Calibri" w:hAnsi="Calibri" w:cs="Calibri" w:eastAsia="Calibri" w:hint="default"/>
        </w:rPr>
        <w:t>“</w:t>
      </w:r>
      <w:r>
        <w:rPr/>
        <w:t>认定（复审）合格的高新技术企业当年可减按</w:t>
      </w:r>
      <w:r>
        <w:rPr>
          <w:rFonts w:ascii="Calibri" w:hAnsi="Calibri" w:cs="Calibri" w:eastAsia="Calibri" w:hint="default"/>
        </w:rPr>
        <w:t>15%</w:t>
      </w:r>
      <w:r>
        <w:rPr/>
        <w:t>的税率征收企业所得税</w:t>
      </w:r>
      <w:r>
        <w:rPr>
          <w:rFonts w:ascii="Calibri" w:hAnsi="Calibri" w:cs="Calibri" w:eastAsia="Calibri" w:hint="default"/>
        </w:rPr>
        <w:t>”</w:t>
      </w:r>
      <w:r>
        <w:rPr/>
        <w:t>的规定， </w:t>
      </w:r>
      <w:r>
        <w:rPr>
          <w:rFonts w:ascii="Calibri" w:hAnsi="Calibri" w:cs="Calibri" w:eastAsia="Calibri" w:hint="default"/>
        </w:rPr>
        <w:t>2015</w:t>
      </w:r>
      <w:r>
        <w:rPr/>
        <w:t>年度本公司执行</w:t>
      </w:r>
      <w:r>
        <w:rPr>
          <w:rFonts w:ascii="Calibri" w:hAnsi="Calibri" w:cs="Calibri" w:eastAsia="Calibri" w:hint="default"/>
        </w:rPr>
        <w:t>15%</w:t>
      </w:r>
      <w:r>
        <w:rPr/>
        <w:t>的企业所得税税率。</w:t>
      </w:r>
    </w:p>
    <w:p>
      <w:pPr>
        <w:pStyle w:val="Heading2"/>
        <w:spacing w:line="359" w:lineRule="exact"/>
        <w:ind w:left="1104" w:right="225"/>
        <w:jc w:val="left"/>
        <w:rPr>
          <w:b w:val="0"/>
          <w:bCs w:val="0"/>
        </w:rPr>
      </w:pPr>
      <w:r>
        <w:rPr>
          <w:rFonts w:ascii="Times New Roman" w:hAnsi="Times New Roman" w:cs="Times New Roman" w:eastAsia="Times New Roman" w:hint="default"/>
        </w:rPr>
        <w:t>3</w:t>
      </w:r>
      <w:r>
        <w:rPr/>
        <w:t>、其他</w:t>
      </w:r>
      <w:r>
        <w:rPr>
          <w:b w:val="0"/>
          <w:bCs w:val="0"/>
        </w:rPr>
      </w:r>
    </w:p>
    <w:p>
      <w:pPr>
        <w:spacing w:line="470" w:lineRule="auto" w:before="126"/>
        <w:ind w:left="1101" w:right="5985" w:firstLine="2"/>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bookmarkStart w:name="_bookmark75" w:id="76"/>
      <w:bookmarkEnd w:id="76"/>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sz w:val="24"/>
          <w:szCs w:val="24"/>
        </w:rPr>
      </w:r>
    </w:p>
    <w:p>
      <w:pPr>
        <w:spacing w:line="385"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p>
      <w:pPr>
        <w:spacing w:before="152"/>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库存现金</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28,387.72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33,939.70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360,071,300.50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301,530,221.87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13,876,869.90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13,787,378.90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373,976,558.12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315,351,540.47</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66"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8,958,306.92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6,394,810.25</w:t>
            </w:r>
          </w:p>
        </w:tc>
      </w:tr>
    </w:tbl>
    <w:p>
      <w:pPr>
        <w:pStyle w:val="BodyText"/>
        <w:spacing w:line="357" w:lineRule="auto" w:before="39"/>
        <w:ind w:left="1101" w:right="225" w:hanging="161"/>
        <w:jc w:val="left"/>
      </w:pPr>
      <w:r>
        <w:rPr/>
        <w:t>其他说明： 银行存款中包含使用权受到限制的定期存款，其他货币资金为使用权受到限制的保 证金</w:t>
      </w:r>
    </w:p>
    <w:p>
      <w:pPr>
        <w:pStyle w:val="Heading2"/>
        <w:spacing w:line="378" w:lineRule="exact"/>
        <w:ind w:right="225"/>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pStyle w:val="BodyText"/>
        <w:spacing w:line="240" w:lineRule="auto" w:before="126"/>
        <w:ind w:left="1101" w:right="225"/>
        <w:jc w:val="left"/>
      </w:pPr>
      <w:r>
        <w:rPr/>
        <w:t>无</w:t>
      </w:r>
    </w:p>
    <w:p>
      <w:pPr>
        <w:pStyle w:val="Heading2"/>
        <w:spacing w:line="240" w:lineRule="auto" w:before="77"/>
        <w:ind w:right="225"/>
        <w:jc w:val="left"/>
        <w:rPr>
          <w:b w:val="0"/>
          <w:bCs w:val="0"/>
        </w:rPr>
      </w:pPr>
      <w:r>
        <w:rPr>
          <w:rFonts w:ascii="Times New Roman" w:hAnsi="Times New Roman" w:cs="Times New Roman" w:eastAsia="Times New Roman" w:hint="default"/>
        </w:rPr>
        <w:t>3</w:t>
      </w:r>
      <w:r>
        <w:rPr/>
        <w:t>、衍生金融资产</w:t>
      </w:r>
      <w:r>
        <w:rPr>
          <w:b w:val="0"/>
          <w:bCs w:val="0"/>
        </w:rPr>
      </w:r>
    </w:p>
    <w:p>
      <w:pPr>
        <w:pStyle w:val="BodyText"/>
        <w:spacing w:line="240" w:lineRule="auto" w:before="127"/>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25"/>
        <w:jc w:val="left"/>
        <w:rPr>
          <w:b w:val="0"/>
          <w:bCs w:val="0"/>
        </w:rPr>
      </w:pPr>
      <w:r>
        <w:rPr>
          <w:rFonts w:ascii="Times New Roman" w:hAnsi="Times New Roman" w:cs="Times New Roman" w:eastAsia="Times New Roman" w:hint="default"/>
        </w:rPr>
        <w:t>4</w:t>
      </w:r>
      <w:r>
        <w:rPr/>
        <w:t>、应收票据</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）应收票据分类列示</w:t>
      </w:r>
      <w:r>
        <w:rPr>
          <w:rFonts w:ascii="Microsoft JhengHei" w:hAnsi="Microsoft JhengHei" w:cs="Microsoft JhengHei" w:eastAsia="Microsoft JhengHei" w:hint="default"/>
          <w:sz w:val="24"/>
          <w:szCs w:val="24"/>
        </w:rPr>
      </w:r>
    </w:p>
    <w:p>
      <w:pPr>
        <w:spacing w:before="152"/>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1,677,500.00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428,000.00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1,677,500.00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428,000.00</w:t>
            </w:r>
          </w:p>
        </w:tc>
      </w:tr>
    </w:tbl>
    <w:p>
      <w:pPr>
        <w:spacing w:after="0" w:line="240" w:lineRule="auto"/>
        <w:jc w:val="center"/>
        <w:rPr>
          <w:rFonts w:ascii="Calibri" w:hAnsi="Calibri" w:cs="Calibri" w:eastAsia="Calibri" w:hint="default"/>
          <w:sz w:val="21"/>
          <w:szCs w:val="21"/>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025"/>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pStyle w:val="BodyText"/>
        <w:spacing w:line="240" w:lineRule="auto" w:before="126"/>
        <w:ind w:left="1101" w:right="2025"/>
        <w:jc w:val="left"/>
      </w:pPr>
      <w:r>
        <w:rPr/>
        <w:t>无</w:t>
      </w:r>
    </w:p>
    <w:p>
      <w:pPr>
        <w:pStyle w:val="Heading2"/>
        <w:spacing w:line="312" w:lineRule="auto" w:before="77"/>
        <w:ind w:right="202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spacing w:val="-37"/>
        </w:rPr>
        <w:t> </w:t>
      </w:r>
      <w:r>
        <w:rPr>
          <w:spacing w:val="-37"/>
        </w:rPr>
      </w:r>
      <w:r>
        <w:rPr>
          <w:rFonts w:ascii="宋体" w:hAnsi="宋体" w:cs="宋体" w:eastAsia="宋体" w:hint="default"/>
          <w:b w:val="0"/>
          <w:bCs w:val="0"/>
        </w:rPr>
        <w:t>无</w:t>
      </w:r>
    </w:p>
    <w:p>
      <w:pPr>
        <w:spacing w:line="312" w:lineRule="auto" w:before="5"/>
        <w:ind w:left="1101" w:right="322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）期末公司因出票人未履约而将其转应收账款的票据</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无</w:t>
      </w:r>
    </w:p>
    <w:p>
      <w:pPr>
        <w:spacing w:before="5"/>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spacing w:before="50"/>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）应收账款分类披露</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418"/>
        <w:gridCol w:w="980"/>
        <w:gridCol w:w="761"/>
        <w:gridCol w:w="763"/>
        <w:gridCol w:w="761"/>
        <w:gridCol w:w="790"/>
        <w:gridCol w:w="655"/>
        <w:gridCol w:w="761"/>
        <w:gridCol w:w="910"/>
        <w:gridCol w:w="835"/>
        <w:gridCol w:w="934"/>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326" w:hRule="exact"/>
        </w:trPr>
        <w:tc>
          <w:tcPr>
            <w:tcW w:w="1418" w:type="dxa"/>
            <w:vMerge/>
            <w:tcBorders>
              <w:left w:val="single" w:sz="4" w:space="0" w:color="000000"/>
              <w:right w:val="single" w:sz="4" w:space="0" w:color="000000"/>
            </w:tcBorders>
            <w:shd w:val="clear" w:color="auto" w:fill="D2D2D2"/>
          </w:tcPr>
          <w:p>
            <w:pP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5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63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例</w:t>
            </w:r>
            <w:r>
              <w:rPr>
                <w:rFonts w:ascii="Microsoft JhengHei" w:hAnsi="Microsoft JhengHei" w:cs="Microsoft JhengHei" w:eastAsia="Microsoft JhengHei" w:hint="default"/>
                <w:sz w:val="18"/>
                <w:szCs w:val="18"/>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计提比例</w:t>
            </w:r>
            <w:r>
              <w:rPr>
                <w:rFonts w:ascii="Microsoft JhengHei" w:hAnsi="Microsoft JhengHei" w:cs="Microsoft JhengHei" w:eastAsia="Microsoft JhengHei" w:hint="default"/>
                <w:sz w:val="18"/>
                <w:szCs w:val="18"/>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71" w:right="7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211,630,812</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46,845,5</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49.55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Times New Roman" w:hAnsi="Times New Roman" w:cs="Times New Roman" w:eastAsia="Times New Roman" w:hint="default"/>
                <w:sz w:val="18"/>
                <w:szCs w:val="18"/>
              </w:rPr>
            </w:pPr>
            <w:r>
              <w:rPr>
                <w:rFonts w:ascii="Times New Roman"/>
                <w:sz w:val="18"/>
              </w:rPr>
              <w:t>22.14%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164,785,2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62.74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179,630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,715.42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5" w:right="0"/>
              <w:jc w:val="left"/>
              <w:rPr>
                <w:rFonts w:ascii="Times New Roman" w:hAnsi="Times New Roman" w:cs="Times New Roman" w:eastAsia="Times New Roman" w:hint="default"/>
                <w:sz w:val="18"/>
                <w:szCs w:val="18"/>
              </w:rPr>
            </w:pPr>
            <w:r>
              <w:rPr>
                <w:rFonts w:ascii="Times New Roman"/>
                <w:sz w:val="18"/>
              </w:rPr>
              <w:t>99.71%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40,039,026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4" w:right="0"/>
              <w:jc w:val="left"/>
              <w:rPr>
                <w:rFonts w:ascii="Times New Roman" w:hAnsi="Times New Roman" w:cs="Times New Roman" w:eastAsia="Times New Roman" w:hint="default"/>
                <w:sz w:val="18"/>
                <w:szCs w:val="18"/>
              </w:rPr>
            </w:pPr>
            <w:r>
              <w:rPr>
                <w:rFonts w:ascii="Times New Roman"/>
                <w:sz w:val="18"/>
              </w:rPr>
              <w:t>22.29%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139,591,68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8.69</w:t>
            </w:r>
          </w:p>
        </w:tc>
      </w:tr>
      <w:tr>
        <w:trPr>
          <w:trHeight w:val="94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1" w:right="74"/>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98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526,685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1" w:right="0"/>
              <w:jc w:val="left"/>
              <w:rPr>
                <w:rFonts w:ascii="Times New Roman" w:hAnsi="Times New Roman" w:cs="Times New Roman" w:eastAsia="Times New Roman" w:hint="default"/>
                <w:sz w:val="18"/>
                <w:szCs w:val="18"/>
              </w:rPr>
            </w:pPr>
            <w:r>
              <w:rPr>
                <w:rFonts w:ascii="Times New Roman"/>
                <w:sz w:val="18"/>
              </w:rPr>
              <w:t>0.29%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526,685.42</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88" w:right="0"/>
              <w:jc w:val="lef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211,630,812</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.29</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46,845,5</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49.55</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164,785,2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62.74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180,157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,400.84</w:t>
            </w:r>
          </w:p>
        </w:tc>
        <w:tc>
          <w:tcPr>
            <w:tcW w:w="76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40,565,712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.15</w:t>
            </w:r>
          </w:p>
        </w:tc>
        <w:tc>
          <w:tcPr>
            <w:tcW w:w="835"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139,591,68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8.69</w:t>
            </w:r>
          </w:p>
        </w:tc>
      </w:tr>
    </w:tbl>
    <w:p>
      <w:pPr>
        <w:pStyle w:val="BodyText"/>
        <w:spacing w:line="240" w:lineRule="auto" w:before="39"/>
        <w:ind w:left="1101" w:right="2025"/>
        <w:jc w:val="left"/>
      </w:pPr>
      <w:r>
        <w:rPr/>
        <w:t>期末单项金额重大并单项计提坏账准备的应收账款：</w:t>
      </w:r>
    </w:p>
    <w:p>
      <w:pPr>
        <w:pStyle w:val="BodyText"/>
        <w:spacing w:line="326" w:lineRule="auto" w:before="154"/>
        <w:ind w:left="1101" w:right="3945"/>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组合中，按账龄分析法计提坏账准备的应收账款：</w:t>
      </w:r>
    </w:p>
    <w:p>
      <w:pPr>
        <w:pStyle w:val="BodyText"/>
        <w:spacing w:line="240" w:lineRule="auto" w:before="67"/>
        <w:ind w:left="110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8"/>
        <w:rPr>
          <w:rFonts w:ascii="宋体" w:hAnsi="宋体" w:cs="宋体" w:eastAsia="宋体" w:hint="default"/>
          <w:sz w:val="8"/>
          <w:szCs w:val="8"/>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2391"/>
        <w:gridCol w:w="2393"/>
        <w:gridCol w:w="2393"/>
        <w:gridCol w:w="2391"/>
      </w:tblGrid>
      <w:tr>
        <w:trPr>
          <w:trHeight w:val="32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3"/>
              <w:jc w:val="center"/>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1</w:t>
            </w:r>
            <w:r>
              <w:rPr>
                <w:rFonts w:ascii="Calibri" w:hAnsi="Calibri" w:cs="Calibri" w:eastAsia="Calibri" w:hint="default"/>
                <w:b/>
                <w:bCs/>
                <w:spacing w:val="10"/>
                <w:sz w:val="21"/>
                <w:szCs w:val="21"/>
              </w:rPr>
              <w:t> </w:t>
            </w:r>
            <w:r>
              <w:rPr>
                <w:rFonts w:ascii="Microsoft JhengHei" w:hAnsi="Microsoft JhengHei" w:cs="Microsoft JhengHei" w:eastAsia="Microsoft JhengHei" w:hint="default"/>
                <w:b/>
                <w:bCs/>
                <w:sz w:val="21"/>
                <w:szCs w:val="21"/>
              </w:rPr>
              <w:t>年以内分项</w:t>
            </w:r>
            <w:r>
              <w:rPr>
                <w:rFonts w:ascii="Microsoft JhengHei" w:hAnsi="Microsoft JhengHei" w:cs="Microsoft JhengHei" w:eastAsia="Microsoft JhengHei" w:hint="default"/>
                <w:sz w:val="21"/>
                <w:szCs w:val="21"/>
              </w:rPr>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140,968,628.49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7,048,431.42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30,931,812.02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6,186,362.40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12,239,232.11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6,119,616.06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27,491,139.67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27,491,139.67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211,630,812.29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46,845,549.55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bl>
    <w:p>
      <w:pPr>
        <w:pStyle w:val="BodyText"/>
        <w:spacing w:line="357" w:lineRule="auto" w:before="39"/>
        <w:ind w:left="1582" w:right="2984"/>
        <w:jc w:val="left"/>
      </w:pPr>
      <w:r>
        <w:rPr/>
        <w:t>确定该组合依据的说明： 组合中，采用余额百分比法计提坏账准备的应收账款：</w:t>
      </w:r>
    </w:p>
    <w:p>
      <w:pPr>
        <w:spacing w:after="0" w:line="357" w:lineRule="auto"/>
        <w:jc w:val="left"/>
        <w:sectPr>
          <w:footerReference w:type="default" r:id="rId50"/>
          <w:pgSz w:w="11910" w:h="16840"/>
          <w:pgMar w:footer="1085" w:header="884" w:top="1300" w:bottom="1280" w:left="1080" w:right="480"/>
        </w:sectPr>
      </w:pPr>
    </w:p>
    <w:p>
      <w:pPr>
        <w:spacing w:line="240" w:lineRule="auto" w:before="7"/>
        <w:rPr>
          <w:rFonts w:ascii="宋体" w:hAnsi="宋体" w:cs="宋体" w:eastAsia="宋体" w:hint="default"/>
          <w:sz w:val="10"/>
          <w:szCs w:val="10"/>
        </w:rPr>
      </w:pPr>
    </w:p>
    <w:p>
      <w:pPr>
        <w:pStyle w:val="BodyText"/>
        <w:spacing w:line="326" w:lineRule="auto" w:before="26"/>
        <w:ind w:left="1582" w:right="3344"/>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2"/>
        </w:rPr>
        <w:t> </w:t>
      </w:r>
      <w:r>
        <w:rPr/>
        <w:t>不适用</w:t>
      </w:r>
      <w:r>
        <w:rPr>
          <w:w w:val="99"/>
        </w:rPr>
        <w:t> </w:t>
      </w:r>
      <w:r>
        <w:rPr/>
        <w:t>组合中，采用其他方法计提坏账准备的应收账款</w:t>
      </w:r>
    </w:p>
    <w:p>
      <w:pPr>
        <w:pStyle w:val="BodyText"/>
        <w:spacing w:line="240" w:lineRule="auto" w:before="67"/>
        <w:ind w:left="1582"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pStyle w:val="Heading2"/>
        <w:spacing w:line="240" w:lineRule="auto" w:before="47"/>
        <w:ind w:right="22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26"/>
        <w:ind w:left="1582" w:right="225"/>
        <w:jc w:val="left"/>
      </w:pPr>
      <w:r>
        <w:rPr/>
        <w:t>本期计提坏账准备金额</w:t>
      </w:r>
      <w:r>
        <w:rPr>
          <w:spacing w:val="-63"/>
        </w:rPr>
        <w:t> </w:t>
      </w:r>
      <w:r>
        <w:rPr>
          <w:rFonts w:ascii="Calibri" w:hAnsi="Calibri" w:cs="Calibri" w:eastAsia="Calibri" w:hint="default"/>
        </w:rPr>
        <w:t>4,502,856.42</w:t>
      </w:r>
      <w:r>
        <w:rPr>
          <w:rFonts w:ascii="Calibri" w:hAnsi="Calibri" w:cs="Calibri" w:eastAsia="Calibri" w:hint="default"/>
          <w:spacing w:val="4"/>
        </w:rPr>
        <w:t> </w:t>
      </w:r>
      <w:r>
        <w:rPr/>
        <w:t>元；本期收回或转回坏账准备金额</w:t>
      </w:r>
    </w:p>
    <w:p>
      <w:pPr>
        <w:pStyle w:val="BodyText"/>
        <w:spacing w:line="240" w:lineRule="auto" w:before="123"/>
        <w:ind w:left="1101" w:right="225"/>
        <w:jc w:val="left"/>
      </w:pPr>
      <w:r>
        <w:rPr>
          <w:rFonts w:ascii="Calibri" w:hAnsi="Calibri" w:cs="Calibri" w:eastAsia="Calibri" w:hint="default"/>
        </w:rPr>
        <w:t>887,410.18</w:t>
      </w:r>
      <w:r>
        <w:rPr>
          <w:rFonts w:ascii="Calibri" w:hAnsi="Calibri" w:cs="Calibri" w:eastAsia="Calibri" w:hint="default"/>
          <w:spacing w:val="6"/>
        </w:rPr>
        <w:t> </w:t>
      </w:r>
      <w:r>
        <w:rPr/>
        <w:t>元。</w:t>
      </w:r>
    </w:p>
    <w:p>
      <w:pPr>
        <w:pStyle w:val="Heading2"/>
        <w:spacing w:line="312" w:lineRule="auto" w:before="47"/>
        <w:ind w:right="514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）本期实际核销的应收账款情况</w:t>
      </w:r>
      <w:r>
        <w:rPr>
          <w:spacing w:val="-49"/>
        </w:rPr>
        <w:t> </w:t>
      </w:r>
      <w:r>
        <w:rPr>
          <w:spacing w:val="-49"/>
        </w:rPr>
      </w:r>
      <w:r>
        <w:rPr>
          <w:rFonts w:ascii="宋体" w:hAnsi="宋体" w:cs="宋体" w:eastAsia="宋体" w:hint="default"/>
          <w:b w:val="0"/>
          <w:bCs w:val="0"/>
        </w:rPr>
        <w:t>无</w:t>
      </w:r>
    </w:p>
    <w:p>
      <w:pPr>
        <w:spacing w:line="312" w:lineRule="auto" w:before="6"/>
        <w:ind w:left="1582" w:right="267"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）按欠款方归集的期末余额前五名的应收账款情况</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本期按欠款方归集的期末余额前五名应收账款汇总金额</w:t>
      </w:r>
      <w:r>
        <w:rPr>
          <w:rFonts w:ascii="Calibri" w:hAnsi="Calibri" w:cs="Calibri" w:eastAsia="Calibri" w:hint="default"/>
          <w:sz w:val="24"/>
          <w:szCs w:val="24"/>
        </w:rPr>
        <w:t>26,885,142.00</w:t>
      </w:r>
      <w:r>
        <w:rPr>
          <w:rFonts w:ascii="宋体" w:hAnsi="宋体" w:cs="宋体" w:eastAsia="宋体" w:hint="default"/>
          <w:sz w:val="24"/>
          <w:szCs w:val="24"/>
        </w:rPr>
        <w:t>元，占应</w:t>
      </w:r>
    </w:p>
    <w:p>
      <w:pPr>
        <w:pStyle w:val="BodyText"/>
        <w:spacing w:line="240" w:lineRule="auto" w:before="35"/>
        <w:ind w:left="1101" w:right="225"/>
        <w:jc w:val="left"/>
      </w:pPr>
      <w:r>
        <w:rPr/>
        <w:t>收账款期末余额合计数的比例</w:t>
      </w:r>
      <w:r>
        <w:rPr>
          <w:rFonts w:ascii="Calibri" w:hAnsi="Calibri" w:cs="Calibri" w:eastAsia="Calibri" w:hint="default"/>
        </w:rPr>
        <w:t>12.70%</w:t>
      </w:r>
      <w:r>
        <w:rPr/>
        <w:t>，相应计提的坏账准备期末余额汇总金额</w:t>
      </w:r>
    </w:p>
    <w:p>
      <w:pPr>
        <w:pStyle w:val="BodyText"/>
        <w:spacing w:line="240" w:lineRule="auto" w:before="123"/>
        <w:ind w:left="1101" w:right="225"/>
        <w:jc w:val="left"/>
      </w:pPr>
      <w:r>
        <w:rPr>
          <w:rFonts w:ascii="Calibri" w:hAnsi="Calibri" w:cs="Calibri" w:eastAsia="Calibri" w:hint="default"/>
        </w:rPr>
        <w:t>5,488,342.50</w:t>
      </w:r>
      <w:r>
        <w:rPr/>
        <w:t>元。</w:t>
      </w:r>
    </w:p>
    <w:p>
      <w:pPr>
        <w:pStyle w:val="Heading2"/>
        <w:spacing w:line="312" w:lineRule="auto" w:before="47"/>
        <w:ind w:right="3985"/>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）因金融资产转移而终止确认的应收账款</w:t>
      </w:r>
      <w:r>
        <w:rPr>
          <w:spacing w:val="-45"/>
        </w:rPr>
        <w:t> </w:t>
      </w:r>
      <w:r>
        <w:rPr>
          <w:spacing w:val="-45"/>
        </w:rPr>
      </w:r>
      <w:r>
        <w:rPr>
          <w:rFonts w:ascii="宋体" w:hAnsi="宋体" w:cs="宋体" w:eastAsia="宋体" w:hint="default"/>
          <w:b w:val="0"/>
          <w:bCs w:val="0"/>
        </w:rPr>
        <w:t>无</w:t>
      </w:r>
    </w:p>
    <w:p>
      <w:pPr>
        <w:spacing w:line="312" w:lineRule="auto" w:before="5"/>
        <w:ind w:left="1101" w:right="302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）转移应收账款且继续涉入形成的资产、负债金额</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无</w:t>
      </w:r>
    </w:p>
    <w:p>
      <w:pPr>
        <w:spacing w:before="5"/>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、预付款项</w:t>
      </w:r>
      <w:r>
        <w:rPr>
          <w:rFonts w:ascii="Microsoft JhengHei" w:hAnsi="Microsoft JhengHei" w:cs="Microsoft JhengHei" w:eastAsia="Microsoft JhengHei" w:hint="default"/>
          <w:sz w:val="24"/>
          <w:szCs w:val="24"/>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）预付款项按账龄列示</w:t>
      </w:r>
      <w:r>
        <w:rPr>
          <w:rFonts w:ascii="Microsoft JhengHei" w:hAnsi="Microsoft JhengHei" w:cs="Microsoft JhengHei" w:eastAsia="Microsoft JhengHei" w:hint="default"/>
          <w:sz w:val="24"/>
          <w:szCs w:val="24"/>
        </w:rPr>
      </w:r>
    </w:p>
    <w:p>
      <w:pPr>
        <w:spacing w:before="152"/>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2" w:hRule="exact"/>
        </w:trPr>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839"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5,449,549.61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88.63%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29,404,123.99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98.25%</w:t>
            </w: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629,470.15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10.24%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Calibri" w:hAnsi="Calibri" w:cs="Calibri" w:eastAsia="Calibri" w:hint="default"/>
                <w:sz w:val="21"/>
                <w:szCs w:val="21"/>
              </w:rPr>
            </w:pPr>
            <w:r>
              <w:rPr>
                <w:rFonts w:ascii="Calibri"/>
                <w:sz w:val="21"/>
              </w:rPr>
              <w:t>476,780.89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1.59%</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30,685.00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20,090.00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0.07%</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39,267.00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0.64%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27,562.50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0.09%</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6,148,971.76</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29,928,557.38</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pStyle w:val="BodyText"/>
        <w:spacing w:line="326" w:lineRule="auto" w:before="126"/>
        <w:ind w:left="1101" w:right="150" w:firstLine="480"/>
        <w:jc w:val="left"/>
      </w:pPr>
      <w:r>
        <w:rPr/>
        <w:t>本期按预付对象归集的期末余额前五名预付款项汇总金额</w:t>
      </w:r>
      <w:r>
        <w:rPr>
          <w:rFonts w:ascii="Calibri" w:hAnsi="Calibri" w:cs="Calibri" w:eastAsia="Calibri" w:hint="default"/>
        </w:rPr>
        <w:t>3,051,510.00</w:t>
      </w:r>
      <w:r>
        <w:rPr/>
        <w:t>元，占预 付款项期末余额合计数的比例</w:t>
      </w:r>
      <w:r>
        <w:rPr>
          <w:rFonts w:ascii="Calibri" w:hAnsi="Calibri" w:cs="Calibri" w:eastAsia="Calibri" w:hint="default"/>
        </w:rPr>
        <w:t>49.63%</w:t>
      </w:r>
      <w:r>
        <w:rPr/>
        <w:t>。</w:t>
      </w:r>
    </w:p>
    <w:p>
      <w:pPr>
        <w:pStyle w:val="Heading2"/>
        <w:spacing w:line="359" w:lineRule="exact"/>
        <w:ind w:right="225"/>
        <w:jc w:val="left"/>
        <w:rPr>
          <w:b w:val="0"/>
          <w:bCs w:val="0"/>
        </w:rPr>
      </w:pPr>
      <w:r>
        <w:rPr>
          <w:rFonts w:ascii="Times New Roman" w:hAnsi="Times New Roman" w:cs="Times New Roman" w:eastAsia="Times New Roman" w:hint="default"/>
        </w:rPr>
        <w:t>7</w:t>
      </w:r>
      <w:r>
        <w:rPr/>
        <w:t>、应收利息</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）应收利息分类</w:t>
      </w:r>
      <w:r>
        <w:rPr>
          <w:rFonts w:ascii="Microsoft JhengHei" w:hAnsi="Microsoft JhengHei" w:cs="Microsoft JhengHei" w:eastAsia="Microsoft JhengHei" w:hint="default"/>
          <w:sz w:val="24"/>
          <w:szCs w:val="24"/>
        </w:rPr>
      </w:r>
    </w:p>
    <w:p>
      <w:pPr>
        <w:spacing w:before="152"/>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footerReference w:type="default" r:id="rId51"/>
          <w:pgSz w:w="11910" w:h="16840"/>
          <w:pgMar w:footer="1085" w:header="884" w:top="1300" w:bottom="1280" w:left="1080" w:right="840"/>
          <w:pgNumType w:start="141"/>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2,025,024.54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1,063,112.52</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2,025,024.54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1,063,112.52</w:t>
            </w:r>
          </w:p>
        </w:tc>
      </w:tr>
    </w:tbl>
    <w:p>
      <w:pPr>
        <w:spacing w:before="64"/>
        <w:ind w:left="1041" w:right="585" w:firstLine="0"/>
        <w:jc w:val="left"/>
        <w:rPr>
          <w:rFonts w:ascii="宋体" w:hAnsi="宋体" w:cs="宋体" w:eastAsia="宋体" w:hint="default"/>
          <w:sz w:val="21"/>
          <w:szCs w:val="21"/>
        </w:rPr>
      </w:pPr>
      <w:r>
        <w:rPr>
          <w:rFonts w:ascii="宋体" w:hAnsi="宋体" w:cs="宋体" w:eastAsia="宋体" w:hint="default"/>
          <w:sz w:val="21"/>
          <w:szCs w:val="21"/>
        </w:rPr>
        <w:t>注：定期存款利息为定期存款到期未取本金及利息，本金及利息继续转存到定期存款。</w:t>
      </w:r>
    </w:p>
    <w:p>
      <w:pPr>
        <w:pStyle w:val="Heading2"/>
        <w:spacing w:line="312" w:lineRule="auto" w:before="91"/>
        <w:ind w:right="7905"/>
        <w:jc w:val="left"/>
        <w:rPr>
          <w:rFonts w:ascii="宋体" w:hAnsi="宋体" w:cs="宋体" w:eastAsia="宋体" w:hint="default"/>
          <w:b w:val="0"/>
          <w:bCs w:val="0"/>
        </w:rPr>
      </w:pPr>
      <w:r>
        <w:rPr>
          <w:rFonts w:ascii="Times New Roman" w:hAnsi="Times New Roman" w:cs="Times New Roman" w:eastAsia="Times New Roman" w:hint="default"/>
        </w:rPr>
        <w:t>8</w:t>
      </w:r>
      <w:r>
        <w:rPr/>
        <w:t>、应收股利</w:t>
      </w:r>
      <w:r>
        <w:rPr>
          <w:spacing w:val="-56"/>
        </w:rPr>
        <w:t> </w:t>
      </w:r>
      <w:r>
        <w:rPr>
          <w:spacing w:val="-56"/>
        </w:rPr>
      </w:r>
      <w:r>
        <w:rPr>
          <w:rFonts w:ascii="宋体" w:hAnsi="宋体" w:cs="宋体" w:eastAsia="宋体" w:hint="default"/>
          <w:b w:val="0"/>
          <w:bCs w:val="0"/>
        </w:rPr>
        <w:t>无</w:t>
      </w:r>
    </w:p>
    <w:p>
      <w:pPr>
        <w:spacing w:before="5"/>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9</w:t>
      </w:r>
      <w:r>
        <w:rPr>
          <w:rFonts w:ascii="Microsoft JhengHei" w:hAnsi="Microsoft JhengHei" w:cs="Microsoft JhengHei" w:eastAsia="Microsoft JhengHei" w:hint="default"/>
          <w:b/>
          <w:bCs/>
          <w:sz w:val="24"/>
          <w:szCs w:val="24"/>
        </w:rPr>
        <w:t>、其他应收款</w:t>
      </w:r>
      <w:r>
        <w:rPr>
          <w:rFonts w:ascii="Microsoft JhengHei" w:hAnsi="Microsoft JhengHei" w:cs="Microsoft JhengHei" w:eastAsia="Microsoft JhengHei" w:hint="default"/>
          <w:sz w:val="24"/>
          <w:szCs w:val="24"/>
        </w:rPr>
      </w:r>
    </w:p>
    <w:p>
      <w:pPr>
        <w:spacing w:before="50"/>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）其他应收款分类披露</w:t>
      </w:r>
      <w:r>
        <w:rPr>
          <w:rFonts w:ascii="Microsoft JhengHei" w:hAnsi="Microsoft JhengHei" w:cs="Microsoft JhengHei" w:eastAsia="Microsoft JhengHei" w:hint="default"/>
          <w:sz w:val="24"/>
          <w:szCs w:val="24"/>
        </w:rPr>
      </w:r>
    </w:p>
    <w:p>
      <w:pPr>
        <w:spacing w:before="152"/>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634"/>
        <w:gridCol w:w="764"/>
        <w:gridCol w:w="761"/>
        <w:gridCol w:w="763"/>
        <w:gridCol w:w="761"/>
        <w:gridCol w:w="790"/>
        <w:gridCol w:w="655"/>
        <w:gridCol w:w="761"/>
        <w:gridCol w:w="814"/>
        <w:gridCol w:w="931"/>
        <w:gridCol w:w="934"/>
      </w:tblGrid>
      <w:tr>
        <w:trPr>
          <w:trHeight w:val="31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32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5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63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例</w:t>
            </w:r>
            <w:r>
              <w:rPr>
                <w:rFonts w:ascii="Microsoft JhengHei" w:hAnsi="Microsoft JhengHei" w:cs="Microsoft JhengHei" w:eastAsia="Microsoft JhengHei" w:hint="default"/>
                <w:sz w:val="18"/>
                <w:szCs w:val="18"/>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计提比例</w:t>
            </w:r>
            <w:r>
              <w:rPr>
                <w:rFonts w:ascii="Microsoft JhengHei" w:hAnsi="Microsoft JhengHei" w:cs="Microsoft JhengHei" w:eastAsia="Microsoft JhengHei" w:hint="default"/>
                <w:sz w:val="18"/>
                <w:szCs w:val="18"/>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29,456,1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00.33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8"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10,617,6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66.16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75" w:right="0"/>
              <w:jc w:val="left"/>
              <w:rPr>
                <w:rFonts w:ascii="Times New Roman" w:hAnsi="Times New Roman" w:cs="Times New Roman" w:eastAsia="Times New Roman" w:hint="default"/>
                <w:sz w:val="18"/>
                <w:szCs w:val="18"/>
              </w:rPr>
            </w:pPr>
            <w:r>
              <w:rPr>
                <w:rFonts w:ascii="Times New Roman"/>
                <w:sz w:val="18"/>
              </w:rPr>
              <w:t>36.05%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18,838,43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379.62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7"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8,743,910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43" w:right="0"/>
              <w:jc w:val="left"/>
              <w:rPr>
                <w:rFonts w:ascii="Times New Roman" w:hAnsi="Times New Roman" w:cs="Times New Roman" w:eastAsia="Times New Roman" w:hint="default"/>
                <w:sz w:val="18"/>
                <w:szCs w:val="18"/>
              </w:rPr>
            </w:pPr>
            <w:r>
              <w:rPr>
                <w:rFonts w:ascii="Times New Roman"/>
                <w:sz w:val="18"/>
              </w:rPr>
              <w:t>36.89%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14,956,469.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63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29,456,1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00.33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 w:right="0"/>
              <w:jc w:val="left"/>
              <w:rPr>
                <w:rFonts w:ascii="Times New Roman" w:hAnsi="Times New Roman" w:cs="Times New Roman" w:eastAsia="Times New Roman" w:hint="default"/>
                <w:sz w:val="18"/>
                <w:szCs w:val="18"/>
              </w:rPr>
            </w:pPr>
            <w:r>
              <w:rPr>
                <w:rFonts w:ascii="Times New Roman"/>
                <w:sz w:val="18"/>
              </w:rPr>
              <w:t>10,617,6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66.16</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18,838,43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4.17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left"/>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379.62</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8,743,910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14,956,469.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240" w:lineRule="auto" w:before="39"/>
        <w:ind w:left="821" w:right="2025"/>
        <w:jc w:val="left"/>
      </w:pPr>
      <w:r>
        <w:rPr/>
        <w:t>期末单项金额重大并单项计提坏账准备的其他应收款：</w:t>
      </w:r>
    </w:p>
    <w:p>
      <w:pPr>
        <w:pStyle w:val="BodyText"/>
        <w:spacing w:line="326" w:lineRule="auto" w:before="154"/>
        <w:ind w:left="821" w:right="3985"/>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组合中，按账龄分析法计提坏账准备的其他应收款：</w:t>
      </w:r>
    </w:p>
    <w:p>
      <w:pPr>
        <w:pStyle w:val="BodyText"/>
        <w:spacing w:line="240" w:lineRule="auto" w:before="67"/>
        <w:ind w:left="82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8"/>
        <w:rPr>
          <w:rFonts w:ascii="宋体" w:hAnsi="宋体" w:cs="宋体" w:eastAsia="宋体" w:hint="default"/>
          <w:sz w:val="8"/>
          <w:szCs w:val="8"/>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2391"/>
        <w:gridCol w:w="2393"/>
        <w:gridCol w:w="2393"/>
        <w:gridCol w:w="2391"/>
      </w:tblGrid>
      <w:tr>
        <w:trPr>
          <w:trHeight w:val="32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32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一年以内分项</w:t>
            </w:r>
            <w:r>
              <w:rPr>
                <w:rFonts w:ascii="Microsoft JhengHei" w:hAnsi="Microsoft JhengHei" w:cs="Microsoft JhengHei" w:eastAsia="Microsoft JhengHei" w:hint="default"/>
                <w:sz w:val="21"/>
                <w:szCs w:val="21"/>
              </w:rPr>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15,104,638.83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755,231.94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4,032,861.20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806,572.22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2,525,476.60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1,262,738.30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7,793,123.70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7,793,123.70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29,456,100.33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10,617,666.16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bl>
    <w:p>
      <w:pPr>
        <w:pStyle w:val="BodyText"/>
        <w:spacing w:line="240" w:lineRule="auto" w:before="39"/>
        <w:ind w:left="821" w:right="2025"/>
        <w:jc w:val="left"/>
      </w:pPr>
      <w:r>
        <w:rPr/>
        <w:t>组合中，采用余额百分比法计提坏账准备的其他应收款：</w:t>
      </w:r>
    </w:p>
    <w:p>
      <w:pPr>
        <w:pStyle w:val="BodyText"/>
        <w:spacing w:line="326" w:lineRule="auto" w:before="154"/>
        <w:ind w:left="821" w:right="3985"/>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组合中，采用其他方法计提坏账准备的其他应收款：</w:t>
      </w:r>
    </w:p>
    <w:p>
      <w:pPr>
        <w:pStyle w:val="BodyText"/>
        <w:spacing w:line="240" w:lineRule="auto" w:before="67"/>
        <w:ind w:left="82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pgSz w:w="11910" w:h="16840"/>
          <w:pgMar w:header="884" w:footer="1085" w:top="1300" w:bottom="1280" w:left="1080" w:right="48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26"/>
        <w:ind w:left="1221" w:right="225"/>
        <w:jc w:val="left"/>
        <w:rPr>
          <w:rFonts w:ascii="Calibri" w:hAnsi="Calibri" w:cs="Calibri" w:eastAsia="Calibri" w:hint="default"/>
        </w:rPr>
      </w:pPr>
      <w:r>
        <w:rPr/>
        <w:t>本期计提坏账准备金额</w:t>
      </w:r>
      <w:r>
        <w:rPr>
          <w:spacing w:val="-62"/>
        </w:rPr>
        <w:t> </w:t>
      </w:r>
      <w:r>
        <w:rPr>
          <w:rFonts w:ascii="Calibri" w:hAnsi="Calibri" w:cs="Calibri" w:eastAsia="Calibri" w:hint="default"/>
        </w:rPr>
        <w:t>1,051,712.36</w:t>
      </w:r>
      <w:r>
        <w:rPr>
          <w:rFonts w:ascii="Calibri" w:hAnsi="Calibri" w:cs="Calibri" w:eastAsia="Calibri" w:hint="default"/>
          <w:spacing w:val="5"/>
        </w:rPr>
        <w:t> </w:t>
      </w:r>
      <w:r>
        <w:rPr/>
        <w:t>元；本期收回或转回坏账准备金额</w:t>
      </w:r>
      <w:r>
        <w:rPr>
          <w:spacing w:val="-62"/>
        </w:rPr>
        <w:t> </w:t>
      </w:r>
      <w:r>
        <w:rPr>
          <w:rFonts w:ascii="Calibri" w:hAnsi="Calibri" w:cs="Calibri" w:eastAsia="Calibri" w:hint="default"/>
        </w:rPr>
        <w:t>45,249.47</w:t>
      </w:r>
    </w:p>
    <w:p>
      <w:pPr>
        <w:pStyle w:val="BodyText"/>
        <w:spacing w:line="240" w:lineRule="auto" w:before="123"/>
        <w:ind w:left="622" w:right="225"/>
        <w:jc w:val="left"/>
      </w:pPr>
      <w:r>
        <w:rPr/>
        <w:t>元。</w:t>
      </w:r>
    </w:p>
    <w:p>
      <w:pPr>
        <w:pStyle w:val="Heading2"/>
        <w:spacing w:line="312" w:lineRule="auto" w:before="77"/>
        <w:ind w:right="490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）本期实际核销的其他应收款情况</w:t>
      </w:r>
      <w:r>
        <w:rPr>
          <w:spacing w:val="-47"/>
        </w:rPr>
        <w:t> </w:t>
      </w:r>
      <w:r>
        <w:rPr>
          <w:spacing w:val="-47"/>
        </w:rPr>
      </w:r>
      <w:r>
        <w:rPr>
          <w:rFonts w:ascii="宋体" w:hAnsi="宋体" w:cs="宋体" w:eastAsia="宋体" w:hint="default"/>
          <w:b w:val="0"/>
          <w:bCs w:val="0"/>
        </w:rPr>
        <w:t>无</w:t>
      </w:r>
    </w:p>
    <w:p>
      <w:pPr>
        <w:spacing w:before="5"/>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）其他应收款按款项性质分类情况</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款项性质</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保证金</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15,540,063.51</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14,444,386.80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备用金</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10,749,661.36</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5,424,258.18</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往来款</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1,534,897.55</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2,412,980.50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房租</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1,631,477.91</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1,418,754.14</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29,456,100.33</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23,700,379.62</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673"/>
        <w:gridCol w:w="1397"/>
        <w:gridCol w:w="1534"/>
        <w:gridCol w:w="1534"/>
        <w:gridCol w:w="1534"/>
        <w:gridCol w:w="1534"/>
      </w:tblGrid>
      <w:tr>
        <w:trPr>
          <w:trHeight w:val="946"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款项的性质</w:t>
            </w:r>
            <w:r>
              <w:rPr>
                <w:rFonts w:ascii="Microsoft JhengHei" w:hAnsi="Microsoft JhengHei" w:cs="Microsoft JhengHei" w:eastAsia="Microsoft JhengHei"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占其他应收款期</w:t>
            </w:r>
            <w:r>
              <w:rPr>
                <w:rFonts w:ascii="Microsoft JhengHei" w:hAnsi="Microsoft JhengHei" w:cs="Microsoft JhengHei" w:eastAsia="Microsoft JhengHei" w:hint="default"/>
                <w:sz w:val="21"/>
                <w:szCs w:val="21"/>
              </w:rPr>
            </w:r>
          </w:p>
          <w:p>
            <w:pPr>
              <w:pStyle w:val="TableParagraph"/>
              <w:spacing w:line="312" w:lineRule="exact" w:before="35"/>
              <w:ind w:left="550" w:right="22" w:hanging="52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末余额合计数的</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655" w:right="21" w:hanging="6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坏账准备期末余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02" w:right="93" w:hanging="209"/>
              <w:jc w:val="left"/>
              <w:rPr>
                <w:rFonts w:ascii="宋体" w:hAnsi="宋体" w:cs="宋体" w:eastAsia="宋体" w:hint="default"/>
                <w:sz w:val="21"/>
                <w:szCs w:val="21"/>
              </w:rPr>
            </w:pPr>
            <w:r>
              <w:rPr>
                <w:rFonts w:ascii="宋体" w:hAnsi="宋体" w:cs="宋体" w:eastAsia="宋体" w:hint="default"/>
                <w:sz w:val="21"/>
                <w:szCs w:val="21"/>
              </w:rPr>
              <w:t>北京东方园林股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房租</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1,359,477.74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4.62%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271,895.55</w:t>
            </w:r>
          </w:p>
        </w:tc>
      </w:tr>
      <w:tr>
        <w:trPr>
          <w:trHeight w:val="32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高剑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1,320,631.00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9" w:right="0"/>
              <w:jc w:val="left"/>
              <w:rPr>
                <w:rFonts w:ascii="Calibri" w:hAnsi="Calibri" w:cs="Calibri" w:eastAsia="Calibri" w:hint="default"/>
                <w:sz w:val="21"/>
                <w:szCs w:val="21"/>
              </w:rPr>
            </w:pPr>
            <w:r>
              <w:rPr>
                <w:rFonts w:ascii="Calibri"/>
                <w:sz w:val="21"/>
              </w:rPr>
              <w:t>4.48%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66,031.55</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7" w:right="93" w:hanging="315"/>
              <w:jc w:val="left"/>
              <w:rPr>
                <w:rFonts w:ascii="宋体" w:hAnsi="宋体" w:cs="宋体" w:eastAsia="宋体" w:hint="default"/>
                <w:sz w:val="21"/>
                <w:szCs w:val="21"/>
              </w:rPr>
            </w:pPr>
            <w:r>
              <w:rPr>
                <w:rFonts w:ascii="宋体" w:hAnsi="宋体" w:cs="宋体" w:eastAsia="宋体" w:hint="default"/>
                <w:sz w:val="21"/>
                <w:szCs w:val="21"/>
              </w:rPr>
              <w:t>中科软科技股份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1,040,050.00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3.53%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52,002.50</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3" w:right="93" w:hanging="420"/>
              <w:jc w:val="left"/>
              <w:rPr>
                <w:rFonts w:ascii="宋体" w:hAnsi="宋体" w:cs="宋体" w:eastAsia="宋体" w:hint="default"/>
                <w:sz w:val="21"/>
                <w:szCs w:val="21"/>
              </w:rPr>
            </w:pPr>
            <w:r>
              <w:rPr>
                <w:rFonts w:ascii="宋体" w:hAnsi="宋体" w:cs="宋体" w:eastAsia="宋体" w:hint="default"/>
                <w:sz w:val="21"/>
                <w:szCs w:val="21"/>
              </w:rPr>
              <w:t>广西鸿雁食品有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540,000.00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1.83%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540,000.00</w:t>
            </w:r>
          </w:p>
        </w:tc>
      </w:tr>
      <w:tr>
        <w:trPr>
          <w:trHeight w:val="63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9" w:right="93" w:hanging="106"/>
              <w:jc w:val="left"/>
              <w:rPr>
                <w:rFonts w:ascii="宋体" w:hAnsi="宋体" w:cs="宋体" w:eastAsia="宋体" w:hint="default"/>
                <w:sz w:val="21"/>
                <w:szCs w:val="21"/>
              </w:rPr>
            </w:pPr>
            <w:r>
              <w:rPr>
                <w:rFonts w:ascii="宋体" w:hAnsi="宋体" w:cs="宋体" w:eastAsia="宋体" w:hint="default"/>
                <w:sz w:val="21"/>
                <w:szCs w:val="21"/>
              </w:rPr>
              <w:t>贵州阳光产权交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易所有限公司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1.70%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500,000.00</w:t>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4,760,158.74</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Calibri" w:hAnsi="Calibri" w:cs="Calibri" w:eastAsia="Calibri" w:hint="default"/>
                <w:sz w:val="21"/>
                <w:szCs w:val="21"/>
              </w:rPr>
            </w:pPr>
            <w:r>
              <w:rPr>
                <w:rFonts w:ascii="Calibri"/>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6" w:right="0"/>
              <w:jc w:val="left"/>
              <w:rPr>
                <w:rFonts w:ascii="Calibri" w:hAnsi="Calibri" w:cs="Calibri" w:eastAsia="Calibri" w:hint="default"/>
                <w:sz w:val="21"/>
                <w:szCs w:val="21"/>
              </w:rPr>
            </w:pPr>
            <w:r>
              <w:rPr>
                <w:rFonts w:ascii="Calibri"/>
                <w:sz w:val="21"/>
              </w:rPr>
              <w:t>16.16%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1,429,929.60</w:t>
            </w:r>
            <w:r>
              <w:rPr>
                <w:rFonts w:ascii="Calibri"/>
                <w:sz w:val="21"/>
              </w:rPr>
            </w:r>
          </w:p>
        </w:tc>
      </w:tr>
    </w:tbl>
    <w:p>
      <w:pPr>
        <w:pStyle w:val="Heading2"/>
        <w:spacing w:line="381" w:lineRule="exact"/>
        <w:ind w:right="225"/>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pStyle w:val="BodyText"/>
        <w:spacing w:line="240" w:lineRule="auto" w:before="126"/>
        <w:ind w:left="1101" w:right="225"/>
        <w:jc w:val="left"/>
      </w:pPr>
      <w:r>
        <w:rPr/>
        <w:t>无</w:t>
      </w:r>
    </w:p>
    <w:p>
      <w:pPr>
        <w:pStyle w:val="Heading2"/>
        <w:spacing w:line="312" w:lineRule="auto" w:before="77"/>
        <w:ind w:right="3745"/>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spacing w:val="-45"/>
        </w:rPr>
        <w:t> </w:t>
      </w:r>
      <w:r>
        <w:rPr>
          <w:spacing w:val="-45"/>
        </w:rPr>
      </w:r>
      <w:r>
        <w:rPr>
          <w:rFonts w:ascii="宋体" w:hAnsi="宋体" w:cs="宋体" w:eastAsia="宋体" w:hint="default"/>
          <w:b w:val="0"/>
          <w:bCs w:val="0"/>
        </w:rPr>
        <w:t>无</w:t>
      </w:r>
    </w:p>
    <w:p>
      <w:pPr>
        <w:spacing w:line="312" w:lineRule="auto" w:before="5"/>
        <w:ind w:left="1101" w:right="286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）转移其他应收款且继续涉入形成的资产、负债金额</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无</w:t>
      </w:r>
    </w:p>
    <w:p>
      <w:pPr>
        <w:spacing w:after="0" w:line="312" w:lineRule="auto"/>
        <w:jc w:val="left"/>
        <w:rPr>
          <w:rFonts w:ascii="宋体" w:hAnsi="宋体" w:cs="宋体" w:eastAsia="宋体" w:hint="default"/>
          <w:sz w:val="24"/>
          <w:szCs w:val="24"/>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、存货</w:t>
      </w:r>
      <w:r>
        <w:rPr>
          <w:rFonts w:ascii="Microsoft JhengHei" w:hAnsi="Microsoft JhengHei" w:cs="Microsoft JhengHei" w:eastAsia="Microsoft JhengHei" w:hint="default"/>
          <w:sz w:val="24"/>
          <w:szCs w:val="24"/>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）存货分类</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318"/>
        <w:gridCol w:w="1318"/>
        <w:gridCol w:w="1313"/>
        <w:gridCol w:w="1316"/>
        <w:gridCol w:w="1313"/>
        <w:gridCol w:w="1316"/>
        <w:gridCol w:w="1313"/>
      </w:tblGrid>
      <w:tr>
        <w:trPr>
          <w:trHeight w:val="322" w:hRule="exact"/>
        </w:trPr>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9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318" w:type="dxa"/>
            <w:vMerge/>
            <w:tcBorders>
              <w:left w:val="single" w:sz="4" w:space="0" w:color="000000"/>
              <w:bottom w:val="single" w:sz="4" w:space="0" w:color="000000"/>
              <w:right w:val="single" w:sz="4" w:space="0" w:color="000000"/>
            </w:tcBorders>
            <w:shd w:val="clear" w:color="auto" w:fill="D2D2D2"/>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8" w:right="0"/>
              <w:jc w:val="center"/>
              <w:rPr>
                <w:rFonts w:ascii="Calibri" w:hAnsi="Calibri" w:cs="Calibri" w:eastAsia="Calibri" w:hint="default"/>
                <w:sz w:val="21"/>
                <w:szCs w:val="21"/>
              </w:rPr>
            </w:pPr>
            <w:r>
              <w:rPr>
                <w:rFonts w:ascii="Calibri"/>
                <w:sz w:val="21"/>
              </w:rPr>
              <w:t>2,776,773.72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2,776,773.72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3,351,025.70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850,043.72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3" w:right="0"/>
              <w:jc w:val="left"/>
              <w:rPr>
                <w:rFonts w:ascii="Calibri" w:hAnsi="Calibri" w:cs="Calibri" w:eastAsia="Calibri" w:hint="default"/>
                <w:sz w:val="21"/>
                <w:szCs w:val="21"/>
              </w:rPr>
            </w:pPr>
            <w:r>
              <w:rPr>
                <w:rFonts w:ascii="Calibri"/>
                <w:sz w:val="21"/>
              </w:rPr>
              <w:t>2,500,981.98</w:t>
            </w:r>
          </w:p>
        </w:tc>
      </w:tr>
      <w:tr>
        <w:trPr>
          <w:trHeight w:val="324" w:hRule="exact"/>
        </w:trPr>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8" w:right="0"/>
              <w:jc w:val="center"/>
              <w:rPr>
                <w:rFonts w:ascii="Calibri" w:hAnsi="Calibri" w:cs="Calibri" w:eastAsia="Calibri" w:hint="default"/>
                <w:sz w:val="21"/>
                <w:szCs w:val="21"/>
              </w:rPr>
            </w:pPr>
            <w:r>
              <w:rPr>
                <w:rFonts w:ascii="Calibri"/>
                <w:sz w:val="21"/>
              </w:rPr>
              <w:t>2,776,773.72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1"/>
                <w:sz w:val="21"/>
              </w:rPr>
              <w:t>2,776,773.72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3,351,025.70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850,043.72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3" w:right="0"/>
              <w:jc w:val="left"/>
              <w:rPr>
                <w:rFonts w:ascii="Calibri" w:hAnsi="Calibri" w:cs="Calibri" w:eastAsia="Calibri" w:hint="default"/>
                <w:sz w:val="21"/>
                <w:szCs w:val="21"/>
              </w:rPr>
            </w:pPr>
            <w:r>
              <w:rPr>
                <w:rFonts w:ascii="Calibri"/>
                <w:sz w:val="21"/>
              </w:rPr>
              <w:t>2,500,981.98</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318"/>
        <w:gridCol w:w="1318"/>
        <w:gridCol w:w="1313"/>
        <w:gridCol w:w="1316"/>
        <w:gridCol w:w="1313"/>
        <w:gridCol w:w="1316"/>
        <w:gridCol w:w="1313"/>
      </w:tblGrid>
      <w:tr>
        <w:trPr>
          <w:trHeight w:val="322" w:hRule="exact"/>
        </w:trPr>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本期减少金额</w:t>
            </w:r>
            <w:r>
              <w:rPr>
                <w:rFonts w:ascii="Microsoft JhengHei" w:hAnsi="Microsoft JhengHei" w:cs="Microsoft JhengHei" w:eastAsia="Microsoft JhengHei" w:hint="default"/>
                <w:sz w:val="21"/>
                <w:szCs w:val="21"/>
              </w:rPr>
            </w:r>
          </w:p>
        </w:tc>
        <w:tc>
          <w:tcPr>
            <w:tcW w:w="13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31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转回或转销</w:t>
            </w:r>
            <w:r>
              <w:rPr>
                <w:rFonts w:ascii="Microsoft JhengHei" w:hAnsi="Microsoft JhengHei" w:cs="Microsoft JhengHei" w:eastAsia="Microsoft JhengHei"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1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850,043.72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891,477.81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-41,434.09</w:t>
            </w: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850,043.72</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891,477.81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-41,434.09</w:t>
            </w:r>
          </w:p>
        </w:tc>
        <w:tc>
          <w:tcPr>
            <w:tcW w:w="13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spacing w:before="36"/>
        <w:ind w:left="622" w:right="225" w:firstLine="0"/>
        <w:jc w:val="left"/>
        <w:rPr>
          <w:rFonts w:ascii="宋体" w:hAnsi="宋体" w:cs="宋体" w:eastAsia="宋体" w:hint="default"/>
          <w:sz w:val="21"/>
          <w:szCs w:val="21"/>
        </w:rPr>
      </w:pPr>
      <w:r>
        <w:rPr>
          <w:rFonts w:ascii="宋体" w:hAnsi="宋体" w:cs="宋体" w:eastAsia="宋体" w:hint="default"/>
          <w:sz w:val="21"/>
          <w:szCs w:val="21"/>
        </w:rPr>
        <w:t>存货跌价准备（续）</w:t>
      </w:r>
    </w:p>
    <w:p>
      <w:pPr>
        <w:spacing w:line="240" w:lineRule="auto" w:before="10"/>
        <w:rPr>
          <w:rFonts w:ascii="宋体" w:hAnsi="宋体" w:cs="宋体" w:eastAsia="宋体" w:hint="default"/>
          <w:sz w:val="23"/>
          <w:szCs w:val="23"/>
        </w:rPr>
      </w:pPr>
    </w:p>
    <w:tbl>
      <w:tblPr>
        <w:tblW w:w="0" w:type="auto"/>
        <w:jc w:val="left"/>
        <w:tblInd w:w="744" w:type="dxa"/>
        <w:tblLayout w:type="fixed"/>
        <w:tblCellMar>
          <w:top w:w="0" w:type="dxa"/>
          <w:left w:w="0" w:type="dxa"/>
          <w:bottom w:w="0" w:type="dxa"/>
          <w:right w:w="0" w:type="dxa"/>
        </w:tblCellMar>
        <w:tblLook w:val="01E0"/>
      </w:tblPr>
      <w:tblGrid>
        <w:gridCol w:w="1606"/>
        <w:gridCol w:w="3023"/>
        <w:gridCol w:w="4458"/>
      </w:tblGrid>
      <w:tr>
        <w:trPr>
          <w:trHeight w:val="40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存货种类</w:t>
            </w:r>
            <w:r>
              <w:rPr>
                <w:rFonts w:ascii="Microsoft JhengHei" w:hAnsi="Microsoft JhengHei" w:cs="Microsoft JhengHei" w:eastAsia="Microsoft JhengHei" w:hint="default"/>
                <w:sz w:val="21"/>
                <w:szCs w:val="21"/>
              </w:rPr>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3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确定可变现净值的具体依据</w:t>
            </w:r>
            <w:r>
              <w:rPr>
                <w:rFonts w:ascii="Microsoft JhengHei" w:hAnsi="Microsoft JhengHei" w:cs="Microsoft JhengHei" w:eastAsia="Microsoft JhengHei" w:hint="default"/>
                <w:sz w:val="21"/>
                <w:szCs w:val="21"/>
              </w:rPr>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本期转回或转销存货跌价准备的原因</w:t>
            </w:r>
            <w:r>
              <w:rPr>
                <w:rFonts w:ascii="Microsoft JhengHei" w:hAnsi="Microsoft JhengHei" w:cs="Microsoft JhengHei" w:eastAsia="Microsoft JhengHei" w:hint="default"/>
                <w:sz w:val="21"/>
                <w:szCs w:val="21"/>
              </w:rPr>
            </w:r>
          </w:p>
        </w:tc>
      </w:tr>
      <w:tr>
        <w:trPr>
          <w:trHeight w:val="40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3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59" w:right="0"/>
              <w:jc w:val="left"/>
              <w:rPr>
                <w:rFonts w:ascii="宋体" w:hAnsi="宋体" w:cs="宋体" w:eastAsia="宋体" w:hint="default"/>
                <w:sz w:val="21"/>
                <w:szCs w:val="21"/>
              </w:rPr>
            </w:pPr>
            <w:r>
              <w:rPr>
                <w:rFonts w:ascii="宋体" w:hAnsi="宋体" w:cs="宋体" w:eastAsia="宋体" w:hint="default"/>
                <w:sz w:val="21"/>
                <w:szCs w:val="21"/>
              </w:rPr>
              <w:t>预计售价减销售费用</w:t>
            </w:r>
          </w:p>
        </w:tc>
        <w:tc>
          <w:tcPr>
            <w:tcW w:w="4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39" w:right="0"/>
              <w:jc w:val="left"/>
              <w:rPr>
                <w:rFonts w:ascii="宋体" w:hAnsi="宋体" w:cs="宋体" w:eastAsia="宋体" w:hint="default"/>
                <w:sz w:val="21"/>
                <w:szCs w:val="21"/>
              </w:rPr>
            </w:pPr>
            <w:r>
              <w:rPr>
                <w:rFonts w:ascii="宋体" w:hAnsi="宋体" w:cs="宋体" w:eastAsia="宋体" w:hint="default"/>
                <w:sz w:val="21"/>
                <w:szCs w:val="21"/>
              </w:rPr>
              <w:t>存货报损</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pStyle w:val="BodyText"/>
        <w:spacing w:line="240" w:lineRule="auto" w:before="127"/>
        <w:ind w:left="1101" w:right="225"/>
        <w:jc w:val="left"/>
      </w:pPr>
      <w:r>
        <w:rPr/>
        <w:t>无</w:t>
      </w:r>
    </w:p>
    <w:p>
      <w:pPr>
        <w:pStyle w:val="Heading2"/>
        <w:spacing w:line="312" w:lineRule="auto" w:before="77"/>
        <w:ind w:left="1104" w:right="3502"/>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）期末建造合同形成的已完工未结算资产情况</w:t>
      </w:r>
      <w:r>
        <w:rPr>
          <w:spacing w:val="-43"/>
        </w:rPr>
        <w:t> </w:t>
      </w:r>
      <w:r>
        <w:rPr>
          <w:spacing w:val="-43"/>
        </w:rPr>
      </w:r>
      <w:r>
        <w:rPr>
          <w:rFonts w:ascii="宋体" w:hAnsi="宋体" w:cs="宋体" w:eastAsia="宋体" w:hint="default"/>
          <w:b w:val="0"/>
          <w:bCs w:val="0"/>
        </w:rPr>
        <w:t>无</w:t>
      </w:r>
    </w:p>
    <w:p>
      <w:pPr>
        <w:spacing w:line="312" w:lineRule="auto" w:before="5"/>
        <w:ind w:left="1104" w:right="598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w:t>
      </w:r>
      <w:r>
        <w:rPr>
          <w:rFonts w:ascii="Microsoft JhengHei" w:hAnsi="Microsoft JhengHei" w:cs="Microsoft JhengHei" w:eastAsia="Microsoft JhengHei" w:hint="default"/>
          <w:b/>
          <w:bCs/>
          <w:sz w:val="24"/>
          <w:szCs w:val="24"/>
        </w:rPr>
        <w:t>、划分为持有待售的资产</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无</w:t>
      </w:r>
    </w:p>
    <w:p>
      <w:pPr>
        <w:spacing w:before="5"/>
        <w:ind w:left="1104"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、一年内到期的非流动资产</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3"/>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年内到期的长期应收款</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97" w:right="0"/>
              <w:jc w:val="left"/>
              <w:rPr>
                <w:rFonts w:ascii="Calibri" w:hAnsi="Calibri" w:cs="Calibri" w:eastAsia="Calibri" w:hint="default"/>
                <w:sz w:val="21"/>
                <w:szCs w:val="21"/>
              </w:rPr>
            </w:pPr>
            <w:r>
              <w:rPr>
                <w:rFonts w:ascii="Calibri"/>
                <w:sz w:val="21"/>
              </w:rPr>
              <w:t>481,674.04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21" w:right="0"/>
              <w:jc w:val="left"/>
              <w:rPr>
                <w:rFonts w:ascii="Calibri" w:hAnsi="Calibri" w:cs="Calibri" w:eastAsia="Calibri" w:hint="default"/>
                <w:sz w:val="21"/>
                <w:szCs w:val="21"/>
              </w:rPr>
            </w:pPr>
            <w:r>
              <w:rPr>
                <w:rFonts w:ascii="Calibri"/>
                <w:sz w:val="21"/>
              </w:rPr>
              <w:t>4,502,094.73</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481,674.04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72" w:right="0"/>
              <w:jc w:val="left"/>
              <w:rPr>
                <w:rFonts w:ascii="Calibri" w:hAnsi="Calibri" w:cs="Calibri" w:eastAsia="Calibri" w:hint="default"/>
                <w:sz w:val="21"/>
                <w:szCs w:val="21"/>
              </w:rPr>
            </w:pPr>
            <w:r>
              <w:rPr>
                <w:rFonts w:ascii="Calibri"/>
                <w:sz w:val="21"/>
              </w:rPr>
              <w:t>4,502,094.73</w:t>
            </w:r>
          </w:p>
        </w:tc>
      </w:tr>
    </w:tbl>
    <w:p>
      <w:pPr>
        <w:spacing w:line="240" w:lineRule="auto" w:before="12"/>
        <w:rPr>
          <w:rFonts w:ascii="宋体" w:hAnsi="宋体" w:cs="宋体" w:eastAsia="宋体" w:hint="default"/>
          <w:sz w:val="23"/>
          <w:szCs w:val="23"/>
        </w:rPr>
      </w:pPr>
    </w:p>
    <w:p>
      <w:pPr>
        <w:pStyle w:val="Heading2"/>
        <w:spacing w:line="367" w:lineRule="exact"/>
        <w:ind w:right="225"/>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7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0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5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9"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3068" w:type="dxa"/>
            <w:tcBorders>
              <w:top w:val="single" w:sz="4" w:space="0" w:color="000000"/>
              <w:left w:val="single" w:sz="4" w:space="0" w:color="000000"/>
              <w:bottom w:val="single" w:sz="4" w:space="0" w:color="000000"/>
              <w:right w:val="single" w:sz="4" w:space="0" w:color="000000"/>
            </w:tcBorders>
          </w:tcPr>
          <w:p>
            <w:pP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105,342.19</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53" w:right="0"/>
              <w:jc w:val="left"/>
              <w:rPr>
                <w:rFonts w:ascii="宋体" w:hAnsi="宋体" w:cs="宋体" w:eastAsia="宋体" w:hint="default"/>
                <w:sz w:val="21"/>
                <w:szCs w:val="21"/>
              </w:rPr>
            </w:pPr>
            <w:r>
              <w:rPr>
                <w:rFonts w:ascii="宋体" w:hAnsi="宋体" w:cs="宋体" w:eastAsia="宋体" w:hint="default"/>
                <w:sz w:val="21"/>
                <w:szCs w:val="21"/>
              </w:rPr>
              <w:t>上海银行</w:t>
            </w:r>
            <w:r>
              <w:rPr>
                <w:rFonts w:ascii="Calibri" w:hAnsi="Calibri" w:cs="Calibri" w:eastAsia="Calibri" w:hint="default"/>
                <w:sz w:val="21"/>
                <w:szCs w:val="21"/>
              </w:rPr>
              <w:t>"</w:t>
            </w:r>
            <w:r>
              <w:rPr>
                <w:rFonts w:ascii="宋体" w:hAnsi="宋体" w:cs="宋体" w:eastAsia="宋体" w:hint="default"/>
                <w:sz w:val="21"/>
                <w:szCs w:val="21"/>
              </w:rPr>
              <w:t>赢家</w:t>
            </w:r>
            <w:r>
              <w:rPr>
                <w:rFonts w:ascii="Calibri" w:hAnsi="Calibri" w:cs="Calibri" w:eastAsia="Calibri" w:hint="default"/>
                <w:sz w:val="21"/>
                <w:szCs w:val="21"/>
              </w:rPr>
              <w:t>"33</w:t>
            </w:r>
            <w:r>
              <w:rPr>
                <w:rFonts w:ascii="Calibri" w:hAnsi="Calibri" w:cs="Calibri" w:eastAsia="Calibri" w:hint="default"/>
                <w:spacing w:val="2"/>
                <w:sz w:val="21"/>
                <w:szCs w:val="21"/>
              </w:rPr>
              <w:t> </w:t>
            </w:r>
            <w:r>
              <w:rPr>
                <w:rFonts w:ascii="宋体" w:hAnsi="宋体" w:cs="宋体" w:eastAsia="宋体" w:hint="default"/>
                <w:sz w:val="21"/>
                <w:szCs w:val="21"/>
              </w:rPr>
              <w:t>天理财产品</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5" w:right="0"/>
              <w:jc w:val="center"/>
              <w:rPr>
                <w:rFonts w:ascii="Calibri" w:hAnsi="Calibri" w:cs="Calibri" w:eastAsia="Calibri" w:hint="default"/>
                <w:sz w:val="21"/>
                <w:szCs w:val="21"/>
              </w:rPr>
            </w:pPr>
            <w:r>
              <w:rPr>
                <w:rFonts w:ascii="Calibri"/>
                <w:sz w:val="21"/>
              </w:rPr>
              <w:t>10,000,000.00</w:t>
            </w:r>
          </w:p>
        </w:tc>
        <w:tc>
          <w:tcPr>
            <w:tcW w:w="30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6"/>
        <w:gridCol w:w="3069"/>
        <w:gridCol w:w="3071"/>
      </w:tblGrid>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8" w:right="0"/>
              <w:jc w:val="left"/>
              <w:rPr>
                <w:rFonts w:ascii="Calibri" w:hAnsi="Calibri" w:cs="Calibri" w:eastAsia="Calibri" w:hint="default"/>
                <w:sz w:val="21"/>
                <w:szCs w:val="21"/>
              </w:rPr>
            </w:pPr>
            <w:r>
              <w:rPr>
                <w:rFonts w:ascii="Calibri"/>
                <w:sz w:val="21"/>
              </w:rPr>
              <w:t>10,000,000.00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105,342.19</w:t>
            </w:r>
          </w:p>
        </w:tc>
      </w:tr>
    </w:tbl>
    <w:p>
      <w:pPr>
        <w:pStyle w:val="BodyText"/>
        <w:spacing w:line="240" w:lineRule="auto" w:before="39"/>
        <w:ind w:left="1582" w:right="525"/>
        <w:jc w:val="left"/>
      </w:pPr>
      <w:r>
        <w:rPr/>
        <w:t>其他说明：上海银行</w:t>
      </w:r>
      <w:r>
        <w:rPr>
          <w:rFonts w:ascii="Calibri" w:hAnsi="Calibri" w:cs="Calibri" w:eastAsia="Calibri" w:hint="default"/>
        </w:rPr>
        <w:t>“</w:t>
      </w:r>
      <w:r>
        <w:rPr/>
        <w:t>赢家</w:t>
      </w:r>
      <w:r>
        <w:rPr>
          <w:rFonts w:ascii="Calibri" w:hAnsi="Calibri" w:cs="Calibri" w:eastAsia="Calibri" w:hint="default"/>
        </w:rPr>
        <w:t>”33</w:t>
      </w:r>
      <w:r>
        <w:rPr>
          <w:rFonts w:ascii="Calibri" w:hAnsi="Calibri" w:cs="Calibri" w:eastAsia="Calibri" w:hint="default"/>
          <w:spacing w:val="5"/>
        </w:rPr>
        <w:t> </w:t>
      </w:r>
      <w:r>
        <w:rPr/>
        <w:t>天理财产品为保本收益型理财产品</w:t>
      </w:r>
    </w:p>
    <w:p>
      <w:pPr>
        <w:pStyle w:val="Heading2"/>
        <w:spacing w:line="240" w:lineRule="auto" w:before="47"/>
        <w:ind w:right="525"/>
        <w:jc w:val="left"/>
        <w:rPr>
          <w:b w:val="0"/>
          <w:bCs w:val="0"/>
        </w:rPr>
      </w:pPr>
      <w:r>
        <w:rPr>
          <w:rFonts w:ascii="Times New Roman" w:hAnsi="Times New Roman" w:cs="Times New Roman" w:eastAsia="Times New Roman" w:hint="default"/>
        </w:rPr>
        <w:t>14</w:t>
      </w:r>
      <w:r>
        <w:rPr/>
        <w:t>、可供出售金融资产</w:t>
      </w:r>
      <w:r>
        <w:rPr>
          <w:b w:val="0"/>
          <w:bCs w:val="0"/>
        </w:rPr>
      </w:r>
    </w:p>
    <w:p>
      <w:pPr>
        <w:spacing w:before="50"/>
        <w:ind w:left="1101" w:right="5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）可供出售金融资产情况</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4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916"/>
        <w:gridCol w:w="1171"/>
        <w:gridCol w:w="1142"/>
        <w:gridCol w:w="1174"/>
        <w:gridCol w:w="1190"/>
        <w:gridCol w:w="1306"/>
        <w:gridCol w:w="1306"/>
      </w:tblGrid>
      <w:tr>
        <w:trPr>
          <w:trHeight w:val="32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4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8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 w:right="0"/>
              <w:jc w:val="center"/>
              <w:rPr>
                <w:rFonts w:ascii="Calibri" w:hAnsi="Calibri" w:cs="Calibri" w:eastAsia="Calibri" w:hint="default"/>
                <w:sz w:val="21"/>
                <w:szCs w:val="21"/>
              </w:rPr>
            </w:pPr>
            <w:r>
              <w:rPr>
                <w:rFonts w:ascii="Calibri"/>
                <w:sz w:val="21"/>
              </w:rPr>
              <w:t>3,010,787.91</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left"/>
              <w:rPr>
                <w:rFonts w:ascii="Calibri" w:hAnsi="Calibri" w:cs="Calibri" w:eastAsia="Calibri" w:hint="default"/>
                <w:sz w:val="21"/>
                <w:szCs w:val="21"/>
              </w:rPr>
            </w:pPr>
            <w:r>
              <w:rPr>
                <w:rFonts w:ascii="Calibri"/>
                <w:sz w:val="21"/>
              </w:rPr>
              <w:t>3,010,787.91</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 w:right="0"/>
              <w:jc w:val="center"/>
              <w:rPr>
                <w:rFonts w:ascii="Calibri" w:hAnsi="Calibri" w:cs="Calibri" w:eastAsia="Calibri" w:hint="default"/>
                <w:sz w:val="21"/>
                <w:szCs w:val="21"/>
              </w:rPr>
            </w:pPr>
            <w:r>
              <w:rPr>
                <w:rFonts w:ascii="Calibri"/>
                <w:sz w:val="21"/>
              </w:rPr>
              <w:t>3,010,787.91</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left"/>
              <w:rPr>
                <w:rFonts w:ascii="Calibri" w:hAnsi="Calibri" w:cs="Calibri" w:eastAsia="Calibri" w:hint="default"/>
                <w:sz w:val="21"/>
                <w:szCs w:val="21"/>
              </w:rPr>
            </w:pPr>
            <w:r>
              <w:rPr>
                <w:rFonts w:ascii="Calibri"/>
                <w:sz w:val="21"/>
              </w:rPr>
              <w:t>3,010,787.91</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8,011,313.75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 w:right="0"/>
              <w:jc w:val="center"/>
              <w:rPr>
                <w:rFonts w:ascii="Calibri" w:hAnsi="Calibri" w:cs="Calibri" w:eastAsia="Calibri" w:hint="default"/>
                <w:sz w:val="21"/>
                <w:szCs w:val="21"/>
              </w:rPr>
            </w:pPr>
            <w:r>
              <w:rPr>
                <w:rFonts w:ascii="Calibri"/>
                <w:sz w:val="21"/>
              </w:rPr>
              <w:t>3,010,787.91</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5" w:right="0"/>
              <w:jc w:val="left"/>
              <w:rPr>
                <w:rFonts w:ascii="Calibri" w:hAnsi="Calibri" w:cs="Calibri" w:eastAsia="Calibri" w:hint="default"/>
                <w:sz w:val="21"/>
                <w:szCs w:val="21"/>
              </w:rPr>
            </w:pPr>
            <w:r>
              <w:rPr>
                <w:rFonts w:ascii="Calibri"/>
                <w:sz w:val="21"/>
              </w:rPr>
              <w:t>3,010,787.91</w:t>
            </w:r>
          </w:p>
        </w:tc>
      </w:tr>
    </w:tbl>
    <w:p>
      <w:pPr>
        <w:pStyle w:val="Heading2"/>
        <w:spacing w:line="380" w:lineRule="exact"/>
        <w:ind w:right="525"/>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pStyle w:val="BodyText"/>
        <w:spacing w:line="240" w:lineRule="auto" w:before="126"/>
        <w:ind w:left="1101" w:right="525"/>
        <w:jc w:val="left"/>
      </w:pPr>
      <w:r>
        <w:rPr/>
        <w:t>无</w:t>
      </w:r>
    </w:p>
    <w:p>
      <w:pPr>
        <w:pStyle w:val="Heading2"/>
        <w:spacing w:line="240" w:lineRule="auto" w:before="77"/>
        <w:ind w:right="525"/>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44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281" w:type="dxa"/>
        <w:tblLayout w:type="fixed"/>
        <w:tblCellMar>
          <w:top w:w="0" w:type="dxa"/>
          <w:left w:w="0" w:type="dxa"/>
          <w:bottom w:w="0" w:type="dxa"/>
          <w:right w:w="0" w:type="dxa"/>
        </w:tblCellMar>
        <w:tblLook w:val="01E0"/>
      </w:tblPr>
      <w:tblGrid>
        <w:gridCol w:w="1399"/>
        <w:gridCol w:w="992"/>
        <w:gridCol w:w="710"/>
        <w:gridCol w:w="694"/>
        <w:gridCol w:w="869"/>
        <w:gridCol w:w="871"/>
        <w:gridCol w:w="869"/>
        <w:gridCol w:w="872"/>
        <w:gridCol w:w="869"/>
        <w:gridCol w:w="871"/>
        <w:gridCol w:w="869"/>
      </w:tblGrid>
      <w:tr>
        <w:trPr>
          <w:trHeight w:val="323" w:hRule="exact"/>
        </w:trPr>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投资单位</w:t>
            </w:r>
            <w:r>
              <w:rPr>
                <w:rFonts w:ascii="Microsoft JhengHei" w:hAnsi="Microsoft JhengHei" w:cs="Microsoft JhengHei" w:eastAsia="Microsoft JhengHei" w:hint="default"/>
                <w:sz w:val="21"/>
                <w:szCs w:val="21"/>
              </w:rPr>
            </w:r>
          </w:p>
        </w:tc>
        <w:tc>
          <w:tcPr>
            <w:tcW w:w="32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6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7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w:t>
            </w:r>
            <w:r>
              <w:rPr>
                <w:rFonts w:ascii="Microsoft JhengHei" w:hAnsi="Microsoft JhengHei" w:cs="Microsoft JhengHei" w:eastAsia="Microsoft JhengHei" w:hint="default"/>
                <w:sz w:val="21"/>
                <w:szCs w:val="21"/>
              </w:rPr>
            </w:r>
          </w:p>
          <w:p>
            <w:pPr>
              <w:pStyle w:val="TableParagraph"/>
              <w:spacing w:line="312" w:lineRule="exact" w:before="35"/>
              <w:ind w:left="112" w:right="11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单位持</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股比例</w:t>
            </w:r>
            <w:r>
              <w:rPr>
                <w:rFonts w:ascii="Microsoft JhengHei" w:hAnsi="Microsoft JhengHei" w:cs="Microsoft JhengHei" w:eastAsia="Microsoft JhengHei" w:hint="default"/>
                <w:sz w:val="21"/>
                <w:szCs w:val="21"/>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46"/>
              <w:ind w:left="112" w:right="11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本期现</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金红利</w:t>
            </w:r>
            <w:r>
              <w:rPr>
                <w:rFonts w:ascii="Microsoft JhengHei" w:hAnsi="Microsoft JhengHei" w:cs="Microsoft JhengHei" w:eastAsia="Microsoft JhengHei" w:hint="default"/>
                <w:sz w:val="21"/>
                <w:szCs w:val="21"/>
              </w:rPr>
            </w:r>
          </w:p>
        </w:tc>
      </w:tr>
      <w:tr>
        <w:trPr>
          <w:trHeight w:val="635" w:hRule="exact"/>
        </w:trPr>
        <w:tc>
          <w:tcPr>
            <w:tcW w:w="139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w:t>
            </w:r>
            <w:r>
              <w:rPr>
                <w:rFonts w:ascii="Microsoft JhengHei" w:hAnsi="Microsoft JhengHei" w:cs="Microsoft JhengHei" w:eastAsia="Microsoft JhengHei"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加</w:t>
            </w:r>
            <w:r>
              <w:rPr>
                <w:rFonts w:ascii="Microsoft JhengHei" w:hAnsi="Microsoft JhengHei" w:cs="Microsoft JhengHei" w:eastAsia="Microsoft JhengHei" w:hint="default"/>
                <w:w w:val="100"/>
                <w:sz w:val="21"/>
                <w:szCs w:val="21"/>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少</w:t>
            </w:r>
            <w:r>
              <w:rPr>
                <w:rFonts w:ascii="Microsoft JhengHei" w:hAnsi="Microsoft JhengHei" w:cs="Microsoft JhengHei" w:eastAsia="Microsoft JhengHei" w:hint="default"/>
                <w:w w:val="100"/>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w:t>
            </w:r>
            <w:r>
              <w:rPr>
                <w:rFonts w:ascii="Microsoft JhengHei" w:hAnsi="Microsoft JhengHei" w:cs="Microsoft JhengHei" w:eastAsia="Microsoft JhengHei"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w:t>
            </w:r>
            <w:r>
              <w:rPr>
                <w:rFonts w:ascii="Microsoft JhengHei" w:hAnsi="Microsoft JhengHei" w:cs="Microsoft JhengHei" w:eastAsia="Microsoft JhengHei"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加</w:t>
            </w:r>
            <w:r>
              <w:rPr>
                <w:rFonts w:ascii="Microsoft JhengHei" w:hAnsi="Microsoft JhengHei" w:cs="Microsoft JhengHei" w:eastAsia="Microsoft JhengHei" w:hint="default"/>
                <w:w w:val="100"/>
                <w:sz w:val="21"/>
                <w:szCs w:val="21"/>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少</w:t>
            </w:r>
            <w:r>
              <w:rPr>
                <w:rFonts w:ascii="Microsoft JhengHei" w:hAnsi="Microsoft JhengHei" w:cs="Microsoft JhengHei" w:eastAsia="Microsoft JhengHei" w:hint="default"/>
                <w:w w:val="100"/>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w:t>
            </w:r>
            <w:r>
              <w:rPr>
                <w:rFonts w:ascii="Microsoft JhengHei" w:hAnsi="Microsoft JhengHei" w:cs="Microsoft JhengHei" w:eastAsia="Microsoft JhengHei" w:hint="default"/>
                <w:sz w:val="21"/>
                <w:szCs w:val="21"/>
              </w:rPr>
            </w: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1"/>
                <w:sz w:val="21"/>
                <w:szCs w:val="21"/>
              </w:rPr>
              <w:t>北斗导航位置</w:t>
            </w:r>
            <w:r>
              <w:rPr>
                <w:rFonts w:ascii="宋体" w:hAnsi="宋体" w:cs="宋体" w:eastAsia="宋体" w:hint="default"/>
                <w:w w:val="100"/>
                <w:sz w:val="21"/>
                <w:szCs w:val="21"/>
              </w:rPr>
              <w:t> </w:t>
            </w:r>
            <w:r>
              <w:rPr>
                <w:rFonts w:ascii="宋体" w:hAnsi="宋体" w:cs="宋体" w:eastAsia="宋体" w:hint="default"/>
                <w:spacing w:val="-1"/>
                <w:sz w:val="21"/>
                <w:szCs w:val="21"/>
              </w:rPr>
              <w:t>服务（北京）</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3,000,000.</w:t>
            </w:r>
          </w:p>
          <w:p>
            <w:pPr>
              <w:pStyle w:val="TableParagraph"/>
              <w:spacing w:line="240" w:lineRule="auto" w:before="56"/>
              <w:ind w:left="1" w:right="0"/>
              <w:jc w:val="center"/>
              <w:rPr>
                <w:rFonts w:ascii="Calibri" w:hAnsi="Calibri" w:cs="Calibri" w:eastAsia="Calibri" w:hint="default"/>
                <w:sz w:val="21"/>
                <w:szCs w:val="21"/>
              </w:rPr>
            </w:pPr>
            <w:r>
              <w:rPr>
                <w:rFonts w:ascii="Calibri"/>
                <w:sz w:val="21"/>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3,000,00</w:t>
            </w:r>
          </w:p>
          <w:p>
            <w:pPr>
              <w:pStyle w:val="TableParagraph"/>
              <w:spacing w:line="240" w:lineRule="auto" w:before="56"/>
              <w:ind w:left="3" w:right="0"/>
              <w:jc w:val="center"/>
              <w:rPr>
                <w:rFonts w:ascii="Calibri" w:hAnsi="Calibri" w:cs="Calibri" w:eastAsia="Calibri" w:hint="default"/>
                <w:sz w:val="21"/>
                <w:szCs w:val="21"/>
              </w:rPr>
            </w:pPr>
            <w:r>
              <w:rPr>
                <w:rFonts w:ascii="Calibri"/>
                <w:sz w:val="21"/>
              </w:rPr>
              <w:t>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1.00%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1"/>
                <w:sz w:val="21"/>
                <w:szCs w:val="21"/>
              </w:rPr>
              <w:t>宁波超图道乐</w:t>
            </w:r>
            <w:r>
              <w:rPr>
                <w:rFonts w:ascii="宋体" w:hAnsi="宋体" w:cs="宋体" w:eastAsia="宋体" w:hint="default"/>
                <w:w w:val="100"/>
                <w:sz w:val="21"/>
                <w:szCs w:val="21"/>
              </w:rPr>
              <w:t> </w:t>
            </w:r>
            <w:r>
              <w:rPr>
                <w:rFonts w:ascii="宋体" w:hAnsi="宋体" w:cs="宋体" w:eastAsia="宋体" w:hint="default"/>
                <w:spacing w:val="-1"/>
                <w:sz w:val="21"/>
                <w:szCs w:val="21"/>
              </w:rPr>
              <w:t>股权投资合伙</w:t>
            </w:r>
            <w:r>
              <w:rPr>
                <w:rFonts w:ascii="宋体" w:hAnsi="宋体" w:cs="宋体" w:eastAsia="宋体" w:hint="default"/>
                <w:w w:val="100"/>
                <w:sz w:val="21"/>
                <w:szCs w:val="21"/>
              </w:rPr>
              <w:t> </w:t>
            </w:r>
            <w:r>
              <w:rPr>
                <w:rFonts w:ascii="宋体" w:hAnsi="宋体" w:cs="宋体" w:eastAsia="宋体" w:hint="default"/>
                <w:spacing w:val="-1"/>
                <w:sz w:val="21"/>
                <w:szCs w:val="21"/>
              </w:rPr>
              <w:t>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1" w:right="0"/>
              <w:jc w:val="left"/>
              <w:rPr>
                <w:rFonts w:ascii="Calibri" w:hAnsi="Calibri" w:cs="Calibri" w:eastAsia="Calibri" w:hint="default"/>
                <w:sz w:val="21"/>
                <w:szCs w:val="21"/>
              </w:rPr>
            </w:pPr>
            <w:r>
              <w:rPr>
                <w:rFonts w:ascii="Calibri"/>
                <w:sz w:val="21"/>
              </w:rPr>
              <w:t>5,000,0</w:t>
            </w:r>
          </w:p>
          <w:p>
            <w:pPr>
              <w:pStyle w:val="TableParagraph"/>
              <w:spacing w:line="240" w:lineRule="auto" w:before="55"/>
              <w:ind w:left="110" w:right="0"/>
              <w:jc w:val="left"/>
              <w:rPr>
                <w:rFonts w:ascii="Calibri" w:hAnsi="Calibri" w:cs="Calibri" w:eastAsia="Calibri" w:hint="default"/>
                <w:sz w:val="21"/>
                <w:szCs w:val="21"/>
              </w:rPr>
            </w:pPr>
            <w:r>
              <w:rPr>
                <w:rFonts w:ascii="Calibri"/>
                <w:sz w:val="21"/>
              </w:rPr>
              <w:t>00.00</w:t>
            </w: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5,000,00</w:t>
            </w:r>
          </w:p>
          <w:p>
            <w:pPr>
              <w:pStyle w:val="TableParagraph"/>
              <w:spacing w:line="240" w:lineRule="auto" w:before="55"/>
              <w:ind w:left="3" w:right="0"/>
              <w:jc w:val="center"/>
              <w:rPr>
                <w:rFonts w:ascii="Calibri" w:hAnsi="Calibri" w:cs="Calibri" w:eastAsia="Calibri" w:hint="default"/>
                <w:sz w:val="21"/>
                <w:szCs w:val="21"/>
              </w:rPr>
            </w:pPr>
            <w:r>
              <w:rPr>
                <w:rFonts w:ascii="Calibri"/>
                <w:sz w:val="21"/>
              </w:rPr>
              <w:t>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8.33%</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pacing w:val="-3"/>
                <w:sz w:val="21"/>
              </w:rPr>
              <w:t>Sawayaka</w:t>
            </w: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ShinkinBank</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5,137.10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250.40</w:t>
            </w: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5,387.50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206.69</w:t>
            </w:r>
          </w:p>
        </w:tc>
      </w:tr>
      <w:tr>
        <w:trPr>
          <w:trHeight w:val="322"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城南信用金库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5,137.10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250.40</w:t>
            </w: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5,387.50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206.69</w:t>
            </w:r>
          </w:p>
        </w:tc>
      </w:tr>
      <w:tr>
        <w:trPr>
          <w:trHeight w:val="949"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4" w:right="60"/>
              <w:jc w:val="center"/>
              <w:rPr>
                <w:rFonts w:ascii="宋体" w:hAnsi="宋体" w:cs="宋体" w:eastAsia="宋体" w:hint="default"/>
                <w:sz w:val="21"/>
                <w:szCs w:val="21"/>
              </w:rPr>
            </w:pPr>
            <w:r>
              <w:rPr>
                <w:rFonts w:ascii="宋体" w:hAnsi="宋体" w:cs="宋体" w:eastAsia="宋体" w:hint="default"/>
                <w:spacing w:val="-1"/>
                <w:sz w:val="21"/>
                <w:szCs w:val="21"/>
              </w:rPr>
              <w:t>东京中小企业</w:t>
            </w:r>
            <w:r>
              <w:rPr>
                <w:rFonts w:ascii="宋体" w:hAnsi="宋体" w:cs="宋体" w:eastAsia="宋体" w:hint="default"/>
                <w:w w:val="100"/>
                <w:sz w:val="21"/>
                <w:szCs w:val="21"/>
              </w:rPr>
              <w:t> </w:t>
            </w:r>
            <w:r>
              <w:rPr>
                <w:rFonts w:ascii="宋体" w:hAnsi="宋体" w:cs="宋体" w:eastAsia="宋体" w:hint="default"/>
                <w:spacing w:val="-1"/>
                <w:sz w:val="21"/>
                <w:szCs w:val="21"/>
              </w:rPr>
              <w:t>经友会事业协</w:t>
            </w:r>
            <w:r>
              <w:rPr>
                <w:rFonts w:ascii="宋体" w:hAnsi="宋体" w:cs="宋体" w:eastAsia="宋体" w:hint="default"/>
                <w:w w:val="100"/>
                <w:sz w:val="21"/>
                <w:szCs w:val="21"/>
              </w:rPr>
              <w:t> </w:t>
            </w:r>
            <w:r>
              <w:rPr>
                <w:rFonts w:ascii="宋体" w:hAnsi="宋体" w:cs="宋体" w:eastAsia="宋体" w:hint="default"/>
                <w:sz w:val="21"/>
                <w:szCs w:val="21"/>
              </w:rPr>
              <w:t>同组合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513.71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sz w:val="21"/>
              </w:rPr>
              <w:t>25.04</w:t>
            </w: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538.75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0.01%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3,010,787.</w:t>
            </w:r>
          </w:p>
          <w:p>
            <w:pPr>
              <w:pStyle w:val="TableParagraph"/>
              <w:spacing w:line="240" w:lineRule="auto" w:before="55"/>
              <w:ind w:left="1" w:right="0"/>
              <w:jc w:val="center"/>
              <w:rPr>
                <w:rFonts w:ascii="Calibri" w:hAnsi="Calibri" w:cs="Calibri" w:eastAsia="Calibri" w:hint="default"/>
                <w:sz w:val="21"/>
                <w:szCs w:val="21"/>
              </w:rPr>
            </w:pPr>
            <w:r>
              <w:rPr>
                <w:rFonts w:ascii="Calibri"/>
                <w:sz w:val="21"/>
              </w:rPr>
              <w:t>91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Calibri" w:hAnsi="Calibri" w:cs="Calibri" w:eastAsia="Calibri" w:hint="default"/>
                <w:sz w:val="21"/>
                <w:szCs w:val="21"/>
              </w:rPr>
            </w:pPr>
            <w:r>
              <w:rPr>
                <w:rFonts w:ascii="Calibri"/>
                <w:sz w:val="21"/>
              </w:rPr>
              <w:t>5,000,5</w:t>
            </w:r>
          </w:p>
          <w:p>
            <w:pPr>
              <w:pStyle w:val="TableParagraph"/>
              <w:spacing w:line="240" w:lineRule="auto" w:before="55"/>
              <w:ind w:left="110" w:right="0"/>
              <w:jc w:val="left"/>
              <w:rPr>
                <w:rFonts w:ascii="Calibri" w:hAnsi="Calibri" w:cs="Calibri" w:eastAsia="Calibri" w:hint="default"/>
                <w:sz w:val="21"/>
                <w:szCs w:val="21"/>
              </w:rPr>
            </w:pPr>
            <w:r>
              <w:rPr>
                <w:rFonts w:ascii="Calibri"/>
                <w:sz w:val="21"/>
              </w:rPr>
              <w:t>25.84</w:t>
            </w:r>
          </w:p>
        </w:tc>
        <w:tc>
          <w:tcPr>
            <w:tcW w:w="6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8,011,31</w:t>
            </w:r>
          </w:p>
          <w:p>
            <w:pPr>
              <w:pStyle w:val="TableParagraph"/>
              <w:spacing w:line="240" w:lineRule="auto" w:before="55"/>
              <w:ind w:left="3" w:right="0"/>
              <w:jc w:val="center"/>
              <w:rPr>
                <w:rFonts w:ascii="Calibri" w:hAnsi="Calibri" w:cs="Calibri" w:eastAsia="Calibri" w:hint="default"/>
                <w:sz w:val="21"/>
                <w:szCs w:val="21"/>
              </w:rPr>
            </w:pPr>
            <w:r>
              <w:rPr>
                <w:rFonts w:ascii="Calibri"/>
                <w:sz w:val="21"/>
              </w:rPr>
              <w:t>3.75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413.38</w:t>
            </w:r>
          </w:p>
        </w:tc>
      </w:tr>
    </w:tbl>
    <w:p>
      <w:pPr>
        <w:pStyle w:val="BodyText"/>
        <w:spacing w:line="357" w:lineRule="auto" w:before="39"/>
        <w:ind w:left="622" w:right="525" w:firstLine="479"/>
        <w:jc w:val="left"/>
      </w:pPr>
      <w:r>
        <w:rPr/>
        <w:t>①本集团上述投资单位，均为未上市的公司，在活跃市场无公开报价，其公允价值 无法可靠计量，截止本报告日无处置上述资产的意图。</w:t>
      </w:r>
    </w:p>
    <w:p>
      <w:pPr>
        <w:pStyle w:val="BodyText"/>
        <w:spacing w:line="340" w:lineRule="auto"/>
        <w:ind w:left="622" w:right="458" w:firstLine="479"/>
        <w:jc w:val="left"/>
      </w:pPr>
      <w:r>
        <w:rPr/>
        <w:t>②</w:t>
      </w:r>
      <w:r>
        <w:rPr>
          <w:rFonts w:ascii="Calibri" w:hAnsi="Calibri" w:cs="Calibri" w:eastAsia="Calibri" w:hint="default"/>
        </w:rPr>
        <w:t>2015</w:t>
      </w:r>
      <w:r>
        <w:rPr>
          <w:rFonts w:ascii="Calibri" w:hAnsi="Calibri" w:cs="Calibri" w:eastAsia="Calibri" w:hint="default"/>
          <w:spacing w:val="5"/>
        </w:rPr>
        <w:t> </w:t>
      </w:r>
      <w:r>
        <w:rPr/>
        <w:t>年</w:t>
      </w:r>
      <w:r>
        <w:rPr>
          <w:spacing w:val="-64"/>
        </w:rPr>
        <w:t> </w:t>
      </w:r>
      <w:r>
        <w:rPr>
          <w:rFonts w:ascii="Calibri" w:hAnsi="Calibri" w:cs="Calibri" w:eastAsia="Calibri" w:hint="default"/>
        </w:rPr>
        <w:t>10</w:t>
      </w:r>
      <w:r>
        <w:rPr>
          <w:rFonts w:ascii="Calibri" w:hAnsi="Calibri" w:cs="Calibri" w:eastAsia="Calibri" w:hint="default"/>
          <w:spacing w:val="6"/>
        </w:rPr>
        <w:t> </w:t>
      </w:r>
      <w:r>
        <w:rPr/>
        <w:t>月</w:t>
      </w:r>
      <w:r>
        <w:rPr>
          <w:spacing w:val="-61"/>
        </w:rPr>
        <w:t> </w:t>
      </w:r>
      <w:r>
        <w:rPr>
          <w:rFonts w:ascii="Calibri" w:hAnsi="Calibri" w:cs="Calibri" w:eastAsia="Calibri" w:hint="default"/>
        </w:rPr>
        <w:t>22</w:t>
      </w:r>
      <w:r>
        <w:rPr>
          <w:rFonts w:ascii="Calibri" w:hAnsi="Calibri" w:cs="Calibri" w:eastAsia="Calibri" w:hint="default"/>
          <w:spacing w:val="5"/>
        </w:rPr>
        <w:t> </w:t>
      </w:r>
      <w:r>
        <w:rPr/>
        <w:t>日，本集团第三届董事会第十次会议审议通过了《关于参与投资 </w:t>
      </w:r>
      <w:r>
        <w:rPr>
          <w:spacing w:val="-4"/>
        </w:rPr>
        <w:t>设立产业并购基金暨关联交易的议案》，同意公司与鹰潭市道乐博盈投资管理有限公</w:t>
      </w:r>
      <w:r>
        <w:rPr>
          <w:spacing w:val="-92"/>
        </w:rPr>
        <w:t> </w:t>
      </w:r>
      <w:r>
        <w:rPr>
          <w:spacing w:val="-92"/>
        </w:rPr>
      </w:r>
      <w:r>
        <w:rPr/>
        <w:t>司、宁波思博迈股权投资合伙企业（有限合伙）等共同投资设立宁波超图道乐股权投资</w:t>
      </w:r>
    </w:p>
    <w:p>
      <w:pPr>
        <w:spacing w:after="0" w:line="340" w:lineRule="auto"/>
        <w:jc w:val="left"/>
        <w:sectPr>
          <w:pgSz w:w="11910" w:h="16840"/>
          <w:pgMar w:header="884" w:footer="1085" w:top="1300" w:bottom="1280" w:left="1080" w:right="540"/>
        </w:sectPr>
      </w:pPr>
    </w:p>
    <w:p>
      <w:pPr>
        <w:spacing w:line="240" w:lineRule="auto" w:before="7"/>
        <w:rPr>
          <w:rFonts w:ascii="宋体" w:hAnsi="宋体" w:cs="宋体" w:eastAsia="宋体" w:hint="default"/>
          <w:sz w:val="10"/>
          <w:szCs w:val="10"/>
        </w:rPr>
      </w:pPr>
    </w:p>
    <w:p>
      <w:pPr>
        <w:pStyle w:val="BodyText"/>
        <w:spacing w:line="357" w:lineRule="auto" w:before="26"/>
        <w:ind w:left="622" w:right="344"/>
        <w:jc w:val="left"/>
      </w:pPr>
      <w:r>
        <w:rPr/>
        <w:t>合伙企业（有限合伙</w:t>
      </w:r>
      <w:r>
        <w:rPr>
          <w:spacing w:val="-120"/>
        </w:rPr>
        <w:t>）</w:t>
      </w:r>
      <w:r>
        <w:rPr/>
        <w:t>（以下称“超图道乐并购基金</w:t>
      </w:r>
      <w:r>
        <w:rPr>
          <w:spacing w:val="-120"/>
        </w:rPr>
        <w:t>”）</w:t>
      </w:r>
      <w:r>
        <w:rPr/>
        <w:t>。超图道乐并购基金目标募集规</w:t>
      </w:r>
      <w:r>
        <w:rPr/>
        <w:t> 模为不超过</w:t>
      </w:r>
      <w:r>
        <w:rPr>
          <w:spacing w:val="-61"/>
        </w:rPr>
        <w:t> </w:t>
      </w:r>
      <w:r>
        <w:rPr>
          <w:rFonts w:ascii="Calibri" w:hAnsi="Calibri" w:cs="Calibri" w:eastAsia="Calibri" w:hint="default"/>
        </w:rPr>
        <w:t>1.5</w:t>
      </w:r>
      <w:r>
        <w:rPr>
          <w:rFonts w:ascii="Calibri" w:hAnsi="Calibri" w:cs="Calibri" w:eastAsia="Calibri" w:hint="default"/>
          <w:spacing w:val="6"/>
        </w:rPr>
        <w:t> </w:t>
      </w:r>
      <w:r>
        <w:rPr/>
        <w:t>亿元（含</w:t>
      </w:r>
      <w:r>
        <w:rPr>
          <w:spacing w:val="-60"/>
        </w:rPr>
        <w:t> </w:t>
      </w:r>
      <w:r>
        <w:rPr>
          <w:rFonts w:ascii="Calibri" w:hAnsi="Calibri" w:cs="Calibri" w:eastAsia="Calibri" w:hint="default"/>
        </w:rPr>
        <w:t>1.5</w:t>
      </w:r>
      <w:r>
        <w:rPr>
          <w:rFonts w:ascii="Calibri" w:hAnsi="Calibri" w:cs="Calibri" w:eastAsia="Calibri" w:hint="default"/>
          <w:spacing w:val="6"/>
        </w:rPr>
        <w:t> </w:t>
      </w:r>
      <w:r>
        <w:rPr/>
        <w:t>亿元</w:t>
      </w:r>
      <w:r>
        <w:rPr>
          <w:spacing w:val="-120"/>
        </w:rPr>
        <w:t>）</w:t>
      </w:r>
      <w:r>
        <w:rPr/>
        <w:t>，其中，公司作为有限合伙人以公司自有资金认缴</w:t>
      </w:r>
    </w:p>
    <w:p>
      <w:pPr>
        <w:pStyle w:val="BodyText"/>
        <w:spacing w:line="324" w:lineRule="exact" w:before="0"/>
        <w:ind w:left="622" w:right="225"/>
        <w:jc w:val="left"/>
      </w:pPr>
      <w:r>
        <w:rPr>
          <w:rFonts w:ascii="Calibri" w:hAnsi="Calibri" w:cs="Calibri" w:eastAsia="Calibri" w:hint="default"/>
        </w:rPr>
        <w:t>1,250</w:t>
      </w:r>
      <w:r>
        <w:rPr>
          <w:rFonts w:ascii="Calibri" w:hAnsi="Calibri" w:cs="Calibri" w:eastAsia="Calibri" w:hint="default"/>
          <w:spacing w:val="5"/>
        </w:rPr>
        <w:t> </w:t>
      </w:r>
      <w:r>
        <w:rPr/>
        <w:t>万元，约占基金规模的</w:t>
      </w:r>
      <w:r>
        <w:rPr>
          <w:spacing w:val="-61"/>
        </w:rPr>
        <w:t> </w:t>
      </w:r>
      <w:r>
        <w:rPr>
          <w:rFonts w:ascii="Calibri" w:hAnsi="Calibri" w:cs="Calibri" w:eastAsia="Calibri" w:hint="default"/>
        </w:rPr>
        <w:t>8.33%</w:t>
      </w:r>
      <w:r>
        <w:rPr/>
        <w:t>，实际出资</w:t>
      </w:r>
      <w:r>
        <w:rPr>
          <w:spacing w:val="-61"/>
        </w:rPr>
        <w:t> </w:t>
      </w:r>
      <w:r>
        <w:rPr>
          <w:rFonts w:ascii="Calibri" w:hAnsi="Calibri" w:cs="Calibri" w:eastAsia="Calibri" w:hint="default"/>
        </w:rPr>
        <w:t>500.00</w:t>
      </w:r>
      <w:r>
        <w:rPr>
          <w:rFonts w:ascii="Calibri" w:hAnsi="Calibri" w:cs="Calibri" w:eastAsia="Calibri" w:hint="default"/>
          <w:spacing w:val="6"/>
        </w:rPr>
        <w:t> </w:t>
      </w:r>
      <w:r>
        <w:rPr/>
        <w:t>万元。</w:t>
      </w:r>
    </w:p>
    <w:p>
      <w:pPr>
        <w:pStyle w:val="BodyText"/>
        <w:spacing w:line="240" w:lineRule="auto" w:before="123"/>
        <w:ind w:left="1101" w:right="131"/>
        <w:jc w:val="left"/>
      </w:pPr>
      <w:r>
        <w:rPr/>
        <w:t>③本期可供出售金融资产原值实际增加</w:t>
      </w:r>
      <w:r>
        <w:rPr>
          <w:spacing w:val="-60"/>
        </w:rPr>
        <w:t> </w:t>
      </w:r>
      <w:r>
        <w:rPr>
          <w:rFonts w:ascii="Calibri" w:hAnsi="Calibri" w:cs="Calibri" w:eastAsia="Calibri" w:hint="default"/>
        </w:rPr>
        <w:t>5,000,000.00</w:t>
      </w:r>
      <w:r>
        <w:rPr>
          <w:rFonts w:ascii="Calibri" w:hAnsi="Calibri" w:cs="Calibri" w:eastAsia="Calibri" w:hint="default"/>
          <w:spacing w:val="6"/>
        </w:rPr>
        <w:t> </w:t>
      </w:r>
      <w:r>
        <w:rPr/>
        <w:t>元，汇率变动影响</w:t>
      </w:r>
      <w:r>
        <w:rPr>
          <w:spacing w:val="-61"/>
        </w:rPr>
        <w:t> </w:t>
      </w:r>
      <w:r>
        <w:rPr>
          <w:rFonts w:ascii="Calibri" w:hAnsi="Calibri" w:cs="Calibri" w:eastAsia="Calibri" w:hint="default"/>
        </w:rPr>
        <w:t>525.84</w:t>
      </w:r>
      <w:r>
        <w:rPr>
          <w:rFonts w:ascii="Calibri" w:hAnsi="Calibri" w:cs="Calibri" w:eastAsia="Calibri" w:hint="default"/>
          <w:spacing w:val="6"/>
        </w:rPr>
        <w:t> </w:t>
      </w:r>
      <w:r>
        <w:rPr/>
        <w:t>元。</w:t>
      </w:r>
    </w:p>
    <w:p>
      <w:pPr>
        <w:pStyle w:val="Heading2"/>
        <w:spacing w:line="312" w:lineRule="auto" w:before="47"/>
        <w:ind w:right="6705"/>
        <w:jc w:val="left"/>
        <w:rPr>
          <w:rFonts w:ascii="宋体" w:hAnsi="宋体" w:cs="宋体" w:eastAsia="宋体" w:hint="default"/>
          <w:b w:val="0"/>
          <w:bCs w:val="0"/>
        </w:rPr>
      </w:pPr>
      <w:r>
        <w:rPr>
          <w:rFonts w:ascii="Times New Roman" w:hAnsi="Times New Roman" w:cs="Times New Roman" w:eastAsia="Times New Roman" w:hint="default"/>
        </w:rPr>
        <w:t>15</w:t>
      </w:r>
      <w:r>
        <w:rPr/>
        <w:t>、持有至到期投资</w:t>
      </w:r>
      <w:r>
        <w:rPr>
          <w:spacing w:val="-55"/>
        </w:rPr>
        <w:t> </w:t>
      </w:r>
      <w:r>
        <w:rPr>
          <w:spacing w:val="-55"/>
        </w:rPr>
      </w:r>
      <w:r>
        <w:rPr>
          <w:rFonts w:ascii="宋体" w:hAnsi="宋体" w:cs="宋体" w:eastAsia="宋体" w:hint="default"/>
          <w:b w:val="0"/>
          <w:bCs w:val="0"/>
        </w:rPr>
        <w:t>无</w:t>
      </w:r>
    </w:p>
    <w:p>
      <w:pPr>
        <w:spacing w:before="5"/>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16</w:t>
      </w:r>
      <w:r>
        <w:rPr>
          <w:rFonts w:ascii="Microsoft JhengHei" w:hAnsi="Microsoft JhengHei" w:cs="Microsoft JhengHei" w:eastAsia="Microsoft JhengHei" w:hint="default"/>
          <w:b/>
          <w:bCs/>
          <w:sz w:val="24"/>
          <w:szCs w:val="24"/>
        </w:rPr>
        <w:t>、长期应收款</w:t>
      </w:r>
      <w:r>
        <w:rPr>
          <w:rFonts w:ascii="Microsoft JhengHei" w:hAnsi="Microsoft JhengHei" w:cs="Microsoft JhengHei" w:eastAsia="Microsoft JhengHei" w:hint="default"/>
          <w:sz w:val="24"/>
          <w:szCs w:val="24"/>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）长期应收款情况</w:t>
      </w:r>
      <w:r>
        <w:rPr>
          <w:rFonts w:ascii="Microsoft JhengHei" w:hAnsi="Microsoft JhengHei" w:cs="Microsoft JhengHei" w:eastAsia="Microsoft JhengHei" w:hint="default"/>
          <w:sz w:val="24"/>
          <w:szCs w:val="24"/>
        </w:rPr>
      </w:r>
    </w:p>
    <w:p>
      <w:pPr>
        <w:spacing w:before="152"/>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653" w:right="225" w:firstLine="0"/>
        <w:jc w:val="left"/>
        <w:rPr>
          <w:rFonts w:ascii="宋体" w:hAnsi="宋体" w:cs="宋体" w:eastAsia="宋体" w:hint="default"/>
          <w:sz w:val="21"/>
          <w:szCs w:val="21"/>
        </w:rPr>
      </w:pPr>
      <w:r>
        <w:rPr/>
        <w:pict>
          <v:shape style="position:absolute;margin-left:85.103996pt;margin-top:-168.956329pt;width:460.8pt;height:209.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6"/>
                    <w:gridCol w:w="1076"/>
                    <w:gridCol w:w="1165"/>
                    <w:gridCol w:w="1249"/>
                    <w:gridCol w:w="1065"/>
                    <w:gridCol w:w="1175"/>
                  </w:tblGrid>
                  <w:tr>
                    <w:trPr>
                      <w:trHeight w:val="811" w:hRule="exact"/>
                    </w:trPr>
                    <w:tc>
                      <w:tcPr>
                        <w:tcW w:w="3486" w:type="dxa"/>
                        <w:tcBorders>
                          <w:top w:val="single" w:sz="8" w:space="0" w:color="000000"/>
                          <w:left w:val="nil" w:sz="6" w:space="0" w:color="auto"/>
                          <w:bottom w:val="single" w:sz="6" w:space="0" w:color="000000"/>
                          <w:right w:val="nil" w:sz="6" w:space="0" w:color="auto"/>
                        </w:tcBorders>
                      </w:tcPr>
                      <w:p>
                        <w:pPr>
                          <w:pStyle w:val="TableParagraph"/>
                          <w:tabs>
                            <w:tab w:pos="1214" w:val="left" w:leader="none"/>
                          </w:tabs>
                          <w:spacing w:line="281" w:lineRule="exact" w:before="163"/>
                          <w:ind w:left="7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pStyle w:val="TableParagraph"/>
                          <w:spacing w:line="281" w:lineRule="exact"/>
                          <w:ind w:right="14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076" w:type="dxa"/>
                        <w:tcBorders>
                          <w:top w:val="single" w:sz="8" w:space="0" w:color="000000"/>
                          <w:left w:val="nil" w:sz="6" w:space="0" w:color="auto"/>
                          <w:bottom w:val="single" w:sz="6" w:space="0" w:color="000000"/>
                          <w:right w:val="nil" w:sz="6" w:space="0" w:color="auto"/>
                        </w:tcBorders>
                      </w:tcPr>
                      <w:p>
                        <w:pPr>
                          <w:pStyle w:val="TableParagraph"/>
                          <w:spacing w:line="329" w:lineRule="exact"/>
                          <w:ind w:left="1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p>
                        <w:pPr>
                          <w:pStyle w:val="TableParagraph"/>
                          <w:spacing w:line="240" w:lineRule="auto" w:before="30"/>
                          <w:ind w:left="17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165" w:type="dxa"/>
                        <w:tcBorders>
                          <w:top w:val="single" w:sz="8"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249" w:type="dxa"/>
                        <w:tcBorders>
                          <w:top w:val="single" w:sz="8"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5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065" w:type="dxa"/>
                        <w:tcBorders>
                          <w:top w:val="single" w:sz="8" w:space="0" w:color="000000"/>
                          <w:left w:val="nil" w:sz="6" w:space="0" w:color="auto"/>
                          <w:bottom w:val="single" w:sz="6" w:space="0" w:color="000000"/>
                          <w:right w:val="nil" w:sz="6" w:space="0" w:color="auto"/>
                        </w:tcBorders>
                      </w:tcPr>
                      <w:p>
                        <w:pPr>
                          <w:pStyle w:val="TableParagraph"/>
                          <w:spacing w:line="329" w:lineRule="exact"/>
                          <w:ind w:left="158" w:right="0" w:firstLine="1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p>
                        <w:pPr>
                          <w:pStyle w:val="TableParagraph"/>
                          <w:spacing w:line="240" w:lineRule="auto" w:before="30"/>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175" w:type="dxa"/>
                        <w:tcBorders>
                          <w:top w:val="single" w:sz="8"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524" w:hRule="exact"/>
                    </w:trPr>
                    <w:tc>
                      <w:tcPr>
                        <w:tcW w:w="3486" w:type="dxa"/>
                        <w:tcBorders>
                          <w:top w:val="single" w:sz="6" w:space="0" w:color="000000"/>
                          <w:left w:val="nil" w:sz="6" w:space="0" w:color="auto"/>
                          <w:bottom w:val="nil" w:sz="6" w:space="0" w:color="auto"/>
                          <w:right w:val="nil" w:sz="6" w:space="0" w:color="auto"/>
                        </w:tcBorders>
                      </w:tcPr>
                      <w:p>
                        <w:pPr>
                          <w:pStyle w:val="TableParagraph"/>
                          <w:spacing w:line="196" w:lineRule="exact"/>
                          <w:ind w:left="31" w:right="0"/>
                          <w:jc w:val="left"/>
                          <w:rPr>
                            <w:rFonts w:ascii="宋体" w:hAnsi="宋体" w:cs="宋体" w:eastAsia="宋体" w:hint="default"/>
                            <w:sz w:val="21"/>
                            <w:szCs w:val="21"/>
                          </w:rPr>
                        </w:pPr>
                        <w:r>
                          <w:rPr>
                            <w:rFonts w:ascii="宋体" w:hAnsi="宋体" w:cs="宋体" w:eastAsia="宋体" w:hint="default"/>
                            <w:spacing w:val="3"/>
                            <w:sz w:val="21"/>
                            <w:szCs w:val="21"/>
                          </w:rPr>
                          <w:t>长期房屋租赁押金、电</w:t>
                        </w:r>
                      </w:p>
                      <w:p>
                        <w:pPr>
                          <w:pStyle w:val="TableParagraph"/>
                          <w:tabs>
                            <w:tab w:pos="2525" w:val="left" w:leader="none"/>
                          </w:tabs>
                          <w:spacing w:line="322" w:lineRule="exact"/>
                          <w:ind w:left="31" w:right="0"/>
                          <w:jc w:val="left"/>
                          <w:rPr>
                            <w:rFonts w:ascii="Arial" w:hAnsi="Arial" w:cs="Arial" w:eastAsia="Arial" w:hint="default"/>
                            <w:sz w:val="21"/>
                            <w:szCs w:val="21"/>
                          </w:rPr>
                        </w:pPr>
                        <w:r>
                          <w:rPr>
                            <w:rFonts w:ascii="宋体" w:hAnsi="宋体" w:cs="宋体" w:eastAsia="宋体" w:hint="default"/>
                            <w:spacing w:val="-1"/>
                            <w:position w:val="-13"/>
                            <w:sz w:val="21"/>
                            <w:szCs w:val="21"/>
                          </w:rPr>
                          <w:t>话权押金</w:t>
                          <w:tab/>
                        </w:r>
                        <w:r>
                          <w:rPr>
                            <w:rFonts w:ascii="Arial" w:hAnsi="Arial" w:cs="Arial" w:eastAsia="Arial" w:hint="default"/>
                            <w:spacing w:val="-2"/>
                            <w:w w:val="85"/>
                            <w:sz w:val="21"/>
                            <w:szCs w:val="21"/>
                          </w:rPr>
                          <w:t>678,112.77</w:t>
                        </w:r>
                        <w:r>
                          <w:rPr>
                            <w:rFonts w:ascii="Arial" w:hAnsi="Arial" w:cs="Arial" w:eastAsia="Arial" w:hint="default"/>
                            <w:spacing w:val="-2"/>
                            <w:sz w:val="21"/>
                            <w:szCs w:val="21"/>
                          </w:rPr>
                        </w:r>
                      </w:p>
                    </w:tc>
                    <w:tc>
                      <w:tcPr>
                        <w:tcW w:w="1076"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right="104"/>
                          <w:jc w:val="right"/>
                          <w:rPr>
                            <w:rFonts w:ascii="Arial" w:hAnsi="Arial" w:cs="Arial" w:eastAsia="Arial" w:hint="default"/>
                            <w:sz w:val="21"/>
                            <w:szCs w:val="21"/>
                          </w:rPr>
                        </w:pPr>
                        <w:r>
                          <w:rPr>
                            <w:rFonts w:ascii="Arial"/>
                            <w:w w:val="82"/>
                            <w:sz w:val="21"/>
                          </w:rPr>
                          <w:t>-</w:t>
                        </w:r>
                        <w:r>
                          <w:rPr>
                            <w:rFonts w:ascii="Arial"/>
                            <w:sz w:val="21"/>
                          </w:rPr>
                        </w:r>
                      </w:p>
                    </w:tc>
                    <w:tc>
                      <w:tcPr>
                        <w:tcW w:w="1165"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right="99"/>
                          <w:jc w:val="right"/>
                          <w:rPr>
                            <w:rFonts w:ascii="Arial" w:hAnsi="Arial" w:cs="Arial" w:eastAsia="Arial" w:hint="default"/>
                            <w:sz w:val="21"/>
                            <w:szCs w:val="21"/>
                          </w:rPr>
                        </w:pPr>
                        <w:r>
                          <w:rPr>
                            <w:rFonts w:ascii="Arial"/>
                            <w:spacing w:val="-2"/>
                            <w:w w:val="80"/>
                            <w:sz w:val="21"/>
                          </w:rPr>
                          <w:t>678,112.77</w:t>
                        </w:r>
                        <w:r>
                          <w:rPr>
                            <w:rFonts w:ascii="Arial"/>
                            <w:spacing w:val="-2"/>
                            <w:sz w:val="21"/>
                          </w:rPr>
                        </w:r>
                      </w:p>
                    </w:tc>
                    <w:tc>
                      <w:tcPr>
                        <w:tcW w:w="1249"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left="245" w:right="0"/>
                          <w:jc w:val="left"/>
                          <w:rPr>
                            <w:rFonts w:ascii="Arial" w:hAnsi="Arial" w:cs="Arial" w:eastAsia="Arial" w:hint="default"/>
                            <w:sz w:val="21"/>
                            <w:szCs w:val="21"/>
                          </w:rPr>
                        </w:pPr>
                        <w:r>
                          <w:rPr>
                            <w:rFonts w:ascii="Arial"/>
                            <w:w w:val="90"/>
                            <w:sz w:val="21"/>
                          </w:rPr>
                          <w:t>650,951.12</w:t>
                        </w:r>
                        <w:r>
                          <w:rPr>
                            <w:rFonts w:ascii="Arial"/>
                            <w:sz w:val="21"/>
                          </w:rPr>
                        </w:r>
                      </w:p>
                    </w:tc>
                    <w:tc>
                      <w:tcPr>
                        <w:tcW w:w="1065"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right="143"/>
                          <w:jc w:val="right"/>
                          <w:rPr>
                            <w:rFonts w:ascii="Arial" w:hAnsi="Arial" w:cs="Arial" w:eastAsia="Arial" w:hint="default"/>
                            <w:sz w:val="21"/>
                            <w:szCs w:val="21"/>
                          </w:rPr>
                        </w:pPr>
                        <w:r>
                          <w:rPr>
                            <w:rFonts w:ascii="Arial"/>
                            <w:w w:val="82"/>
                            <w:sz w:val="21"/>
                          </w:rPr>
                          <w:t>-</w:t>
                        </w:r>
                        <w:r>
                          <w:rPr>
                            <w:rFonts w:ascii="Arial"/>
                            <w:sz w:val="21"/>
                          </w:rPr>
                        </w:r>
                      </w:p>
                    </w:tc>
                    <w:tc>
                      <w:tcPr>
                        <w:tcW w:w="1175" w:type="dxa"/>
                        <w:tcBorders>
                          <w:top w:val="single" w:sz="6" w:space="0" w:color="000000"/>
                          <w:left w:val="nil" w:sz="6" w:space="0" w:color="auto"/>
                          <w:bottom w:val="nil" w:sz="6" w:space="0" w:color="auto"/>
                          <w:right w:val="nil" w:sz="6" w:space="0" w:color="auto"/>
                        </w:tcBorders>
                      </w:tcPr>
                      <w:p>
                        <w:pPr>
                          <w:pStyle w:val="TableParagraph"/>
                          <w:spacing w:line="240" w:lineRule="auto" w:before="151"/>
                          <w:ind w:left="205" w:right="0"/>
                          <w:jc w:val="left"/>
                          <w:rPr>
                            <w:rFonts w:ascii="Arial" w:hAnsi="Arial" w:cs="Arial" w:eastAsia="Arial" w:hint="default"/>
                            <w:sz w:val="21"/>
                            <w:szCs w:val="21"/>
                          </w:rPr>
                        </w:pPr>
                        <w:r>
                          <w:rPr>
                            <w:rFonts w:ascii="Arial"/>
                            <w:w w:val="85"/>
                            <w:sz w:val="21"/>
                          </w:rPr>
                          <w:t>650,951.12</w:t>
                        </w:r>
                        <w:r>
                          <w:rPr>
                            <w:rFonts w:ascii="Arial"/>
                            <w:sz w:val="21"/>
                          </w:rPr>
                        </w:r>
                      </w:p>
                    </w:tc>
                  </w:tr>
                  <w:tr>
                    <w:trPr>
                      <w:trHeight w:val="470" w:hRule="exact"/>
                    </w:trPr>
                    <w:tc>
                      <w:tcPr>
                        <w:tcW w:w="3486" w:type="dxa"/>
                        <w:tcBorders>
                          <w:top w:val="nil" w:sz="6" w:space="0" w:color="auto"/>
                          <w:left w:val="nil" w:sz="6" w:space="0" w:color="auto"/>
                          <w:bottom w:val="nil" w:sz="6" w:space="0" w:color="auto"/>
                          <w:right w:val="nil" w:sz="6" w:space="0" w:color="auto"/>
                        </w:tcBorders>
                      </w:tcPr>
                      <w:p>
                        <w:pPr>
                          <w:pStyle w:val="TableParagraph"/>
                          <w:tabs>
                            <w:tab w:pos="3317" w:val="left" w:leader="none"/>
                          </w:tabs>
                          <w:spacing w:line="240" w:lineRule="auto" w:before="56"/>
                          <w:ind w:left="31" w:right="0"/>
                          <w:jc w:val="left"/>
                          <w:rPr>
                            <w:rFonts w:ascii="Arial" w:hAnsi="Arial" w:cs="Arial" w:eastAsia="Arial" w:hint="default"/>
                            <w:sz w:val="21"/>
                            <w:szCs w:val="21"/>
                          </w:rPr>
                        </w:pPr>
                        <w:r>
                          <w:rPr>
                            <w:rFonts w:ascii="宋体" w:hAnsi="宋体" w:cs="宋体" w:eastAsia="宋体" w:hint="default"/>
                            <w:spacing w:val="-2"/>
                            <w:sz w:val="21"/>
                            <w:szCs w:val="21"/>
                          </w:rPr>
                          <w:t>其中：未实现融资收益</w:t>
                          <w:tab/>
                        </w:r>
                        <w:r>
                          <w:rPr>
                            <w:rFonts w:ascii="Arial" w:hAnsi="Arial" w:cs="Arial" w:eastAsia="Arial" w:hint="default"/>
                            <w:sz w:val="21"/>
                            <w:szCs w:val="21"/>
                          </w:rPr>
                          <w:t>-</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Arial" w:hAnsi="Arial" w:cs="Arial" w:eastAsia="Arial" w:hint="default"/>
                            <w:sz w:val="21"/>
                            <w:szCs w:val="21"/>
                          </w:rPr>
                        </w:pPr>
                        <w:r>
                          <w:rPr>
                            <w:rFonts w:ascii="Arial"/>
                            <w:w w:val="82"/>
                            <w:sz w:val="21"/>
                          </w:rPr>
                          <w:t>-</w:t>
                        </w:r>
                        <w:r>
                          <w:rPr>
                            <w:rFonts w:ascii="Arial"/>
                            <w:sz w:val="21"/>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2"/>
                          <w:jc w:val="right"/>
                          <w:rPr>
                            <w:rFonts w:ascii="Arial" w:hAnsi="Arial" w:cs="Arial" w:eastAsia="Arial" w:hint="default"/>
                            <w:sz w:val="21"/>
                            <w:szCs w:val="21"/>
                          </w:rPr>
                        </w:pPr>
                        <w:r>
                          <w:rPr>
                            <w:rFonts w:ascii="Arial"/>
                            <w:w w:val="82"/>
                            <w:sz w:val="21"/>
                          </w:rPr>
                          <w:t>-</w:t>
                        </w:r>
                        <w:r>
                          <w:rPr>
                            <w:rFonts w:ascii="Arial"/>
                            <w:sz w:val="21"/>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9"/>
                          <w:jc w:val="right"/>
                          <w:rPr>
                            <w:rFonts w:ascii="Arial" w:hAnsi="Arial" w:cs="Arial" w:eastAsia="Arial" w:hint="default"/>
                            <w:sz w:val="21"/>
                            <w:szCs w:val="21"/>
                          </w:rPr>
                        </w:pPr>
                        <w:r>
                          <w:rPr>
                            <w:rFonts w:ascii="Arial"/>
                            <w:w w:val="82"/>
                            <w:sz w:val="21"/>
                          </w:rPr>
                          <w:t>-</w:t>
                        </w:r>
                        <w:r>
                          <w:rPr>
                            <w:rFonts w:ascii="Arial"/>
                            <w:sz w:val="21"/>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3"/>
                          <w:jc w:val="right"/>
                          <w:rPr>
                            <w:rFonts w:ascii="Arial" w:hAnsi="Arial" w:cs="Arial" w:eastAsia="Arial" w:hint="default"/>
                            <w:sz w:val="21"/>
                            <w:szCs w:val="21"/>
                          </w:rPr>
                        </w:pPr>
                        <w:r>
                          <w:rPr>
                            <w:rFonts w:ascii="Arial"/>
                            <w:w w:val="82"/>
                            <w:sz w:val="21"/>
                          </w:rPr>
                          <w:t>-</w:t>
                        </w:r>
                        <w:r>
                          <w:rPr>
                            <w:rFonts w:ascii="Arial"/>
                            <w:sz w:val="21"/>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Arial" w:hAnsi="Arial" w:cs="Arial" w:eastAsia="Arial" w:hint="default"/>
                            <w:sz w:val="21"/>
                            <w:szCs w:val="21"/>
                          </w:rPr>
                        </w:pPr>
                        <w:r>
                          <w:rPr>
                            <w:rFonts w:ascii="Arial"/>
                            <w:w w:val="82"/>
                            <w:sz w:val="21"/>
                          </w:rPr>
                          <w:t>-</w:t>
                        </w:r>
                        <w:r>
                          <w:rPr>
                            <w:rFonts w:ascii="Arial"/>
                            <w:sz w:val="21"/>
                          </w:rPr>
                        </w:r>
                      </w:p>
                    </w:tc>
                  </w:tr>
                  <w:tr>
                    <w:trPr>
                      <w:trHeight w:val="470" w:hRule="exact"/>
                    </w:trPr>
                    <w:tc>
                      <w:tcPr>
                        <w:tcW w:w="3486" w:type="dxa"/>
                        <w:tcBorders>
                          <w:top w:val="nil" w:sz="6" w:space="0" w:color="auto"/>
                          <w:left w:val="nil" w:sz="6" w:space="0" w:color="auto"/>
                          <w:bottom w:val="nil" w:sz="6" w:space="0" w:color="auto"/>
                          <w:right w:val="nil" w:sz="6" w:space="0" w:color="auto"/>
                        </w:tcBorders>
                      </w:tcPr>
                      <w:p>
                        <w:pPr>
                          <w:pStyle w:val="TableParagraph"/>
                          <w:tabs>
                            <w:tab w:pos="2513" w:val="left" w:leader="none"/>
                          </w:tabs>
                          <w:spacing w:line="158" w:lineRule="auto" w:before="5"/>
                          <w:ind w:left="31" w:right="106"/>
                          <w:jc w:val="left"/>
                          <w:rPr>
                            <w:rFonts w:ascii="Arial" w:hAnsi="Arial" w:cs="Arial" w:eastAsia="Arial" w:hint="default"/>
                            <w:sz w:val="21"/>
                            <w:szCs w:val="21"/>
                          </w:rPr>
                        </w:pPr>
                        <w:r>
                          <w:rPr>
                            <w:rFonts w:ascii="宋体" w:hAnsi="宋体" w:cs="宋体" w:eastAsia="宋体" w:hint="default"/>
                            <w:spacing w:val="3"/>
                            <w:sz w:val="21"/>
                            <w:szCs w:val="21"/>
                          </w:rPr>
                          <w:t>西安市数字化“城市管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position w:val="-13"/>
                            <w:sz w:val="21"/>
                            <w:szCs w:val="21"/>
                          </w:rPr>
                          <w:t>理”信息系统开发</w:t>
                          <w:tab/>
                        </w:r>
                        <w:r>
                          <w:rPr>
                            <w:rFonts w:ascii="Arial" w:hAnsi="Arial" w:cs="Arial" w:eastAsia="Arial" w:hint="default"/>
                            <w:spacing w:val="-2"/>
                            <w:w w:val="80"/>
                            <w:sz w:val="21"/>
                            <w:szCs w:val="21"/>
                          </w:rPr>
                          <w:t>718,626.39</w:t>
                        </w:r>
                        <w:r>
                          <w:rPr>
                            <w:rFonts w:ascii="Arial" w:hAnsi="Arial" w:cs="Arial" w:eastAsia="Arial" w:hint="default"/>
                            <w:sz w:val="21"/>
                            <w:szCs w:val="21"/>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2"/>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0"/>
                          <w:jc w:val="right"/>
                          <w:rPr>
                            <w:rFonts w:ascii="Arial" w:hAnsi="Arial" w:cs="Arial" w:eastAsia="Arial" w:hint="default"/>
                            <w:sz w:val="21"/>
                            <w:szCs w:val="21"/>
                          </w:rPr>
                        </w:pPr>
                        <w:r>
                          <w:rPr>
                            <w:rFonts w:ascii="Arial"/>
                            <w:spacing w:val="-2"/>
                            <w:w w:val="80"/>
                            <w:sz w:val="21"/>
                          </w:rPr>
                          <w:t>481,674.04</w:t>
                        </w:r>
                        <w:r>
                          <w:rPr>
                            <w:rFonts w:ascii="Arial"/>
                            <w:sz w:val="21"/>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1" w:right="0"/>
                          <w:jc w:val="left"/>
                          <w:rPr>
                            <w:rFonts w:ascii="Arial" w:hAnsi="Arial" w:cs="Arial" w:eastAsia="Arial" w:hint="default"/>
                            <w:sz w:val="21"/>
                            <w:szCs w:val="21"/>
                          </w:rPr>
                        </w:pPr>
                        <w:r>
                          <w:rPr>
                            <w:rFonts w:ascii="Arial"/>
                            <w:spacing w:val="-2"/>
                            <w:w w:val="90"/>
                            <w:sz w:val="21"/>
                          </w:rPr>
                          <w:t>4,960,037.44</w:t>
                        </w:r>
                        <w:r>
                          <w:rPr>
                            <w:rFonts w:ascii="Arial"/>
                            <w:sz w:val="21"/>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1"/>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1" w:right="0"/>
                          <w:jc w:val="left"/>
                          <w:rPr>
                            <w:rFonts w:ascii="Arial" w:hAnsi="Arial" w:cs="Arial" w:eastAsia="Arial" w:hint="default"/>
                            <w:sz w:val="21"/>
                            <w:szCs w:val="21"/>
                          </w:rPr>
                        </w:pPr>
                        <w:r>
                          <w:rPr>
                            <w:rFonts w:ascii="Arial"/>
                            <w:spacing w:val="-2"/>
                            <w:w w:val="85"/>
                            <w:sz w:val="21"/>
                          </w:rPr>
                          <w:t>4,723,085.09</w:t>
                        </w:r>
                        <w:r>
                          <w:rPr>
                            <w:rFonts w:ascii="Arial"/>
                            <w:sz w:val="21"/>
                          </w:rPr>
                        </w:r>
                      </w:p>
                    </w:tc>
                  </w:tr>
                  <w:tr>
                    <w:trPr>
                      <w:trHeight w:val="434" w:hRule="exact"/>
                    </w:trPr>
                    <w:tc>
                      <w:tcPr>
                        <w:tcW w:w="3486" w:type="dxa"/>
                        <w:tcBorders>
                          <w:top w:val="nil" w:sz="6" w:space="0" w:color="auto"/>
                          <w:left w:val="nil" w:sz="6" w:space="0" w:color="auto"/>
                          <w:bottom w:val="single" w:sz="6" w:space="0" w:color="000000"/>
                          <w:right w:val="nil" w:sz="6" w:space="0" w:color="auto"/>
                        </w:tcBorders>
                      </w:tcPr>
                      <w:p>
                        <w:pPr>
                          <w:pStyle w:val="TableParagraph"/>
                          <w:tabs>
                            <w:tab w:pos="3317" w:val="left" w:leader="none"/>
                          </w:tabs>
                          <w:spacing w:line="240" w:lineRule="auto" w:before="59"/>
                          <w:ind w:left="31" w:right="0"/>
                          <w:jc w:val="left"/>
                          <w:rPr>
                            <w:rFonts w:ascii="Arial" w:hAnsi="Arial" w:cs="Arial" w:eastAsia="Arial" w:hint="default"/>
                            <w:sz w:val="21"/>
                            <w:szCs w:val="21"/>
                          </w:rPr>
                        </w:pPr>
                        <w:r>
                          <w:rPr>
                            <w:rFonts w:ascii="宋体" w:hAnsi="宋体" w:cs="宋体" w:eastAsia="宋体" w:hint="default"/>
                            <w:spacing w:val="-2"/>
                            <w:sz w:val="21"/>
                            <w:szCs w:val="21"/>
                          </w:rPr>
                          <w:t>其中：未实现融资收益</w:t>
                          <w:tab/>
                        </w:r>
                        <w:r>
                          <w:rPr>
                            <w:rFonts w:ascii="Arial" w:hAnsi="Arial" w:cs="Arial" w:eastAsia="Arial" w:hint="default"/>
                            <w:sz w:val="21"/>
                            <w:szCs w:val="21"/>
                          </w:rPr>
                          <w:t>-</w:t>
                        </w:r>
                      </w:p>
                    </w:tc>
                    <w:tc>
                      <w:tcPr>
                        <w:tcW w:w="1076"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104"/>
                          <w:jc w:val="right"/>
                          <w:rPr>
                            <w:rFonts w:ascii="Arial" w:hAnsi="Arial" w:cs="Arial" w:eastAsia="Arial" w:hint="default"/>
                            <w:sz w:val="21"/>
                            <w:szCs w:val="21"/>
                          </w:rPr>
                        </w:pPr>
                        <w:r>
                          <w:rPr>
                            <w:rFonts w:ascii="Arial"/>
                            <w:w w:val="82"/>
                            <w:sz w:val="21"/>
                          </w:rPr>
                          <w:t>-</w:t>
                        </w:r>
                        <w:r>
                          <w:rPr>
                            <w:rFonts w:ascii="Arial"/>
                            <w:sz w:val="21"/>
                          </w:rPr>
                        </w:r>
                      </w:p>
                    </w:tc>
                    <w:tc>
                      <w:tcPr>
                        <w:tcW w:w="1165"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102"/>
                          <w:jc w:val="right"/>
                          <w:rPr>
                            <w:rFonts w:ascii="Arial" w:hAnsi="Arial" w:cs="Arial" w:eastAsia="Arial" w:hint="default"/>
                            <w:sz w:val="21"/>
                            <w:szCs w:val="21"/>
                          </w:rPr>
                        </w:pPr>
                        <w:r>
                          <w:rPr>
                            <w:rFonts w:ascii="Arial"/>
                            <w:w w:val="82"/>
                            <w:sz w:val="21"/>
                          </w:rPr>
                          <w:t>-</w:t>
                        </w:r>
                        <w:r>
                          <w:rPr>
                            <w:rFonts w:ascii="Arial"/>
                            <w:sz w:val="21"/>
                          </w:rPr>
                        </w:r>
                      </w:p>
                    </w:tc>
                    <w:tc>
                      <w:tcPr>
                        <w:tcW w:w="1249"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left="245" w:right="0"/>
                          <w:jc w:val="left"/>
                          <w:rPr>
                            <w:rFonts w:ascii="Arial" w:hAnsi="Arial" w:cs="Arial" w:eastAsia="Arial" w:hint="default"/>
                            <w:sz w:val="21"/>
                            <w:szCs w:val="21"/>
                          </w:rPr>
                        </w:pPr>
                        <w:r>
                          <w:rPr>
                            <w:rFonts w:ascii="Arial"/>
                            <w:w w:val="90"/>
                            <w:sz w:val="21"/>
                          </w:rPr>
                          <w:t>220,990.36</w:t>
                        </w:r>
                        <w:r>
                          <w:rPr>
                            <w:rFonts w:ascii="Arial"/>
                            <w:sz w:val="21"/>
                          </w:rPr>
                        </w:r>
                      </w:p>
                    </w:tc>
                    <w:tc>
                      <w:tcPr>
                        <w:tcW w:w="1065"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143"/>
                          <w:jc w:val="right"/>
                          <w:rPr>
                            <w:rFonts w:ascii="Arial" w:hAnsi="Arial" w:cs="Arial" w:eastAsia="Arial" w:hint="default"/>
                            <w:sz w:val="21"/>
                            <w:szCs w:val="21"/>
                          </w:rPr>
                        </w:pPr>
                        <w:r>
                          <w:rPr>
                            <w:rFonts w:ascii="Arial"/>
                            <w:w w:val="82"/>
                            <w:sz w:val="21"/>
                          </w:rPr>
                          <w:t>-</w:t>
                        </w:r>
                        <w:r>
                          <w:rPr>
                            <w:rFonts w:ascii="Arial"/>
                            <w:sz w:val="21"/>
                          </w:rPr>
                        </w:r>
                      </w:p>
                    </w:tc>
                    <w:tc>
                      <w:tcPr>
                        <w:tcW w:w="1175"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left="205" w:right="0"/>
                          <w:jc w:val="left"/>
                          <w:rPr>
                            <w:rFonts w:ascii="Arial" w:hAnsi="Arial" w:cs="Arial" w:eastAsia="Arial" w:hint="default"/>
                            <w:sz w:val="21"/>
                            <w:szCs w:val="21"/>
                          </w:rPr>
                        </w:pPr>
                        <w:r>
                          <w:rPr>
                            <w:rFonts w:ascii="Arial"/>
                            <w:w w:val="85"/>
                            <w:sz w:val="21"/>
                          </w:rPr>
                          <w:t>220,990.36</w:t>
                        </w:r>
                        <w:r>
                          <w:rPr>
                            <w:rFonts w:ascii="Arial"/>
                            <w:sz w:val="21"/>
                          </w:rPr>
                        </w:r>
                      </w:p>
                    </w:tc>
                  </w:tr>
                  <w:tr>
                    <w:trPr>
                      <w:trHeight w:val="470" w:hRule="exact"/>
                    </w:trPr>
                    <w:tc>
                      <w:tcPr>
                        <w:tcW w:w="3486" w:type="dxa"/>
                        <w:tcBorders>
                          <w:top w:val="single" w:sz="6" w:space="0" w:color="000000"/>
                          <w:left w:val="nil" w:sz="6" w:space="0" w:color="auto"/>
                          <w:bottom w:val="nil" w:sz="6" w:space="0" w:color="auto"/>
                          <w:right w:val="nil" w:sz="6" w:space="0" w:color="auto"/>
                        </w:tcBorders>
                      </w:tcPr>
                      <w:p>
                        <w:pPr>
                          <w:pStyle w:val="TableParagraph"/>
                          <w:tabs>
                            <w:tab w:pos="453" w:val="left" w:leader="none"/>
                            <w:tab w:pos="2369" w:val="left" w:leader="none"/>
                          </w:tabs>
                          <w:spacing w:line="240" w:lineRule="auto" w:before="31"/>
                          <w:ind w:left="31" w:right="0"/>
                          <w:jc w:val="left"/>
                          <w:rPr>
                            <w:rFonts w:ascii="Arial" w:hAnsi="Arial" w:cs="Arial" w:eastAsia="Arial" w:hint="default"/>
                            <w:sz w:val="21"/>
                            <w:szCs w:val="21"/>
                          </w:rPr>
                        </w:pPr>
                        <w:r>
                          <w:rPr>
                            <w:rFonts w:ascii="宋体" w:hAnsi="宋体" w:cs="宋体" w:eastAsia="宋体" w:hint="default"/>
                            <w:sz w:val="21"/>
                            <w:szCs w:val="21"/>
                          </w:rPr>
                          <w:t>小</w:t>
                          <w:tab/>
                          <w:t>计</w:t>
                          <w:tab/>
                        </w:r>
                        <w:r>
                          <w:rPr>
                            <w:rFonts w:ascii="Arial" w:hAnsi="Arial" w:cs="Arial" w:eastAsia="Arial" w:hint="default"/>
                            <w:spacing w:val="-2"/>
                            <w:w w:val="85"/>
                            <w:sz w:val="21"/>
                            <w:szCs w:val="21"/>
                          </w:rPr>
                          <w:t>1,396,739.16</w:t>
                        </w:r>
                        <w:r>
                          <w:rPr>
                            <w:rFonts w:ascii="Arial" w:hAnsi="Arial" w:cs="Arial" w:eastAsia="Arial" w:hint="default"/>
                            <w:sz w:val="21"/>
                            <w:szCs w:val="21"/>
                          </w:rPr>
                        </w:r>
                      </w:p>
                    </w:tc>
                    <w:tc>
                      <w:tcPr>
                        <w:tcW w:w="1076"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right="102"/>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65"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right="100"/>
                          <w:jc w:val="right"/>
                          <w:rPr>
                            <w:rFonts w:ascii="Arial" w:hAnsi="Arial" w:cs="Arial" w:eastAsia="Arial" w:hint="default"/>
                            <w:sz w:val="21"/>
                            <w:szCs w:val="21"/>
                          </w:rPr>
                        </w:pPr>
                        <w:r>
                          <w:rPr>
                            <w:rFonts w:ascii="Arial"/>
                            <w:spacing w:val="-2"/>
                            <w:w w:val="80"/>
                            <w:sz w:val="21"/>
                          </w:rPr>
                          <w:t>1,159,786.81</w:t>
                        </w:r>
                        <w:r>
                          <w:rPr>
                            <w:rFonts w:ascii="Arial"/>
                            <w:sz w:val="21"/>
                          </w:rPr>
                        </w:r>
                      </w:p>
                    </w:tc>
                    <w:tc>
                      <w:tcPr>
                        <w:tcW w:w="1249"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101" w:right="0"/>
                          <w:jc w:val="left"/>
                          <w:rPr>
                            <w:rFonts w:ascii="Arial" w:hAnsi="Arial" w:cs="Arial" w:eastAsia="Arial" w:hint="default"/>
                            <w:sz w:val="21"/>
                            <w:szCs w:val="21"/>
                          </w:rPr>
                        </w:pPr>
                        <w:r>
                          <w:rPr>
                            <w:rFonts w:ascii="Arial"/>
                            <w:spacing w:val="-2"/>
                            <w:w w:val="90"/>
                            <w:sz w:val="21"/>
                          </w:rPr>
                          <w:t>5,389,998.20</w:t>
                        </w:r>
                        <w:r>
                          <w:rPr>
                            <w:rFonts w:ascii="Arial"/>
                            <w:sz w:val="21"/>
                          </w:rPr>
                        </w:r>
                      </w:p>
                    </w:tc>
                    <w:tc>
                      <w:tcPr>
                        <w:tcW w:w="1065"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right="141"/>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75" w:type="dxa"/>
                        <w:tcBorders>
                          <w:top w:val="single" w:sz="6" w:space="0" w:color="000000"/>
                          <w:left w:val="nil" w:sz="6" w:space="0" w:color="auto"/>
                          <w:bottom w:val="nil" w:sz="6" w:space="0" w:color="auto"/>
                          <w:right w:val="nil" w:sz="6" w:space="0" w:color="auto"/>
                        </w:tcBorders>
                      </w:tcPr>
                      <w:p>
                        <w:pPr>
                          <w:pStyle w:val="TableParagraph"/>
                          <w:spacing w:line="240" w:lineRule="auto" w:before="74"/>
                          <w:ind w:left="61" w:right="0"/>
                          <w:jc w:val="left"/>
                          <w:rPr>
                            <w:rFonts w:ascii="Arial" w:hAnsi="Arial" w:cs="Arial" w:eastAsia="Arial" w:hint="default"/>
                            <w:sz w:val="21"/>
                            <w:szCs w:val="21"/>
                          </w:rPr>
                        </w:pPr>
                        <w:r>
                          <w:rPr>
                            <w:rFonts w:ascii="Arial"/>
                            <w:spacing w:val="-2"/>
                            <w:w w:val="85"/>
                            <w:sz w:val="21"/>
                          </w:rPr>
                          <w:t>5,153,045.85</w:t>
                        </w:r>
                        <w:r>
                          <w:rPr>
                            <w:rFonts w:ascii="Arial"/>
                            <w:sz w:val="21"/>
                          </w:rPr>
                        </w:r>
                      </w:p>
                    </w:tc>
                  </w:tr>
                  <w:tr>
                    <w:trPr>
                      <w:trHeight w:val="567" w:hRule="exact"/>
                    </w:trPr>
                    <w:tc>
                      <w:tcPr>
                        <w:tcW w:w="3486" w:type="dxa"/>
                        <w:tcBorders>
                          <w:top w:val="nil" w:sz="6" w:space="0" w:color="auto"/>
                          <w:left w:val="nil" w:sz="6" w:space="0" w:color="auto"/>
                          <w:bottom w:val="single" w:sz="6" w:space="0" w:color="000000"/>
                          <w:right w:val="nil" w:sz="6" w:space="0" w:color="auto"/>
                        </w:tcBorders>
                      </w:tcPr>
                      <w:p>
                        <w:pPr>
                          <w:pStyle w:val="TableParagraph"/>
                          <w:spacing w:line="169" w:lineRule="exact"/>
                          <w:ind w:left="31"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Arial" w:hAnsi="Arial" w:cs="Arial" w:eastAsia="Arial" w:hint="default"/>
                            <w:w w:val="82"/>
                            <w:sz w:val="21"/>
                            <w:szCs w:val="21"/>
                          </w:rPr>
                          <w:t>1</w:t>
                        </w:r>
                        <w:r>
                          <w:rPr>
                            <w:rFonts w:ascii="Arial" w:hAnsi="Arial" w:cs="Arial" w:eastAsia="Arial"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到</w:t>
                        </w:r>
                        <w:r>
                          <w:rPr>
                            <w:rFonts w:ascii="宋体" w:hAnsi="宋体" w:cs="宋体" w:eastAsia="宋体" w:hint="default"/>
                            <w:spacing w:val="-3"/>
                            <w:w w:val="100"/>
                            <w:sz w:val="21"/>
                            <w:szCs w:val="21"/>
                          </w:rPr>
                          <w:t>期</w:t>
                        </w:r>
                        <w:r>
                          <w:rPr>
                            <w:rFonts w:ascii="宋体" w:hAnsi="宋体" w:cs="宋体" w:eastAsia="宋体" w:hint="default"/>
                            <w:w w:val="100"/>
                            <w:sz w:val="21"/>
                            <w:szCs w:val="21"/>
                          </w:rPr>
                          <w:t>的</w:t>
                        </w:r>
                        <w:r>
                          <w:rPr>
                            <w:rFonts w:ascii="宋体" w:hAnsi="宋体" w:cs="宋体" w:eastAsia="宋体" w:hint="default"/>
                            <w:spacing w:val="-3"/>
                            <w:w w:val="100"/>
                            <w:sz w:val="21"/>
                            <w:szCs w:val="21"/>
                          </w:rPr>
                          <w:t>长</w:t>
                        </w:r>
                        <w:r>
                          <w:rPr>
                            <w:rFonts w:ascii="宋体" w:hAnsi="宋体" w:cs="宋体" w:eastAsia="宋体" w:hint="default"/>
                            <w:w w:val="100"/>
                            <w:sz w:val="21"/>
                            <w:szCs w:val="21"/>
                          </w:rPr>
                          <w:t>期应</w:t>
                        </w:r>
                      </w:p>
                      <w:p>
                        <w:pPr>
                          <w:pStyle w:val="TableParagraph"/>
                          <w:spacing w:line="198" w:lineRule="exact"/>
                          <w:ind w:right="106"/>
                          <w:jc w:val="right"/>
                          <w:rPr>
                            <w:rFonts w:ascii="Arial" w:hAnsi="Arial" w:cs="Arial" w:eastAsia="Arial" w:hint="default"/>
                            <w:sz w:val="21"/>
                            <w:szCs w:val="21"/>
                          </w:rPr>
                        </w:pPr>
                        <w:r>
                          <w:rPr>
                            <w:rFonts w:ascii="Arial"/>
                            <w:spacing w:val="-2"/>
                            <w:w w:val="80"/>
                            <w:sz w:val="21"/>
                          </w:rPr>
                          <w:t>718,626.39</w:t>
                        </w:r>
                        <w:r>
                          <w:rPr>
                            <w:rFonts w:ascii="Arial"/>
                            <w:sz w:val="21"/>
                          </w:rPr>
                        </w:r>
                      </w:p>
                    </w:tc>
                    <w:tc>
                      <w:tcPr>
                        <w:tcW w:w="1076"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right="102"/>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65"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right="100"/>
                          <w:jc w:val="right"/>
                          <w:rPr>
                            <w:rFonts w:ascii="Arial" w:hAnsi="Arial" w:cs="Arial" w:eastAsia="Arial" w:hint="default"/>
                            <w:sz w:val="21"/>
                            <w:szCs w:val="21"/>
                          </w:rPr>
                        </w:pPr>
                        <w:r>
                          <w:rPr>
                            <w:rFonts w:ascii="Arial"/>
                            <w:spacing w:val="-2"/>
                            <w:w w:val="80"/>
                            <w:sz w:val="21"/>
                          </w:rPr>
                          <w:t>481,674.04</w:t>
                        </w:r>
                        <w:r>
                          <w:rPr>
                            <w:rFonts w:ascii="Arial"/>
                            <w:sz w:val="21"/>
                          </w:rPr>
                        </w:r>
                      </w:p>
                    </w:tc>
                    <w:tc>
                      <w:tcPr>
                        <w:tcW w:w="1249"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left="101" w:right="0"/>
                          <w:jc w:val="left"/>
                          <w:rPr>
                            <w:rFonts w:ascii="Arial" w:hAnsi="Arial" w:cs="Arial" w:eastAsia="Arial" w:hint="default"/>
                            <w:sz w:val="21"/>
                            <w:szCs w:val="21"/>
                          </w:rPr>
                        </w:pPr>
                        <w:r>
                          <w:rPr>
                            <w:rFonts w:ascii="Arial"/>
                            <w:spacing w:val="-2"/>
                            <w:w w:val="90"/>
                            <w:sz w:val="21"/>
                          </w:rPr>
                          <w:t>4,739,047.08</w:t>
                        </w:r>
                        <w:r>
                          <w:rPr>
                            <w:rFonts w:ascii="Arial"/>
                            <w:sz w:val="21"/>
                          </w:rPr>
                        </w:r>
                      </w:p>
                    </w:tc>
                    <w:tc>
                      <w:tcPr>
                        <w:tcW w:w="1065"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right="141"/>
                          <w:jc w:val="right"/>
                          <w:rPr>
                            <w:rFonts w:ascii="Arial" w:hAnsi="Arial" w:cs="Arial" w:eastAsia="Arial" w:hint="default"/>
                            <w:sz w:val="21"/>
                            <w:szCs w:val="21"/>
                          </w:rPr>
                        </w:pPr>
                        <w:r>
                          <w:rPr>
                            <w:rFonts w:ascii="Arial"/>
                            <w:spacing w:val="-2"/>
                            <w:w w:val="80"/>
                            <w:sz w:val="21"/>
                          </w:rPr>
                          <w:t>236,952.35</w:t>
                        </w:r>
                        <w:r>
                          <w:rPr>
                            <w:rFonts w:ascii="Arial"/>
                            <w:sz w:val="21"/>
                          </w:rPr>
                        </w:r>
                      </w:p>
                    </w:tc>
                    <w:tc>
                      <w:tcPr>
                        <w:tcW w:w="1175"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left="61" w:right="0"/>
                          <w:jc w:val="left"/>
                          <w:rPr>
                            <w:rFonts w:ascii="Arial" w:hAnsi="Arial" w:cs="Arial" w:eastAsia="Arial" w:hint="default"/>
                            <w:sz w:val="21"/>
                            <w:szCs w:val="21"/>
                          </w:rPr>
                        </w:pPr>
                        <w:r>
                          <w:rPr>
                            <w:rFonts w:ascii="Arial"/>
                            <w:spacing w:val="-2"/>
                            <w:w w:val="85"/>
                            <w:sz w:val="21"/>
                          </w:rPr>
                          <w:t>4,502,094.73</w:t>
                        </w:r>
                        <w:r>
                          <w:rPr>
                            <w:rFonts w:ascii="Arial"/>
                            <w:sz w:val="21"/>
                          </w:rPr>
                        </w:r>
                      </w:p>
                    </w:tc>
                  </w:tr>
                  <w:tr>
                    <w:trPr>
                      <w:trHeight w:val="415" w:hRule="exact"/>
                    </w:trPr>
                    <w:tc>
                      <w:tcPr>
                        <w:tcW w:w="3486" w:type="dxa"/>
                        <w:tcBorders>
                          <w:top w:val="single" w:sz="6" w:space="0" w:color="000000"/>
                          <w:left w:val="nil" w:sz="6" w:space="0" w:color="auto"/>
                          <w:bottom w:val="single" w:sz="8" w:space="0" w:color="000000"/>
                          <w:right w:val="nil" w:sz="6" w:space="0" w:color="auto"/>
                        </w:tcBorders>
                      </w:tcPr>
                      <w:p>
                        <w:pPr>
                          <w:pStyle w:val="TableParagraph"/>
                          <w:tabs>
                            <w:tab w:pos="453" w:val="left" w:leader="none"/>
                            <w:tab w:pos="2522" w:val="left" w:leader="none"/>
                          </w:tabs>
                          <w:spacing w:line="329" w:lineRule="exact"/>
                          <w:ind w:left="31" w:right="0"/>
                          <w:jc w:val="left"/>
                          <w:rPr>
                            <w:rFonts w:ascii="Arial" w:hAnsi="Arial" w:cs="Arial" w:eastAsia="Arial" w:hint="default"/>
                            <w:sz w:val="21"/>
                            <w:szCs w:val="21"/>
                          </w:rPr>
                        </w:pPr>
                        <w:r>
                          <w:rPr>
                            <w:rFonts w:ascii="Microsoft JhengHei" w:hAnsi="Microsoft JhengHei" w:cs="Microsoft JhengHei" w:eastAsia="Microsoft JhengHei" w:hint="default"/>
                            <w:b/>
                            <w:bCs/>
                            <w:sz w:val="21"/>
                            <w:szCs w:val="21"/>
                          </w:rPr>
                          <w:t>合</w:t>
                          <w:tab/>
                          <w:t>计</w:t>
                          <w:tab/>
                        </w:r>
                        <w:r>
                          <w:rPr>
                            <w:rFonts w:ascii="Arial" w:hAnsi="Arial" w:cs="Arial" w:eastAsia="Arial" w:hint="default"/>
                            <w:b/>
                            <w:bCs/>
                            <w:w w:val="85"/>
                            <w:sz w:val="21"/>
                            <w:szCs w:val="21"/>
                          </w:rPr>
                          <w:t>678,112.77</w:t>
                        </w:r>
                        <w:r>
                          <w:rPr>
                            <w:rFonts w:ascii="Arial" w:hAnsi="Arial" w:cs="Arial" w:eastAsia="Arial" w:hint="default"/>
                            <w:sz w:val="21"/>
                            <w:szCs w:val="21"/>
                          </w:rPr>
                        </w:r>
                      </w:p>
                    </w:tc>
                    <w:tc>
                      <w:tcPr>
                        <w:tcW w:w="1076" w:type="dxa"/>
                        <w:tcBorders>
                          <w:top w:val="single" w:sz="6" w:space="0" w:color="000000"/>
                          <w:left w:val="nil" w:sz="6" w:space="0" w:color="auto"/>
                          <w:bottom w:val="single" w:sz="8" w:space="0" w:color="000000"/>
                          <w:right w:val="nil" w:sz="6" w:space="0" w:color="auto"/>
                        </w:tcBorders>
                      </w:tcPr>
                      <w:p>
                        <w:pPr>
                          <w:pStyle w:val="TableParagraph"/>
                          <w:spacing w:line="240" w:lineRule="auto" w:before="76"/>
                          <w:ind w:right="104"/>
                          <w:jc w:val="right"/>
                          <w:rPr>
                            <w:rFonts w:ascii="Arial" w:hAnsi="Arial" w:cs="Arial" w:eastAsia="Arial" w:hint="default"/>
                            <w:sz w:val="21"/>
                            <w:szCs w:val="21"/>
                          </w:rPr>
                        </w:pPr>
                        <w:r>
                          <w:rPr>
                            <w:rFonts w:ascii="Arial"/>
                            <w:b/>
                            <w:w w:val="82"/>
                            <w:sz w:val="21"/>
                          </w:rPr>
                          <w:t>-</w:t>
                        </w:r>
                        <w:r>
                          <w:rPr>
                            <w:rFonts w:ascii="Arial"/>
                            <w:sz w:val="21"/>
                          </w:rPr>
                        </w:r>
                      </w:p>
                    </w:tc>
                    <w:tc>
                      <w:tcPr>
                        <w:tcW w:w="1165" w:type="dxa"/>
                        <w:tcBorders>
                          <w:top w:val="single" w:sz="6" w:space="0" w:color="000000"/>
                          <w:left w:val="nil" w:sz="6" w:space="0" w:color="auto"/>
                          <w:bottom w:val="single" w:sz="8" w:space="0" w:color="000000"/>
                          <w:right w:val="nil" w:sz="6" w:space="0" w:color="auto"/>
                        </w:tcBorders>
                      </w:tcPr>
                      <w:p>
                        <w:pPr>
                          <w:pStyle w:val="TableParagraph"/>
                          <w:spacing w:line="240" w:lineRule="auto" w:before="76"/>
                          <w:ind w:right="99"/>
                          <w:jc w:val="right"/>
                          <w:rPr>
                            <w:rFonts w:ascii="Arial" w:hAnsi="Arial" w:cs="Arial" w:eastAsia="Arial" w:hint="default"/>
                            <w:sz w:val="21"/>
                            <w:szCs w:val="21"/>
                          </w:rPr>
                        </w:pPr>
                        <w:r>
                          <w:rPr>
                            <w:rFonts w:ascii="Arial"/>
                            <w:b/>
                            <w:spacing w:val="-2"/>
                            <w:w w:val="80"/>
                            <w:sz w:val="21"/>
                          </w:rPr>
                          <w:t>678,112.77</w:t>
                        </w:r>
                        <w:r>
                          <w:rPr>
                            <w:rFonts w:ascii="Arial"/>
                            <w:spacing w:val="-2"/>
                            <w:sz w:val="21"/>
                          </w:rPr>
                        </w:r>
                      </w:p>
                    </w:tc>
                    <w:tc>
                      <w:tcPr>
                        <w:tcW w:w="1249" w:type="dxa"/>
                        <w:tcBorders>
                          <w:top w:val="single" w:sz="6" w:space="0" w:color="000000"/>
                          <w:left w:val="nil" w:sz="6" w:space="0" w:color="auto"/>
                          <w:bottom w:val="single" w:sz="8" w:space="0" w:color="000000"/>
                          <w:right w:val="nil" w:sz="6" w:space="0" w:color="auto"/>
                        </w:tcBorders>
                      </w:tcPr>
                      <w:p>
                        <w:pPr>
                          <w:pStyle w:val="TableParagraph"/>
                          <w:spacing w:line="240" w:lineRule="auto" w:before="76"/>
                          <w:ind w:left="245" w:right="0"/>
                          <w:jc w:val="left"/>
                          <w:rPr>
                            <w:rFonts w:ascii="Arial" w:hAnsi="Arial" w:cs="Arial" w:eastAsia="Arial" w:hint="default"/>
                            <w:sz w:val="21"/>
                            <w:szCs w:val="21"/>
                          </w:rPr>
                        </w:pPr>
                        <w:r>
                          <w:rPr>
                            <w:rFonts w:ascii="Arial"/>
                            <w:b/>
                            <w:w w:val="90"/>
                            <w:sz w:val="21"/>
                          </w:rPr>
                          <w:t>650,951.12</w:t>
                        </w:r>
                        <w:r>
                          <w:rPr>
                            <w:rFonts w:ascii="Arial"/>
                            <w:sz w:val="21"/>
                          </w:rPr>
                        </w:r>
                      </w:p>
                    </w:tc>
                    <w:tc>
                      <w:tcPr>
                        <w:tcW w:w="1065" w:type="dxa"/>
                        <w:tcBorders>
                          <w:top w:val="single" w:sz="6" w:space="0" w:color="000000"/>
                          <w:left w:val="nil" w:sz="6" w:space="0" w:color="auto"/>
                          <w:bottom w:val="single" w:sz="8" w:space="0" w:color="000000"/>
                          <w:right w:val="nil" w:sz="6" w:space="0" w:color="auto"/>
                        </w:tcBorders>
                      </w:tcPr>
                      <w:p>
                        <w:pPr>
                          <w:pStyle w:val="TableParagraph"/>
                          <w:spacing w:line="240" w:lineRule="auto" w:before="76"/>
                          <w:ind w:right="143"/>
                          <w:jc w:val="right"/>
                          <w:rPr>
                            <w:rFonts w:ascii="Arial" w:hAnsi="Arial" w:cs="Arial" w:eastAsia="Arial" w:hint="default"/>
                            <w:sz w:val="21"/>
                            <w:szCs w:val="21"/>
                          </w:rPr>
                        </w:pPr>
                        <w:r>
                          <w:rPr>
                            <w:rFonts w:ascii="Arial"/>
                            <w:b/>
                            <w:w w:val="82"/>
                            <w:sz w:val="21"/>
                          </w:rPr>
                          <w:t>-</w:t>
                        </w:r>
                        <w:r>
                          <w:rPr>
                            <w:rFonts w:ascii="Arial"/>
                            <w:sz w:val="21"/>
                          </w:rPr>
                        </w:r>
                      </w:p>
                    </w:tc>
                    <w:tc>
                      <w:tcPr>
                        <w:tcW w:w="1175" w:type="dxa"/>
                        <w:tcBorders>
                          <w:top w:val="single" w:sz="6" w:space="0" w:color="000000"/>
                          <w:left w:val="nil" w:sz="6" w:space="0" w:color="auto"/>
                          <w:bottom w:val="single" w:sz="8" w:space="0" w:color="000000"/>
                          <w:right w:val="nil" w:sz="6" w:space="0" w:color="auto"/>
                        </w:tcBorders>
                      </w:tcPr>
                      <w:p>
                        <w:pPr>
                          <w:pStyle w:val="TableParagraph"/>
                          <w:spacing w:line="240" w:lineRule="auto" w:before="76"/>
                          <w:ind w:left="205" w:right="0"/>
                          <w:jc w:val="left"/>
                          <w:rPr>
                            <w:rFonts w:ascii="Arial" w:hAnsi="Arial" w:cs="Arial" w:eastAsia="Arial" w:hint="default"/>
                            <w:sz w:val="21"/>
                            <w:szCs w:val="21"/>
                          </w:rPr>
                        </w:pPr>
                        <w:r>
                          <w:rPr>
                            <w:rFonts w:ascii="Arial"/>
                            <w:b/>
                            <w:w w:val="85"/>
                            <w:sz w:val="21"/>
                          </w:rPr>
                          <w:t>650,951.12</w:t>
                        </w:r>
                        <w:r>
                          <w:rPr>
                            <w:rFonts w:ascii="Arial"/>
                            <w:sz w:val="21"/>
                          </w:rPr>
                        </w:r>
                      </w:p>
                    </w:tc>
                  </w:tr>
                </w:tbl>
                <w:p>
                  <w:pPr/>
                </w:p>
              </w:txbxContent>
            </v:textbox>
            <w10:wrap type="none"/>
          </v:shape>
        </w:pict>
      </w:r>
      <w:r>
        <w:rPr>
          <w:rFonts w:ascii="宋体" w:hAnsi="宋体" w:cs="宋体" w:eastAsia="宋体" w:hint="default"/>
          <w:sz w:val="21"/>
          <w:szCs w:val="21"/>
        </w:rPr>
        <w:t>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6" w:lineRule="auto" w:before="203"/>
        <w:ind w:left="622" w:right="142" w:firstLine="479"/>
        <w:jc w:val="left"/>
      </w:pPr>
      <w:r>
        <w:rPr>
          <w:rFonts w:ascii="Calibri" w:hAnsi="Calibri" w:cs="Calibri" w:eastAsia="Calibri" w:hint="default"/>
        </w:rPr>
        <w:t>2011</w:t>
      </w:r>
      <w:r>
        <w:rPr/>
        <w:t>年</w:t>
      </w:r>
      <w:r>
        <w:rPr>
          <w:rFonts w:ascii="Calibri" w:hAnsi="Calibri" w:cs="Calibri" w:eastAsia="Calibri" w:hint="default"/>
        </w:rPr>
        <w:t>7</w:t>
      </w:r>
      <w:r>
        <w:rPr/>
        <w:t>月，本公司与西安市城市管理综合行政执法局签订《西安市数字化</w:t>
      </w:r>
      <w:r>
        <w:rPr>
          <w:rFonts w:ascii="Calibri" w:hAnsi="Calibri" w:cs="Calibri" w:eastAsia="Calibri" w:hint="default"/>
        </w:rPr>
        <w:t>“</w:t>
      </w:r>
      <w:r>
        <w:rPr/>
        <w:t>城市管 理</w:t>
      </w:r>
      <w:r>
        <w:rPr>
          <w:rFonts w:ascii="Calibri" w:hAnsi="Calibri" w:cs="Calibri" w:eastAsia="Calibri" w:hint="default"/>
        </w:rPr>
        <w:t>”</w:t>
      </w:r>
      <w:r>
        <w:rPr/>
        <w:t>信息系统供货合同》，合同总价</w:t>
      </w:r>
      <w:r>
        <w:rPr>
          <w:rFonts w:ascii="Calibri" w:hAnsi="Calibri" w:cs="Calibri" w:eastAsia="Calibri" w:hint="default"/>
        </w:rPr>
        <w:t>34,959,300.00</w:t>
      </w:r>
      <w:r>
        <w:rPr/>
        <w:t>元。对方分别于项目初步验收通过之日 起</w:t>
      </w:r>
      <w:r>
        <w:rPr>
          <w:rFonts w:ascii="Calibri" w:hAnsi="Calibri" w:cs="Calibri" w:eastAsia="Calibri" w:hint="default"/>
        </w:rPr>
        <w:t>20</w:t>
      </w:r>
      <w:r>
        <w:rPr/>
        <w:t>个工作日内、首次付款后第二年同月份、首次付款后第三年同月份、首次付款后第 四年同月份、首次付款后第五年同月份向本公司支付</w:t>
      </w:r>
      <w:r>
        <w:rPr>
          <w:rFonts w:ascii="Calibri" w:hAnsi="Calibri" w:cs="Calibri" w:eastAsia="Calibri" w:hint="default"/>
        </w:rPr>
        <w:t>6,991,860.00</w:t>
      </w:r>
      <w:r>
        <w:rPr/>
        <w:t>元。系统通过初验并投 入运行起，第一年免费维护，第二年起年度维护费用为</w:t>
      </w:r>
      <w:r>
        <w:rPr>
          <w:rFonts w:ascii="Calibri" w:hAnsi="Calibri" w:cs="Calibri" w:eastAsia="Calibri" w:hint="default"/>
        </w:rPr>
        <w:t>1,745,200.00</w:t>
      </w:r>
      <w:r>
        <w:rPr/>
        <w:t>元。根据陕西省</w:t>
      </w:r>
      <w:r>
        <w:rPr>
          <w:rFonts w:ascii="Calibri" w:hAnsi="Calibri" w:cs="Calibri" w:eastAsia="Calibri" w:hint="default"/>
        </w:rPr>
        <w:t>2011 </w:t>
      </w:r>
      <w:r>
        <w:rPr/>
        <w:t>年地方政府债券利率确定，本项目内部报酬率为</w:t>
      </w:r>
      <w:r>
        <w:rPr>
          <w:rFonts w:ascii="Calibri" w:hAnsi="Calibri" w:cs="Calibri" w:eastAsia="Calibri" w:hint="default"/>
        </w:rPr>
        <w:t>3.84%</w:t>
      </w:r>
      <w:r>
        <w:rPr/>
        <w:t>。依据合同的约定本公司收到前 四期款项</w:t>
      </w:r>
      <w:r>
        <w:rPr>
          <w:rFonts w:ascii="Calibri" w:hAnsi="Calibri" w:cs="Calibri" w:eastAsia="Calibri" w:hint="default"/>
        </w:rPr>
        <w:t>27,967,440.00</w:t>
      </w:r>
      <w:r>
        <w:rPr/>
        <w:t>元，本年应摊销的未实现融资收益为</w:t>
      </w:r>
      <w:r>
        <w:rPr>
          <w:rFonts w:ascii="Calibri" w:hAnsi="Calibri" w:cs="Calibri" w:eastAsia="Calibri" w:hint="default"/>
        </w:rPr>
        <w:t>220,990.36</w:t>
      </w:r>
      <w:r>
        <w:rPr/>
        <w:t>元。</w:t>
      </w:r>
    </w:p>
    <w:p>
      <w:pPr>
        <w:pStyle w:val="Heading2"/>
        <w:spacing w:line="359" w:lineRule="exact"/>
        <w:ind w:right="225"/>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pStyle w:val="BodyText"/>
        <w:spacing w:line="240" w:lineRule="auto" w:before="126"/>
        <w:ind w:left="1101" w:right="225"/>
        <w:jc w:val="left"/>
      </w:pPr>
      <w:r>
        <w:rPr/>
        <w:t>无</w:t>
      </w:r>
    </w:p>
    <w:p>
      <w:pPr>
        <w:pStyle w:val="Heading2"/>
        <w:spacing w:line="312" w:lineRule="auto" w:before="77"/>
        <w:ind w:left="1582" w:right="2862" w:hanging="48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）转移长期应收款且继续涉入形成的资产、负债金额</w:t>
      </w:r>
      <w:r>
        <w:rPr>
          <w:spacing w:val="-41"/>
        </w:rPr>
        <w:t> </w:t>
      </w:r>
      <w:r>
        <w:rPr>
          <w:spacing w:val="-41"/>
        </w:rPr>
      </w:r>
      <w:r>
        <w:rPr>
          <w:rFonts w:ascii="宋体" w:hAnsi="宋体" w:cs="宋体" w:eastAsia="宋体" w:hint="default"/>
          <w:b w:val="0"/>
          <w:bCs w:val="0"/>
        </w:rPr>
        <w:t>无</w:t>
      </w:r>
    </w:p>
    <w:p>
      <w:pPr>
        <w:spacing w:after="0" w:line="312" w:lineRule="auto"/>
        <w:jc w:val="left"/>
        <w:rPr>
          <w:rFonts w:ascii="宋体" w:hAnsi="宋体" w:cs="宋体" w:eastAsia="宋体" w:hint="default"/>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17</w:t>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886"/>
        <w:gridCol w:w="1261"/>
        <w:gridCol w:w="401"/>
        <w:gridCol w:w="600"/>
        <w:gridCol w:w="895"/>
        <w:gridCol w:w="636"/>
        <w:gridCol w:w="754"/>
        <w:gridCol w:w="756"/>
        <w:gridCol w:w="668"/>
        <w:gridCol w:w="401"/>
        <w:gridCol w:w="1195"/>
        <w:gridCol w:w="754"/>
      </w:tblGrid>
      <w:tr>
        <w:trPr>
          <w:trHeight w:val="322" w:hRule="exact"/>
        </w:trPr>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331" w:right="120" w:hanging="212"/>
              <w:jc w:val="left"/>
              <w:rPr>
                <w:rFonts w:ascii="宋体" w:hAnsi="宋体" w:cs="宋体" w:eastAsia="宋体" w:hint="default"/>
                <w:sz w:val="21"/>
                <w:szCs w:val="21"/>
              </w:rPr>
            </w:pPr>
            <w:r>
              <w:rPr>
                <w:rFonts w:ascii="宋体" w:hAnsi="宋体" w:cs="宋体" w:eastAsia="宋体" w:hint="default"/>
                <w:sz w:val="21"/>
                <w:szCs w:val="21"/>
              </w:rPr>
              <w:t>投资单</w:t>
            </w:r>
            <w:r>
              <w:rPr>
                <w:rFonts w:ascii="宋体" w:hAnsi="宋体" w:cs="宋体" w:eastAsia="宋体" w:hint="default"/>
                <w:spacing w:val="-102"/>
                <w:sz w:val="21"/>
                <w:szCs w:val="21"/>
              </w:rPr>
              <w:t> </w:t>
            </w:r>
            <w:r>
              <w:rPr>
                <w:rFonts w:ascii="宋体" w:hAnsi="宋体" w:cs="宋体" w:eastAsia="宋体" w:hint="default"/>
                <w:sz w:val="21"/>
                <w:szCs w:val="21"/>
              </w:rPr>
              <w:t>位</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1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55" w:right="53"/>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258" w:hRule="exact"/>
        </w:trPr>
        <w:tc>
          <w:tcPr>
            <w:tcW w:w="886"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8" w:right="89"/>
              <w:jc w:val="both"/>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83" w:right="8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1" w:right="19"/>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55" w:right="5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7" w:right="53"/>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17" w:right="116"/>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1" w:right="8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92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3" w:hRule="exact"/>
        </w:trPr>
        <w:tc>
          <w:tcPr>
            <w:tcW w:w="92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21"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58"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18"/>
              <w:jc w:val="both"/>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科数城</w:t>
            </w:r>
            <w:r>
              <w:rPr>
                <w:rFonts w:ascii="宋体" w:hAnsi="宋体" w:cs="宋体" w:eastAsia="宋体" w:hint="default"/>
                <w:spacing w:val="-102"/>
                <w:sz w:val="21"/>
                <w:szCs w:val="21"/>
              </w:rPr>
              <w:t> </w:t>
            </w:r>
            <w:r>
              <w:rPr>
                <w:rFonts w:ascii="宋体" w:hAnsi="宋体" w:cs="宋体" w:eastAsia="宋体" w:hint="default"/>
                <w:sz w:val="21"/>
                <w:szCs w:val="21"/>
              </w:rPr>
              <w:t>软件有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center"/>
              <w:rPr>
                <w:rFonts w:ascii="Times New Roman" w:hAnsi="Times New Roman" w:cs="Times New Roman" w:eastAsia="Times New Roman" w:hint="default"/>
                <w:sz w:val="21"/>
                <w:szCs w:val="21"/>
              </w:rPr>
            </w:pPr>
            <w:r>
              <w:rPr>
                <w:rFonts w:ascii="Times New Roman"/>
                <w:sz w:val="21"/>
              </w:rPr>
              <w:t>1,347,552.64</w:t>
            </w:r>
          </w:p>
        </w:tc>
        <w:tc>
          <w:tcPr>
            <w:tcW w:w="40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46,975.44</w:t>
            </w:r>
          </w:p>
        </w:tc>
        <w:tc>
          <w:tcPr>
            <w:tcW w:w="63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1,394,528.08</w:t>
            </w: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center"/>
              <w:rPr>
                <w:rFonts w:ascii="Times New Roman" w:hAnsi="Times New Roman" w:cs="Times New Roman" w:eastAsia="Times New Roman" w:hint="default"/>
                <w:sz w:val="21"/>
                <w:szCs w:val="21"/>
              </w:rPr>
            </w:pPr>
            <w:r>
              <w:rPr>
                <w:rFonts w:ascii="Times New Roman"/>
                <w:sz w:val="21"/>
              </w:rPr>
              <w:t>1,347,552.64</w:t>
            </w:r>
          </w:p>
        </w:tc>
        <w:tc>
          <w:tcPr>
            <w:tcW w:w="40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46,975.44</w:t>
            </w:r>
          </w:p>
        </w:tc>
        <w:tc>
          <w:tcPr>
            <w:tcW w:w="63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1,394,528.08</w:t>
            </w:r>
          </w:p>
        </w:tc>
        <w:tc>
          <w:tcPr>
            <w:tcW w:w="7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center"/>
              <w:rPr>
                <w:rFonts w:ascii="Times New Roman" w:hAnsi="Times New Roman" w:cs="Times New Roman" w:eastAsia="Times New Roman" w:hint="default"/>
                <w:sz w:val="21"/>
                <w:szCs w:val="21"/>
              </w:rPr>
            </w:pPr>
            <w:r>
              <w:rPr>
                <w:rFonts w:ascii="Times New Roman"/>
                <w:sz w:val="21"/>
              </w:rPr>
              <w:t>1,347,552.64</w:t>
            </w:r>
          </w:p>
        </w:tc>
        <w:tc>
          <w:tcPr>
            <w:tcW w:w="40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46,975.44</w:t>
            </w:r>
          </w:p>
        </w:tc>
        <w:tc>
          <w:tcPr>
            <w:tcW w:w="63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1,394,528.08</w:t>
            </w:r>
          </w:p>
        </w:tc>
        <w:tc>
          <w:tcPr>
            <w:tcW w:w="754"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80" w:lineRule="exact"/>
        <w:ind w:right="225"/>
        <w:jc w:val="left"/>
        <w:rPr>
          <w:b w:val="0"/>
          <w:bCs w:val="0"/>
        </w:rPr>
      </w:pPr>
      <w:r>
        <w:rPr>
          <w:rFonts w:ascii="Times New Roman" w:hAnsi="Times New Roman" w:cs="Times New Roman" w:eastAsia="Times New Roman" w:hint="default"/>
        </w:rPr>
        <w:t>18</w:t>
      </w:r>
      <w:r>
        <w:rPr/>
        <w:t>、投资性房地产</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）采用成本计量模式的投资性房地产</w:t>
      </w:r>
      <w:r>
        <w:rPr>
          <w:rFonts w:ascii="Microsoft JhengHei" w:hAnsi="Microsoft JhengHei" w:cs="Microsoft JhengHei" w:eastAsia="Microsoft JhengHei" w:hint="default"/>
          <w:sz w:val="24"/>
          <w:szCs w:val="24"/>
        </w:rPr>
      </w:r>
    </w:p>
    <w:p>
      <w:pPr>
        <w:pStyle w:val="BodyText"/>
        <w:spacing w:line="240" w:lineRule="auto" w:before="126"/>
        <w:ind w:left="1582"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8"/>
        <w:rPr>
          <w:rFonts w:ascii="宋体" w:hAnsi="宋体" w:cs="宋体" w:eastAsia="宋体" w:hint="default"/>
          <w:sz w:val="8"/>
          <w:szCs w:val="8"/>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房屋、建筑物</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土地使用权</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8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2"/>
                <w:sz w:val="21"/>
              </w:rPr>
              <w:t>100,561,895.68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100,561,895.68</w:t>
            </w:r>
          </w:p>
        </w:tc>
      </w:tr>
      <w:tr>
        <w:trPr>
          <w:trHeight w:val="63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806" w:right="96" w:hanging="288"/>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
              <w:jc w:val="right"/>
              <w:rPr>
                <w:rFonts w:ascii="Calibri" w:hAnsi="Calibri" w:cs="Calibri" w:eastAsia="Calibri" w:hint="default"/>
                <w:sz w:val="21"/>
                <w:szCs w:val="21"/>
              </w:rPr>
            </w:pPr>
            <w:r>
              <w:rPr>
                <w:rFonts w:ascii="Calibri"/>
                <w:spacing w:val="-1"/>
                <w:sz w:val="21"/>
              </w:rPr>
              <w:t>39,087,963.46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Calibri" w:hAnsi="Calibri" w:cs="Calibri" w:eastAsia="Calibri" w:hint="default"/>
                <w:sz w:val="21"/>
                <w:szCs w:val="21"/>
              </w:rPr>
            </w:pPr>
            <w:r>
              <w:rPr>
                <w:rFonts w:ascii="Calibri"/>
                <w:spacing w:val="-1"/>
                <w:sz w:val="21"/>
              </w:rPr>
              <w:t>39,087,963.46</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39"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）外购</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36" w:right="81" w:hanging="53"/>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）存货</w:t>
            </w:r>
            <w:r>
              <w:rPr>
                <w:rFonts w:ascii="Calibri" w:hAnsi="Calibri" w:cs="Calibri" w:eastAsia="Calibri" w:hint="default"/>
                <w:sz w:val="21"/>
                <w:szCs w:val="21"/>
              </w:rPr>
              <w:t>\</w:t>
            </w:r>
            <w:r>
              <w:rPr>
                <w:rFonts w:ascii="宋体" w:hAnsi="宋体" w:cs="宋体" w:eastAsia="宋体" w:hint="default"/>
                <w:sz w:val="21"/>
                <w:szCs w:val="21"/>
              </w:rPr>
              <w:t>固定资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Calibri" w:hAnsi="Calibri" w:cs="Calibri" w:eastAsia="Calibri" w:hint="default"/>
                <w:sz w:val="21"/>
                <w:szCs w:val="21"/>
              </w:rPr>
              <w:t>\</w:t>
            </w:r>
            <w:r>
              <w:rPr>
                <w:rFonts w:ascii="宋体" w:hAnsi="宋体" w:cs="宋体" w:eastAsia="宋体" w:hint="default"/>
                <w:sz w:val="21"/>
                <w:szCs w:val="21"/>
              </w:rPr>
              <w:t>在建工程转入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7"/>
              <w:jc w:val="right"/>
              <w:rPr>
                <w:rFonts w:ascii="Calibri" w:hAnsi="Calibri" w:cs="Calibri" w:eastAsia="Calibri" w:hint="default"/>
                <w:sz w:val="21"/>
                <w:szCs w:val="21"/>
              </w:rPr>
            </w:pPr>
            <w:r>
              <w:rPr>
                <w:rFonts w:ascii="Calibri"/>
                <w:spacing w:val="-1"/>
                <w:sz w:val="21"/>
              </w:rPr>
              <w:t>39,087,963.46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
              <w:jc w:val="right"/>
              <w:rPr>
                <w:rFonts w:ascii="Calibri" w:hAnsi="Calibri" w:cs="Calibri" w:eastAsia="Calibri" w:hint="default"/>
                <w:sz w:val="21"/>
                <w:szCs w:val="21"/>
              </w:rPr>
            </w:pPr>
            <w:r>
              <w:rPr>
                <w:rFonts w:ascii="Calibri"/>
                <w:spacing w:val="-1"/>
                <w:sz w:val="21"/>
              </w:rPr>
              <w:t>39,087,963.46</w:t>
            </w:r>
          </w:p>
        </w:tc>
      </w:tr>
      <w:tr>
        <w:trPr>
          <w:trHeight w:val="63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806" w:right="122" w:hanging="682"/>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0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9"/>
              <w:jc w:val="right"/>
              <w:rPr>
                <w:rFonts w:ascii="Calibri" w:hAnsi="Calibri" w:cs="Calibri" w:eastAsia="Calibri" w:hint="default"/>
                <w:sz w:val="21"/>
                <w:szCs w:val="21"/>
              </w:rPr>
            </w:pPr>
            <w:r>
              <w:rPr>
                <w:rFonts w:ascii="Calibri"/>
                <w:spacing w:val="-1"/>
                <w:sz w:val="21"/>
              </w:rPr>
              <w:t>335,588.00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9"/>
              <w:jc w:val="right"/>
              <w:rPr>
                <w:rFonts w:ascii="Calibri" w:hAnsi="Calibri" w:cs="Calibri" w:eastAsia="Calibri" w:hint="default"/>
                <w:sz w:val="21"/>
                <w:szCs w:val="21"/>
              </w:rPr>
            </w:pPr>
            <w:r>
              <w:rPr>
                <w:rFonts w:ascii="Calibri"/>
                <w:spacing w:val="-1"/>
                <w:sz w:val="21"/>
              </w:rPr>
              <w:t>335,588.00</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439"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1"/>
                <w:sz w:val="21"/>
              </w:rPr>
              <w:t>335,588.00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1"/>
                <w:sz w:val="21"/>
              </w:rPr>
              <w:t>335,588.00</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Calibri" w:hAnsi="Calibri" w:cs="Calibri" w:eastAsia="Calibri" w:hint="default"/>
                <w:sz w:val="21"/>
                <w:szCs w:val="21"/>
              </w:rPr>
            </w:pPr>
            <w:r>
              <w:rPr>
                <w:rFonts w:ascii="Calibri"/>
                <w:spacing w:val="-1"/>
                <w:sz w:val="21"/>
              </w:rPr>
              <w:t>139,314,271.14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1"/>
                <w:sz w:val="21"/>
              </w:rPr>
              <w:t>139,314,271.14</w:t>
            </w:r>
          </w:p>
        </w:tc>
      </w:tr>
      <w:tr>
        <w:trPr>
          <w:trHeight w:val="63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97" w:right="72" w:hanging="526"/>
              <w:jc w:val="left"/>
              <w:rPr>
                <w:rFonts w:ascii="宋体" w:hAnsi="宋体" w:cs="宋体" w:eastAsia="宋体" w:hint="default"/>
                <w:sz w:val="21"/>
                <w:szCs w:val="21"/>
              </w:rPr>
            </w:pPr>
            <w:r>
              <w:rPr>
                <w:rFonts w:ascii="宋体" w:hAnsi="宋体" w:cs="宋体" w:eastAsia="宋体" w:hint="default"/>
                <w:sz w:val="21"/>
                <w:szCs w:val="21"/>
              </w:rPr>
              <w:t>二、累计折旧和累</w:t>
            </w:r>
            <w:r>
              <w:rPr>
                <w:rFonts w:ascii="宋体" w:hAnsi="宋体" w:cs="宋体" w:eastAsia="宋体" w:hint="default"/>
                <w:w w:val="100"/>
                <w:sz w:val="21"/>
                <w:szCs w:val="21"/>
              </w:rPr>
              <w:t> </w:t>
            </w:r>
            <w:r>
              <w:rPr>
                <w:rFonts w:ascii="宋体" w:hAnsi="宋体" w:cs="宋体" w:eastAsia="宋体" w:hint="default"/>
                <w:sz w:val="21"/>
                <w:szCs w:val="21"/>
              </w:rPr>
              <w:t>计摊销</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2"/>
                <w:sz w:val="21"/>
              </w:rPr>
              <w:t>10,088,689.02</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2"/>
                <w:sz w:val="21"/>
              </w:rPr>
              <w:t>10,088,689.02</w:t>
            </w: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0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7"/>
              <w:jc w:val="right"/>
              <w:rPr>
                <w:rFonts w:ascii="Calibri" w:hAnsi="Calibri" w:cs="Calibri" w:eastAsia="Calibri" w:hint="default"/>
                <w:sz w:val="21"/>
                <w:szCs w:val="21"/>
              </w:rPr>
            </w:pPr>
            <w:r>
              <w:rPr>
                <w:rFonts w:ascii="Calibri"/>
                <w:spacing w:val="-1"/>
                <w:sz w:val="21"/>
              </w:rPr>
              <w:t>5,746,157.95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8"/>
              <w:jc w:val="right"/>
              <w:rPr>
                <w:rFonts w:ascii="Calibri" w:hAnsi="Calibri" w:cs="Calibri" w:eastAsia="Calibri" w:hint="default"/>
                <w:sz w:val="21"/>
                <w:szCs w:val="21"/>
              </w:rPr>
            </w:pPr>
            <w:r>
              <w:rPr>
                <w:rFonts w:ascii="Calibri"/>
                <w:spacing w:val="-1"/>
                <w:sz w:val="21"/>
              </w:rPr>
              <w:t>5,746,157.95</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）计提或摊销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Calibri" w:hAnsi="Calibri" w:cs="Calibri" w:eastAsia="Calibri" w:hint="default"/>
                <w:sz w:val="21"/>
                <w:szCs w:val="21"/>
              </w:rPr>
            </w:pPr>
            <w:r>
              <w:rPr>
                <w:rFonts w:ascii="Calibri"/>
                <w:spacing w:val="-1"/>
                <w:sz w:val="21"/>
              </w:rPr>
              <w:t>1,588,245.91</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1"/>
                <w:sz w:val="21"/>
              </w:rPr>
              <w:t>1,588,245.91</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1"/>
                <w:sz w:val="21"/>
              </w:rPr>
              <w:t>4,157,912.04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1"/>
                <w:sz w:val="21"/>
              </w:rPr>
              <w:t>4,157,912.04</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0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Calibri" w:hAnsi="Calibri" w:cs="Calibri" w:eastAsia="Calibri" w:hint="default"/>
                <w:sz w:val="21"/>
                <w:szCs w:val="21"/>
              </w:rPr>
            </w:pPr>
            <w:r>
              <w:rPr>
                <w:rFonts w:ascii="Calibri"/>
                <w:spacing w:val="-1"/>
                <w:sz w:val="21"/>
              </w:rPr>
              <w:t>15,834,846.97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1"/>
                <w:sz w:val="21"/>
              </w:rPr>
              <w:t>15,834,846.97</w:t>
            </w: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三、减值准备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四、账面价值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2"/>
                <w:sz w:val="21"/>
              </w:rPr>
              <w:t>123,479,424.17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2"/>
                <w:sz w:val="21"/>
              </w:rPr>
              <w:t>123,479,424.17</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Calibri" w:hAnsi="Calibri" w:cs="Calibri" w:eastAsia="Calibri" w:hint="default"/>
                <w:sz w:val="21"/>
                <w:szCs w:val="21"/>
              </w:rPr>
            </w:pPr>
            <w:r>
              <w:rPr>
                <w:rFonts w:ascii="Calibri"/>
                <w:spacing w:val="-2"/>
                <w:sz w:val="21"/>
              </w:rPr>
              <w:t>90,473,206.66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Calibri" w:hAnsi="Calibri" w:cs="Calibri" w:eastAsia="Calibri" w:hint="default"/>
                <w:sz w:val="21"/>
                <w:szCs w:val="21"/>
              </w:rPr>
            </w:pPr>
            <w:r>
              <w:rPr>
                <w:rFonts w:ascii="Calibri"/>
                <w:spacing w:val="-2"/>
                <w:sz w:val="21"/>
              </w:rPr>
              <w:t>90,473,206.66</w:t>
            </w:r>
          </w:p>
        </w:tc>
      </w:tr>
    </w:tbl>
    <w:p>
      <w:pPr>
        <w:pStyle w:val="BodyText"/>
        <w:spacing w:line="240" w:lineRule="auto" w:before="39"/>
        <w:ind w:left="1101" w:right="225"/>
        <w:jc w:val="left"/>
      </w:pPr>
      <w:r>
        <w:rPr/>
        <w:t>①本期实际摊销额</w:t>
      </w:r>
      <w:r>
        <w:rPr>
          <w:rFonts w:ascii="Calibri" w:hAnsi="Calibri" w:cs="Calibri" w:eastAsia="Calibri" w:hint="default"/>
        </w:rPr>
        <w:t>1,588,245.91</w:t>
      </w:r>
      <w:r>
        <w:rPr/>
        <w:t>元，由固定资产转入摊销额</w:t>
      </w:r>
      <w:r>
        <w:rPr>
          <w:rFonts w:ascii="Calibri" w:hAnsi="Calibri" w:cs="Calibri" w:eastAsia="Calibri" w:hint="default"/>
        </w:rPr>
        <w:t>4,157,912.04</w:t>
      </w:r>
      <w:r>
        <w:rPr/>
        <w:t>元。</w:t>
      </w:r>
    </w:p>
    <w:p>
      <w:pPr>
        <w:pStyle w:val="BodyText"/>
        <w:spacing w:line="240" w:lineRule="auto" w:before="123"/>
        <w:ind w:left="1101" w:right="225"/>
        <w:jc w:val="left"/>
      </w:pPr>
      <w:r>
        <w:rPr/>
        <w:t>②本期由固定资产转入投资性房地产</w:t>
      </w:r>
      <w:r>
        <w:rPr>
          <w:rFonts w:ascii="Calibri" w:hAnsi="Calibri" w:cs="Calibri" w:eastAsia="Calibri" w:hint="default"/>
        </w:rPr>
        <w:t>39,087,963.45</w:t>
      </w:r>
      <w:r>
        <w:rPr/>
        <w:t>元。</w:t>
      </w:r>
    </w:p>
    <w:p>
      <w:pPr>
        <w:pStyle w:val="Heading2"/>
        <w:spacing w:line="240" w:lineRule="auto" w:before="47"/>
        <w:ind w:right="225"/>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126"/>
        <w:ind w:left="1582"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pStyle w:val="Heading2"/>
        <w:spacing w:line="240" w:lineRule="auto" w:before="47"/>
        <w:ind w:right="225"/>
        <w:jc w:val="left"/>
        <w:rPr>
          <w:b w:val="0"/>
          <w:bCs w:val="0"/>
        </w:rPr>
      </w:pPr>
      <w:r>
        <w:rPr>
          <w:rFonts w:ascii="Times New Roman" w:hAnsi="Times New Roman" w:cs="Times New Roman" w:eastAsia="Times New Roman" w:hint="default"/>
        </w:rPr>
        <w:t>19</w:t>
      </w:r>
      <w:r>
        <w:rPr/>
        <w:t>、固定资产</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）固定资产情况</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840"/>
        <w:gridCol w:w="1842"/>
        <w:gridCol w:w="1841"/>
        <w:gridCol w:w="1841"/>
        <w:gridCol w:w="1841"/>
      </w:tblGrid>
      <w:tr>
        <w:trPr>
          <w:trHeight w:val="324"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2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房屋及建筑物</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办公设备</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运输设备</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一、账面原值：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211,036,394.57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18,600,073.25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1,997,916.00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231,634,383.82</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12,511,396.21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6,342,985.20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18,854,381.41</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）购置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12,503,261.26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3,797,064.73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16,300,325.99</w:t>
            </w:r>
          </w:p>
        </w:tc>
      </w:tr>
      <w:tr>
        <w:trPr>
          <w:trHeight w:val="634"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7" w:lineRule="auto"/>
              <w:ind w:left="806" w:right="124" w:hanging="682"/>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）在建工程转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auto"/>
              <w:ind w:left="806" w:right="124" w:hanging="682"/>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）其他增加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8,134.95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2,545,920.47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2,554,055.42</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40,744,107.06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2,134,192.58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42,878,299.64</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2,134,192.58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2,134,192.58</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）其他减少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40,744,107.06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40,744,107.06</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182,803,683.72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22,808,865.87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1,997,916.00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207,610,465.59</w:t>
            </w:r>
          </w:p>
        </w:tc>
      </w:tr>
      <w:tr>
        <w:trPr>
          <w:trHeight w:val="324"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二、累计折旧</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14,387,827.73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9,530,317.41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1,231,842.61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25,149,987.75</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9,022,776.68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4,660,115.62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239,606.72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13,922,499.02</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9,015,823.38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3,336,766.44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239,606.72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12,592,196.54</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）其他增加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6,953.30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1,323,349.18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1,330,302.48</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40"/>
        <w:gridCol w:w="1842"/>
        <w:gridCol w:w="1841"/>
        <w:gridCol w:w="1841"/>
        <w:gridCol w:w="1841"/>
      </w:tblGrid>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right="1"/>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4,157,912.04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1,594,144.84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5,752,056.88</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1,594,144.84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1,594,144.84</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）其他减少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4,157,912.04</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4,157,912.04</w:t>
            </w:r>
          </w:p>
        </w:tc>
      </w:tr>
      <w:tr>
        <w:trPr>
          <w:trHeight w:val="324"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1"/>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19,252,692.37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12,596,288.19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1,471,449.33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33,320,429.89</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四、账面价值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163,550,991.35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10,212,577.68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526,466.67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174,290,035.70</w:t>
            </w:r>
          </w:p>
        </w:tc>
      </w:tr>
      <w:tr>
        <w:trPr>
          <w:trHeight w:val="322"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196,648,566.84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9,069,755.84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766,073.39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206,484,396.07</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pStyle w:val="BodyText"/>
        <w:spacing w:line="240" w:lineRule="auto" w:before="126"/>
        <w:ind w:left="1101" w:right="225"/>
        <w:jc w:val="left"/>
      </w:pPr>
      <w:r>
        <w:rPr/>
        <w:t>无</w:t>
      </w:r>
    </w:p>
    <w:p>
      <w:pPr>
        <w:pStyle w:val="Heading2"/>
        <w:spacing w:line="312" w:lineRule="auto" w:before="77"/>
        <w:ind w:right="466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）通过融资租赁租入的固定资产情况</w:t>
      </w:r>
      <w:r>
        <w:rPr>
          <w:spacing w:val="-47"/>
        </w:rPr>
        <w:t> </w:t>
      </w:r>
      <w:r>
        <w:rPr>
          <w:spacing w:val="-47"/>
        </w:rPr>
      </w:r>
      <w:r>
        <w:rPr>
          <w:rFonts w:ascii="宋体" w:hAnsi="宋体" w:cs="宋体" w:eastAsia="宋体" w:hint="default"/>
          <w:b w:val="0"/>
          <w:bCs w:val="0"/>
        </w:rPr>
        <w:t>无</w:t>
      </w:r>
    </w:p>
    <w:p>
      <w:pPr>
        <w:spacing w:line="312" w:lineRule="auto" w:before="5"/>
        <w:ind w:left="1101" w:right="514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）通过经营租赁租出的固定资产</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无</w:t>
      </w:r>
    </w:p>
    <w:p>
      <w:pPr>
        <w:spacing w:before="5"/>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）未办妥产权证书的固定资产情况</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4364"/>
        <w:gridCol w:w="2182"/>
        <w:gridCol w:w="2660"/>
      </w:tblGrid>
      <w:tr>
        <w:trPr>
          <w:trHeight w:val="323" w:hRule="exact"/>
        </w:trPr>
        <w:tc>
          <w:tcPr>
            <w:tcW w:w="4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6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未办妥产权证书的原因</w:t>
            </w:r>
            <w:r>
              <w:rPr>
                <w:rFonts w:ascii="Microsoft JhengHei" w:hAnsi="Microsoft JhengHei" w:cs="Microsoft JhengHei" w:eastAsia="Microsoft JhengHei" w:hint="default"/>
                <w:spacing w:val="-1"/>
                <w:sz w:val="21"/>
                <w:szCs w:val="21"/>
              </w:rPr>
            </w:r>
          </w:p>
        </w:tc>
      </w:tr>
      <w:tr>
        <w:trPr>
          <w:trHeight w:val="63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664" w:right="123" w:hanging="540"/>
              <w:jc w:val="left"/>
              <w:rPr>
                <w:rFonts w:ascii="Calibri" w:hAnsi="Calibri" w:cs="Calibri" w:eastAsia="Calibri" w:hint="default"/>
                <w:sz w:val="21"/>
                <w:szCs w:val="21"/>
              </w:rPr>
            </w:pPr>
            <w:r>
              <w:rPr>
                <w:rFonts w:ascii="宋体" w:hAnsi="宋体" w:cs="宋体" w:eastAsia="宋体" w:hint="default"/>
                <w:sz w:val="21"/>
                <w:szCs w:val="21"/>
              </w:rPr>
              <w:t>西安市高新区锦业路</w:t>
            </w:r>
            <w:r>
              <w:rPr>
                <w:rFonts w:ascii="宋体" w:hAnsi="宋体" w:cs="宋体" w:eastAsia="宋体" w:hint="default"/>
                <w:spacing w:val="-52"/>
                <w:sz w:val="21"/>
                <w:szCs w:val="21"/>
              </w:rPr>
              <w:t> </w:t>
            </w:r>
            <w:r>
              <w:rPr>
                <w:rFonts w:ascii="Calibri" w:hAnsi="Calibri" w:cs="Calibri" w:eastAsia="Calibri" w:hint="default"/>
                <w:sz w:val="21"/>
                <w:szCs w:val="21"/>
              </w:rPr>
              <w:t>32</w:t>
            </w:r>
            <w:r>
              <w:rPr>
                <w:rFonts w:ascii="Calibri" w:hAnsi="Calibri" w:cs="Calibri" w:eastAsia="Calibri" w:hint="default"/>
                <w:spacing w:val="6"/>
                <w:sz w:val="21"/>
                <w:szCs w:val="21"/>
              </w:rPr>
              <w:t> </w:t>
            </w:r>
            <w:r>
              <w:rPr>
                <w:rFonts w:ascii="宋体" w:hAnsi="宋体" w:cs="宋体" w:eastAsia="宋体" w:hint="default"/>
                <w:sz w:val="21"/>
                <w:szCs w:val="21"/>
              </w:rPr>
              <w:t>号锦业时代</w:t>
            </w:r>
            <w:r>
              <w:rPr>
                <w:rFonts w:ascii="宋体" w:hAnsi="宋体" w:cs="宋体" w:eastAsia="宋体" w:hint="default"/>
                <w:spacing w:val="-55"/>
                <w:sz w:val="21"/>
                <w:szCs w:val="21"/>
              </w:rPr>
              <w:t> </w:t>
            </w:r>
            <w:r>
              <w:rPr>
                <w:rFonts w:ascii="Calibri" w:hAnsi="Calibri" w:cs="Calibri" w:eastAsia="Calibri" w:hint="default"/>
                <w:sz w:val="21"/>
                <w:szCs w:val="21"/>
              </w:rPr>
              <w:t>4</w:t>
            </w:r>
            <w:r>
              <w:rPr>
                <w:rFonts w:ascii="Calibri" w:hAnsi="Calibri" w:cs="Calibri" w:eastAsia="Calibri" w:hint="default"/>
                <w:spacing w:val="6"/>
                <w:sz w:val="21"/>
                <w:szCs w:val="21"/>
              </w:rPr>
              <w:t>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pacing w:val="-63"/>
                <w:sz w:val="21"/>
                <w:szCs w:val="21"/>
              </w:rPr>
              <w:t> </w:t>
            </w:r>
            <w:r>
              <w:rPr>
                <w:rFonts w:ascii="Calibri" w:hAnsi="Calibri" w:cs="Calibri" w:eastAsia="Calibri" w:hint="default"/>
                <w:sz w:val="21"/>
                <w:szCs w:val="21"/>
              </w:rPr>
              <w:t>11501</w:t>
            </w:r>
            <w:r>
              <w:rPr>
                <w:rFonts w:ascii="宋体" w:hAnsi="宋体" w:cs="宋体" w:eastAsia="宋体" w:hint="default"/>
                <w:sz w:val="21"/>
                <w:szCs w:val="21"/>
              </w:rPr>
              <w:t>、</w:t>
            </w:r>
            <w:r>
              <w:rPr>
                <w:rFonts w:ascii="Calibri" w:hAnsi="Calibri" w:cs="Calibri" w:eastAsia="Calibri" w:hint="default"/>
                <w:sz w:val="21"/>
                <w:szCs w:val="21"/>
              </w:rPr>
              <w:t>11502</w:t>
            </w:r>
            <w:r>
              <w:rPr>
                <w:rFonts w:ascii="宋体" w:hAnsi="宋体" w:cs="宋体" w:eastAsia="宋体" w:hint="default"/>
                <w:sz w:val="21"/>
                <w:szCs w:val="21"/>
              </w:rPr>
              <w:t>、</w:t>
            </w:r>
            <w:r>
              <w:rPr>
                <w:rFonts w:ascii="Calibri" w:hAnsi="Calibri" w:cs="Calibri" w:eastAsia="Calibri" w:hint="default"/>
                <w:sz w:val="21"/>
                <w:szCs w:val="21"/>
              </w:rPr>
              <w:t>11503</w:t>
            </w:r>
            <w:r>
              <w:rPr>
                <w:rFonts w:ascii="宋体" w:hAnsi="宋体" w:cs="宋体" w:eastAsia="宋体" w:hint="default"/>
                <w:sz w:val="21"/>
                <w:szCs w:val="21"/>
              </w:rPr>
              <w:t>、</w:t>
            </w:r>
            <w:r>
              <w:rPr>
                <w:rFonts w:ascii="Calibri" w:hAnsi="Calibri" w:cs="Calibri" w:eastAsia="Calibri" w:hint="default"/>
                <w:sz w:val="21"/>
                <w:szCs w:val="21"/>
              </w:rPr>
              <w:t>11504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2" w:right="0"/>
              <w:jc w:val="left"/>
              <w:rPr>
                <w:rFonts w:ascii="Calibri" w:hAnsi="Calibri" w:cs="Calibri" w:eastAsia="Calibri" w:hint="default"/>
                <w:sz w:val="21"/>
                <w:szCs w:val="21"/>
              </w:rPr>
            </w:pPr>
            <w:r>
              <w:rPr>
                <w:rFonts w:ascii="Calibri"/>
                <w:sz w:val="21"/>
              </w:rPr>
              <w:t>10,938,525.36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3"/>
              <w:jc w:val="right"/>
              <w:rPr>
                <w:rFonts w:ascii="宋体" w:hAnsi="宋体" w:cs="宋体" w:eastAsia="宋体" w:hint="default"/>
                <w:sz w:val="21"/>
                <w:szCs w:val="21"/>
              </w:rPr>
            </w:pPr>
            <w:r>
              <w:rPr>
                <w:rFonts w:ascii="宋体" w:hAnsi="宋体" w:cs="宋体" w:eastAsia="宋体" w:hint="default"/>
                <w:spacing w:val="-1"/>
                <w:sz w:val="21"/>
                <w:szCs w:val="21"/>
              </w:rPr>
              <w:t>正在办理之中</w:t>
            </w:r>
          </w:p>
        </w:tc>
      </w:tr>
    </w:tbl>
    <w:p>
      <w:pPr>
        <w:pStyle w:val="BodyText"/>
        <w:spacing w:line="240" w:lineRule="auto" w:before="39"/>
        <w:ind w:left="1582" w:right="225"/>
        <w:jc w:val="left"/>
      </w:pPr>
      <w:r>
        <w:rPr/>
        <w:t>其他说明</w:t>
      </w:r>
    </w:p>
    <w:p>
      <w:pPr>
        <w:pStyle w:val="BodyText"/>
        <w:spacing w:line="240" w:lineRule="auto" w:before="154"/>
        <w:ind w:left="1582" w:right="225"/>
        <w:jc w:val="left"/>
      </w:pPr>
      <w:r>
        <w:rPr/>
        <w:t>①本期固定资产原值实际增加</w:t>
      </w:r>
      <w:r>
        <w:rPr>
          <w:rFonts w:ascii="Calibri" w:hAnsi="Calibri" w:cs="Calibri" w:eastAsia="Calibri" w:hint="default"/>
        </w:rPr>
        <w:t>16,300,325.99</w:t>
      </w:r>
      <w:r>
        <w:rPr/>
        <w:t>元，汇率变动影响</w:t>
      </w:r>
      <w:r>
        <w:rPr>
          <w:rFonts w:ascii="Calibri" w:hAnsi="Calibri" w:cs="Calibri" w:eastAsia="Calibri" w:hint="default"/>
        </w:rPr>
        <w:t>20,575.12</w:t>
      </w:r>
      <w:r>
        <w:rPr/>
        <w:t>元。</w:t>
      </w:r>
    </w:p>
    <w:p>
      <w:pPr>
        <w:pStyle w:val="BodyText"/>
        <w:spacing w:line="240" w:lineRule="auto" w:before="123"/>
        <w:ind w:left="1582" w:right="225"/>
        <w:jc w:val="left"/>
      </w:pPr>
      <w:r>
        <w:rPr/>
        <w:t>②本期实际折旧额</w:t>
      </w:r>
      <w:r>
        <w:rPr>
          <w:rFonts w:ascii="Calibri" w:hAnsi="Calibri" w:cs="Calibri" w:eastAsia="Calibri" w:hint="default"/>
        </w:rPr>
        <w:t>12,592,196.54</w:t>
      </w:r>
      <w:r>
        <w:rPr/>
        <w:t>元，汇率变动影响</w:t>
      </w:r>
      <w:r>
        <w:rPr>
          <w:rFonts w:ascii="Calibri" w:hAnsi="Calibri" w:cs="Calibri" w:eastAsia="Calibri" w:hint="default"/>
        </w:rPr>
        <w:t>18,251.66</w:t>
      </w:r>
      <w:r>
        <w:rPr/>
        <w:t>元。</w:t>
      </w:r>
    </w:p>
    <w:p>
      <w:pPr>
        <w:pStyle w:val="BodyText"/>
        <w:spacing w:line="468" w:lineRule="exact" w:before="29"/>
        <w:ind w:left="1101" w:right="225" w:firstLine="480"/>
        <w:jc w:val="left"/>
        <w:rPr>
          <w:rFonts w:ascii="Microsoft JhengHei" w:hAnsi="Microsoft JhengHei" w:cs="Microsoft JhengHei" w:eastAsia="Microsoft JhengHei" w:hint="default"/>
        </w:rPr>
      </w:pPr>
      <w:r>
        <w:rPr/>
        <w:t>③本期固定资产原值减少的一方面为对外出租转入投资性房地产科目，另一方 面为本公司购买的房产实际建筑面积小于双方交易预估的面积，因此退回房款。 </w:t>
      </w:r>
      <w:r>
        <w:rPr>
          <w:rFonts w:ascii="Times New Roman" w:hAnsi="Times New Roman" w:cs="Times New Roman" w:eastAsia="Times New Roman" w:hint="default"/>
          <w:b/>
          <w:bCs/>
        </w:rPr>
        <w:t>20</w:t>
      </w:r>
      <w:r>
        <w:rPr>
          <w:rFonts w:ascii="Microsoft JhengHei" w:hAnsi="Microsoft JhengHei" w:cs="Microsoft JhengHei" w:eastAsia="Microsoft JhengHei" w:hint="default"/>
          <w:b/>
          <w:bCs/>
        </w:rPr>
        <w:t>、在建工程</w:t>
      </w:r>
      <w:r>
        <w:rPr>
          <w:rFonts w:ascii="Microsoft JhengHei" w:hAnsi="Microsoft JhengHei" w:cs="Microsoft JhengHei" w:eastAsia="Microsoft JhengHei" w:hint="default"/>
        </w:rPr>
      </w:r>
    </w:p>
    <w:p>
      <w:pPr>
        <w:spacing w:line="307" w:lineRule="auto" w:before="94"/>
        <w:ind w:left="1101" w:right="7425"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21</w:t>
      </w:r>
      <w:r>
        <w:rPr>
          <w:rFonts w:ascii="Microsoft JhengHei" w:hAnsi="Microsoft JhengHei" w:cs="Microsoft JhengHei" w:eastAsia="Microsoft JhengHei" w:hint="default"/>
          <w:b/>
          <w:bCs/>
          <w:sz w:val="24"/>
          <w:szCs w:val="24"/>
        </w:rPr>
        <w:t>、工程物资</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w:t>
      </w:r>
    </w:p>
    <w:p>
      <w:pPr>
        <w:spacing w:after="0" w:line="307" w:lineRule="auto"/>
        <w:jc w:val="left"/>
        <w:rPr>
          <w:rFonts w:ascii="宋体" w:hAnsi="宋体" w:cs="宋体" w:eastAsia="宋体" w:hint="default"/>
          <w:sz w:val="24"/>
          <w:szCs w:val="24"/>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52"/>
          <w:pgSz w:w="11910" w:h="16840"/>
          <w:pgMar w:footer="1085" w:header="884" w:top="1300" w:bottom="1280" w:left="1080" w:right="840"/>
        </w:sectPr>
      </w:pPr>
    </w:p>
    <w:p>
      <w:pPr>
        <w:pStyle w:val="Heading2"/>
        <w:spacing w:line="367" w:lineRule="exact"/>
        <w:ind w:right="-13"/>
        <w:jc w:val="left"/>
        <w:rPr>
          <w:b w:val="0"/>
          <w:bCs w:val="0"/>
        </w:rPr>
      </w:pPr>
      <w:r>
        <w:rPr>
          <w:rFonts w:ascii="Times New Roman" w:hAnsi="Times New Roman" w:cs="Times New Roman" w:eastAsia="Times New Roman" w:hint="default"/>
        </w:rPr>
        <w:t>22</w:t>
      </w:r>
      <w:r>
        <w:rPr/>
        <w:t>、固定资产清理</w:t>
      </w:r>
      <w:r>
        <w:rPr>
          <w:b w:val="0"/>
          <w:bCs w:val="0"/>
        </w:rPr>
      </w:r>
    </w:p>
    <w:p>
      <w:pPr>
        <w:spacing w:line="307" w:lineRule="auto" w:before="126"/>
        <w:ind w:left="1101" w:right="-13"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23</w:t>
      </w:r>
      <w:r>
        <w:rPr>
          <w:rFonts w:ascii="Microsoft JhengHei" w:hAnsi="Microsoft JhengHei" w:cs="Microsoft JhengHei" w:eastAsia="Microsoft JhengHei" w:hint="default"/>
          <w:b/>
          <w:bCs/>
          <w:sz w:val="24"/>
          <w:szCs w:val="24"/>
        </w:rPr>
        <w:t>、生产性生物资产</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无</w:t>
      </w:r>
    </w:p>
    <w:p>
      <w:pPr>
        <w:pStyle w:val="Heading2"/>
        <w:spacing w:line="240" w:lineRule="auto" w:before="10"/>
        <w:ind w:right="-13"/>
        <w:jc w:val="left"/>
        <w:rPr>
          <w:b w:val="0"/>
          <w:bCs w:val="0"/>
        </w:rPr>
      </w:pPr>
      <w:r>
        <w:rPr>
          <w:rFonts w:ascii="Times New Roman" w:hAnsi="Times New Roman" w:cs="Times New Roman" w:eastAsia="Times New Roman" w:hint="default"/>
        </w:rPr>
        <w:t>24</w:t>
      </w:r>
      <w:r>
        <w:rPr/>
        <w:t>、油气资产</w:t>
      </w:r>
      <w:r>
        <w:rPr>
          <w:b w:val="0"/>
          <w:bCs w:val="0"/>
        </w:rPr>
      </w:r>
    </w:p>
    <w:p>
      <w:pPr>
        <w:pStyle w:val="BodyText"/>
        <w:spacing w:line="240" w:lineRule="auto" w:before="126"/>
        <w:ind w:left="1561" w:right="1426"/>
        <w:jc w:val="center"/>
      </w:pPr>
      <w:r>
        <w:rPr/>
        <w:t>无</w:t>
      </w:r>
    </w:p>
    <w:p>
      <w:pPr>
        <w:pStyle w:val="Heading2"/>
        <w:spacing w:line="240" w:lineRule="auto" w:before="77"/>
        <w:ind w:right="-13"/>
        <w:jc w:val="left"/>
        <w:rPr>
          <w:b w:val="0"/>
          <w:bCs w:val="0"/>
        </w:rPr>
      </w:pPr>
      <w:r>
        <w:rPr>
          <w:rFonts w:ascii="Times New Roman" w:hAnsi="Times New Roman" w:cs="Times New Roman" w:eastAsia="Times New Roman" w:hint="default"/>
        </w:rPr>
        <w:t>25</w:t>
      </w:r>
      <w:r>
        <w:rPr/>
        <w:t>、无形资产</w:t>
      </w:r>
      <w:r>
        <w:rPr>
          <w:b w:val="0"/>
          <w:bCs w:val="0"/>
        </w:rPr>
      </w:r>
    </w:p>
    <w:p>
      <w:pPr>
        <w:spacing w:before="50"/>
        <w:ind w:left="1101" w:right="-1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）无形资产情况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1"/>
        <w:rPr>
          <w:rFonts w:ascii="Microsoft JhengHei" w:hAnsi="Microsoft JhengHei" w:cs="Microsoft JhengHei" w:eastAsia="Microsoft JhengHei" w:hint="default"/>
          <w:b/>
          <w:bCs/>
          <w:sz w:val="24"/>
          <w:szCs w:val="2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269" w:space="4386"/>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180"/>
        <w:gridCol w:w="1212"/>
        <w:gridCol w:w="1484"/>
        <w:gridCol w:w="1205"/>
        <w:gridCol w:w="1549"/>
        <w:gridCol w:w="1577"/>
      </w:tblGrid>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土地使用权</w:t>
            </w:r>
            <w:r>
              <w:rPr>
                <w:rFonts w:ascii="Microsoft JhengHei" w:hAnsi="Microsoft JhengHei" w:cs="Microsoft JhengHei" w:eastAsia="Microsoft JhengHei" w:hint="default"/>
                <w:sz w:val="21"/>
                <w:szCs w:val="21"/>
              </w:rPr>
            </w:r>
          </w:p>
        </w:tc>
        <w:tc>
          <w:tcPr>
            <w:tcW w:w="1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4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非专利技术</w:t>
            </w:r>
            <w:r>
              <w:rPr>
                <w:rFonts w:ascii="Microsoft JhengHei" w:hAnsi="Microsoft JhengHei" w:cs="Microsoft JhengHei" w:eastAsia="Microsoft JhengHei" w:hint="default"/>
                <w:sz w:val="21"/>
                <w:szCs w:val="21"/>
              </w:rPr>
            </w:r>
          </w:p>
        </w:tc>
        <w:tc>
          <w:tcPr>
            <w:tcW w:w="15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软件</w:t>
            </w:r>
            <w:r>
              <w:rPr>
                <w:rFonts w:ascii="Microsoft JhengHei" w:hAnsi="Microsoft JhengHei" w:cs="Microsoft JhengHei" w:eastAsia="Microsoft JhengHei"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一、账面原值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5,137,100.00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52,436,552.29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57,573,652.29</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250,400.00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24,605,726.98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24,856,126.98</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）购置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2,199,113.63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2,199,113.63</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）内部研发</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21,345,128.97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21,345,128.97</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）汇率变动影响</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250,400.00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1,061,484.38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1,311,884.38</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5,387,500.00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77,042,279.27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82,429,779.27</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二、累计摊销</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1,625,663.81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21,984,877.41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23,610,541.22</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488,417.43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10,518,602.04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11,007,019.47</w:t>
            </w: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409,176.96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9,830,057.23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10,239,234.19</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79,240.47</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688,544.81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767,785.28</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2,114,081.24</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32,503,479.45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34,617,560.69</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三、减值准备</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四、账面价值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3,273,418.76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44,538,799.82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47,812,218.58</w:t>
            </w:r>
          </w:p>
        </w:tc>
      </w:tr>
      <w:tr>
        <w:trPr>
          <w:trHeight w:val="32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3,511,436.19</w:t>
            </w:r>
          </w:p>
        </w:tc>
        <w:tc>
          <w:tcPr>
            <w:tcW w:w="1205"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30,451,674.88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33,963,111.07</w:t>
            </w:r>
          </w:p>
        </w:tc>
      </w:tr>
    </w:tbl>
    <w:p>
      <w:pPr>
        <w:spacing w:after="0" w:line="240" w:lineRule="auto"/>
        <w:jc w:val="right"/>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1582" w:right="225"/>
        <w:jc w:val="left"/>
      </w:pPr>
      <w:r>
        <w:rPr/>
        <w:t>①期末，通过内部研发形成的无形资产占无形资产余额的比例为</w:t>
      </w:r>
      <w:r>
        <w:rPr>
          <w:rFonts w:ascii="Calibri" w:hAnsi="Calibri" w:cs="Calibri" w:eastAsia="Calibri" w:hint="default"/>
        </w:rPr>
        <w:t>84.19%</w:t>
      </w:r>
      <w:r>
        <w:rPr/>
        <w:t>。</w:t>
      </w:r>
    </w:p>
    <w:p>
      <w:pPr>
        <w:pStyle w:val="BodyText"/>
        <w:spacing w:line="240" w:lineRule="auto" w:before="123"/>
        <w:ind w:left="1582" w:right="131"/>
        <w:jc w:val="left"/>
      </w:pPr>
      <w:r>
        <w:rPr/>
        <w:t>②本期无形资产原值实际增加</w:t>
      </w:r>
      <w:r>
        <w:rPr>
          <w:rFonts w:ascii="Calibri" w:hAnsi="Calibri" w:cs="Calibri" w:eastAsia="Calibri" w:hint="default"/>
        </w:rPr>
        <w:t>23,544,242.60</w:t>
      </w:r>
      <w:r>
        <w:rPr/>
        <w:t>元，汇率变动影响</w:t>
      </w:r>
      <w:r>
        <w:rPr>
          <w:rFonts w:ascii="Calibri" w:hAnsi="Calibri" w:cs="Calibri" w:eastAsia="Calibri" w:hint="default"/>
        </w:rPr>
        <w:t>1,311,884.38</w:t>
      </w:r>
      <w:r>
        <w:rPr/>
        <w:t>元。</w:t>
      </w:r>
    </w:p>
    <w:p>
      <w:pPr>
        <w:pStyle w:val="BodyText"/>
        <w:spacing w:line="240" w:lineRule="auto" w:before="123"/>
        <w:ind w:left="1582" w:right="225"/>
        <w:jc w:val="left"/>
      </w:pPr>
      <w:r>
        <w:rPr/>
        <w:t>③本期实际摊销额</w:t>
      </w:r>
      <w:r>
        <w:rPr>
          <w:rFonts w:ascii="Calibri" w:hAnsi="Calibri" w:cs="Calibri" w:eastAsia="Calibri" w:hint="default"/>
        </w:rPr>
        <w:t>10,239,234.19</w:t>
      </w:r>
      <w:r>
        <w:rPr/>
        <w:t>元，汇率变动影响</w:t>
      </w:r>
      <w:r>
        <w:rPr>
          <w:rFonts w:ascii="Calibri" w:hAnsi="Calibri" w:cs="Calibri" w:eastAsia="Calibri" w:hint="default"/>
        </w:rPr>
        <w:t>767,785.28</w:t>
      </w:r>
      <w:r>
        <w:rPr/>
        <w:t>元。</w:t>
      </w:r>
    </w:p>
    <w:p>
      <w:pPr>
        <w:pStyle w:val="Heading2"/>
        <w:spacing w:line="240" w:lineRule="auto" w:before="47"/>
        <w:ind w:right="225"/>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51"/>
        <w:gridCol w:w="1539"/>
        <w:gridCol w:w="1538"/>
        <w:gridCol w:w="1539"/>
        <w:gridCol w:w="1539"/>
      </w:tblGrid>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3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本期减少金额</w:t>
            </w:r>
            <w:r>
              <w:rPr>
                <w:rFonts w:ascii="Microsoft JhengHei" w:hAnsi="Microsoft JhengHei" w:cs="Microsoft JhengHei" w:eastAsia="Microsoft JhengHei"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left="3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Calibri" w:hAnsi="Calibri" w:cs="Calibri" w:eastAsia="Calibri" w:hint="default"/>
                <w:sz w:val="21"/>
                <w:szCs w:val="21"/>
              </w:rPr>
            </w:pPr>
            <w:r>
              <w:rPr>
                <w:rFonts w:ascii="Calibri"/>
                <w:sz w:val="21"/>
              </w:rPr>
              <w:t>Supwermapiobjectsjava.NET8c</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1,122,944.56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5,872,390.78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6,995,335.34</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pacing w:val="-2"/>
                <w:sz w:val="21"/>
              </w:rPr>
              <w:t>SuperMapiMobile8CforAndroid/OS</w:t>
            </w:r>
            <w:r>
              <w:rPr>
                <w:rFonts w:ascii="Calibri"/>
                <w:sz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254,119.01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1,052,864.27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1,306,983.28</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Calibri" w:hAnsi="Calibri" w:cs="Calibri" w:eastAsia="Calibri" w:hint="default"/>
                <w:sz w:val="21"/>
                <w:szCs w:val="21"/>
              </w:rPr>
            </w:pPr>
            <w:r>
              <w:rPr>
                <w:rFonts w:ascii="Calibri"/>
                <w:sz w:val="21"/>
              </w:rPr>
              <w:t>SuperMapiDesktop8C</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Calibri" w:hAnsi="Calibri" w:cs="Calibri" w:eastAsia="Calibri" w:hint="default"/>
                <w:sz w:val="21"/>
                <w:szCs w:val="21"/>
              </w:rPr>
            </w:pPr>
            <w:r>
              <w:rPr>
                <w:rFonts w:ascii="Calibri"/>
                <w:spacing w:val="-1"/>
                <w:sz w:val="21"/>
              </w:rPr>
              <w:t>239,806.79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Calibri" w:hAnsi="Calibri" w:cs="Calibri" w:eastAsia="Calibri" w:hint="default"/>
                <w:sz w:val="21"/>
                <w:szCs w:val="21"/>
              </w:rPr>
            </w:pPr>
            <w:r>
              <w:rPr>
                <w:rFonts w:ascii="Calibri"/>
                <w:spacing w:val="-1"/>
                <w:sz w:val="21"/>
              </w:rPr>
              <w:t>1,248,865.85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Calibri" w:hAnsi="Calibri" w:cs="Calibri" w:eastAsia="Calibri" w:hint="default"/>
                <w:sz w:val="21"/>
                <w:szCs w:val="21"/>
              </w:rPr>
            </w:pPr>
            <w:r>
              <w:rPr>
                <w:rFonts w:ascii="Calibri"/>
                <w:spacing w:val="-1"/>
                <w:sz w:val="21"/>
              </w:rPr>
              <w:t>1,488,672.64</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SuperMapiServer8C</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617,545.46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3,016,042.49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3,633,587.95</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SuperMapiExpress8C</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290,702.04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1,352,093.95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1,642,795.99</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SuperMapiPortal8C</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216,176.62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965,293.37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1,181,469.99</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SuperMapiClient8C</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2"/>
              <w:jc w:val="center"/>
              <w:rPr>
                <w:rFonts w:ascii="Calibri" w:hAnsi="Calibri" w:cs="Calibri" w:eastAsia="Calibri" w:hint="default"/>
                <w:sz w:val="21"/>
                <w:szCs w:val="21"/>
              </w:rPr>
            </w:pPr>
            <w:r>
              <w:rPr>
                <w:rFonts w:ascii="Calibri"/>
                <w:sz w:val="21"/>
              </w:rPr>
              <w:t>SuperMapSGS7.5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1,127,410.72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2,534,955.72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3,662,366.44</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Calibri" w:hAnsi="Calibri" w:cs="Calibri" w:eastAsia="Calibri" w:hint="default"/>
                <w:sz w:val="21"/>
                <w:szCs w:val="21"/>
              </w:rPr>
            </w:pPr>
            <w:r>
              <w:rPr>
                <w:rFonts w:ascii="Calibri"/>
                <w:sz w:val="21"/>
              </w:rPr>
              <w:t>SuperMapiObjects9X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Calibri" w:hAnsi="Calibri" w:cs="Calibri" w:eastAsia="Calibri" w:hint="default"/>
                <w:sz w:val="21"/>
                <w:szCs w:val="21"/>
              </w:rPr>
            </w:pPr>
            <w:r>
              <w:rPr>
                <w:rFonts w:ascii="Calibri"/>
                <w:spacing w:val="-1"/>
                <w:sz w:val="21"/>
              </w:rPr>
              <w:t>1,391,937.57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Calibri" w:hAnsi="Calibri" w:cs="Calibri" w:eastAsia="Calibri" w:hint="default"/>
                <w:sz w:val="21"/>
                <w:szCs w:val="21"/>
              </w:rPr>
            </w:pPr>
            <w:r>
              <w:rPr>
                <w:rFonts w:ascii="Calibri"/>
                <w:spacing w:val="-1"/>
                <w:sz w:val="21"/>
              </w:rPr>
              <w:t>1,391,937.57</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SuperMapiMobile9X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263,989.17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263,989.17</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Calibri" w:hAnsi="Calibri" w:cs="Calibri" w:eastAsia="Calibri" w:hint="default"/>
                <w:sz w:val="21"/>
                <w:szCs w:val="21"/>
              </w:rPr>
            </w:pPr>
            <w:r>
              <w:rPr>
                <w:rFonts w:ascii="Calibri"/>
                <w:sz w:val="21"/>
              </w:rPr>
              <w:t>SuperMapiDesktop9X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400,968.69</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400,968.69</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2"/>
              <w:jc w:val="center"/>
              <w:rPr>
                <w:rFonts w:ascii="Calibri" w:hAnsi="Calibri" w:cs="Calibri" w:eastAsia="Calibri" w:hint="default"/>
                <w:sz w:val="21"/>
                <w:szCs w:val="21"/>
              </w:rPr>
            </w:pPr>
            <w:r>
              <w:rPr>
                <w:rFonts w:ascii="Calibri"/>
                <w:sz w:val="21"/>
              </w:rPr>
              <w:t>SuperMapiServer9X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912,038.07</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912,038.07</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2"/>
              <w:jc w:val="center"/>
              <w:rPr>
                <w:rFonts w:ascii="Calibri" w:hAnsi="Calibri" w:cs="Calibri" w:eastAsia="Calibri" w:hint="default"/>
                <w:sz w:val="21"/>
                <w:szCs w:val="21"/>
              </w:rPr>
            </w:pPr>
            <w:r>
              <w:rPr>
                <w:rFonts w:ascii="Calibri"/>
                <w:sz w:val="21"/>
              </w:rPr>
              <w:t>SuperMapiExpress9X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120,104.43</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120,104.43</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2"/>
              <w:jc w:val="center"/>
              <w:rPr>
                <w:rFonts w:ascii="Calibri" w:hAnsi="Calibri" w:cs="Calibri" w:eastAsia="Calibri" w:hint="default"/>
                <w:sz w:val="21"/>
                <w:szCs w:val="21"/>
              </w:rPr>
            </w:pPr>
            <w:r>
              <w:rPr>
                <w:rFonts w:ascii="Calibri"/>
                <w:sz w:val="21"/>
              </w:rPr>
              <w:t>SuperMapiPortal9X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227,772.40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227,772.40</w:t>
            </w:r>
          </w:p>
        </w:tc>
      </w:tr>
      <w:tr>
        <w:trPr>
          <w:trHeight w:val="480"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2"/>
              <w:jc w:val="center"/>
              <w:rPr>
                <w:rFonts w:ascii="Calibri" w:hAnsi="Calibri" w:cs="Calibri" w:eastAsia="Calibri" w:hint="default"/>
                <w:sz w:val="21"/>
                <w:szCs w:val="21"/>
              </w:rPr>
            </w:pPr>
            <w:r>
              <w:rPr>
                <w:rFonts w:ascii="Calibri"/>
                <w:sz w:val="21"/>
              </w:rPr>
              <w:t>SuperMapiCloudManager9X</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Calibri" w:hAnsi="Calibri" w:cs="Calibri" w:eastAsia="Calibri" w:hint="default"/>
                <w:sz w:val="21"/>
                <w:szCs w:val="21"/>
              </w:rPr>
            </w:pPr>
            <w:r>
              <w:rPr>
                <w:rFonts w:ascii="Calibri"/>
                <w:spacing w:val="-1"/>
                <w:sz w:val="21"/>
              </w:rPr>
              <w:t>179,637.60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Calibri" w:hAnsi="Calibri" w:cs="Calibri" w:eastAsia="Calibri" w:hint="default"/>
                <w:sz w:val="21"/>
                <w:szCs w:val="21"/>
              </w:rPr>
            </w:pPr>
            <w:r>
              <w:rPr>
                <w:rFonts w:ascii="Calibri"/>
                <w:spacing w:val="-1"/>
                <w:sz w:val="21"/>
              </w:rPr>
              <w:t>179,637.60</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2"/>
              <w:jc w:val="center"/>
              <w:rPr>
                <w:rFonts w:ascii="Calibri" w:hAnsi="Calibri" w:cs="Calibri" w:eastAsia="Calibri" w:hint="default"/>
                <w:sz w:val="21"/>
                <w:szCs w:val="21"/>
              </w:rPr>
            </w:pPr>
            <w:r>
              <w:rPr>
                <w:rFonts w:ascii="Calibri"/>
                <w:sz w:val="21"/>
              </w:rPr>
              <w:t>SuperBaseMap</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1,972,541.91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1,972,541.91</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Calibri" w:hAnsi="Calibri" w:cs="Calibri" w:eastAsia="Calibri" w:hint="default"/>
                <w:sz w:val="21"/>
                <w:szCs w:val="21"/>
              </w:rPr>
            </w:pPr>
            <w:r>
              <w:rPr>
                <w:rFonts w:ascii="Calibri"/>
                <w:sz w:val="21"/>
              </w:rPr>
              <w:t>SuperBaseMap</w:t>
            </w:r>
            <w:r>
              <w:rPr>
                <w:rFonts w:ascii="Calibri"/>
                <w:spacing w:val="-1"/>
                <w:sz w:val="21"/>
              </w:rPr>
              <w:t> </w:t>
            </w:r>
            <w:r>
              <w:rPr>
                <w:rFonts w:ascii="Calibri"/>
                <w:spacing w:val="-2"/>
                <w:sz w:val="21"/>
              </w:rPr>
              <w:t>Pro</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2,424,375.00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2,424,375.00</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Calibri" w:hAnsi="Calibri" w:cs="Calibri" w:eastAsia="Calibri" w:hint="default"/>
                <w:sz w:val="21"/>
                <w:szCs w:val="21"/>
              </w:rPr>
            </w:pPr>
            <w:r>
              <w:rPr>
                <w:rFonts w:ascii="Calibri"/>
                <w:sz w:val="21"/>
              </w:rPr>
              <w:t>LifeupInfo</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4,579,375.00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4,579,375.00</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Calibri" w:hAnsi="Calibri" w:cs="Calibri" w:eastAsia="Calibri" w:hint="default"/>
                <w:sz w:val="21"/>
                <w:szCs w:val="21"/>
              </w:rPr>
            </w:pPr>
            <w:r>
              <w:rPr>
                <w:rFonts w:ascii="Calibri"/>
                <w:sz w:val="21"/>
              </w:rPr>
              <w:t>AnpyQ</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7,003,750.00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7,003,750.00</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0"/>
              <w:jc w:val="center"/>
              <w:rPr>
                <w:rFonts w:ascii="Calibri" w:hAnsi="Calibri" w:cs="Calibri" w:eastAsia="Calibri" w:hint="default"/>
                <w:sz w:val="21"/>
                <w:szCs w:val="21"/>
              </w:rPr>
            </w:pPr>
            <w:r>
              <w:rPr>
                <w:rFonts w:ascii="Calibri" w:hAnsi="Calibri" w:cs="Calibri" w:eastAsia="Calibri" w:hint="default"/>
                <w:sz w:val="21"/>
                <w:szCs w:val="21"/>
              </w:rPr>
              <w:t>Lifeup•Online</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6,195,625.00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6,195,625.00</w:t>
            </w:r>
          </w:p>
        </w:tc>
      </w:tr>
      <w:tr>
        <w:trPr>
          <w:trHeight w:val="480"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Calibri" w:hAnsi="Calibri" w:cs="Calibri" w:eastAsia="Calibri" w:hint="default"/>
                <w:sz w:val="21"/>
                <w:szCs w:val="21"/>
              </w:rPr>
            </w:pPr>
            <w:r>
              <w:rPr>
                <w:rFonts w:ascii="Calibri"/>
                <w:sz w:val="21"/>
              </w:rPr>
              <w:t>SuperMap</w:t>
            </w:r>
            <w:r>
              <w:rPr>
                <w:rFonts w:ascii="Calibri"/>
                <w:spacing w:val="-2"/>
                <w:sz w:val="21"/>
              </w:rPr>
              <w:t> </w:t>
            </w:r>
            <w:r>
              <w:rPr>
                <w:rFonts w:ascii="Calibri"/>
                <w:sz w:val="21"/>
              </w:rPr>
              <w:t>8C</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Calibri" w:hAnsi="Calibri" w:cs="Calibri" w:eastAsia="Calibri" w:hint="default"/>
                <w:sz w:val="21"/>
                <w:szCs w:val="21"/>
              </w:rPr>
            </w:pPr>
            <w:r>
              <w:rPr>
                <w:rFonts w:ascii="Calibri"/>
                <w:spacing w:val="-1"/>
                <w:sz w:val="21"/>
              </w:rPr>
              <w:t>3,490,478.66</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Calibri" w:hAnsi="Calibri" w:cs="Calibri" w:eastAsia="Calibri" w:hint="default"/>
                <w:sz w:val="21"/>
                <w:szCs w:val="21"/>
              </w:rPr>
            </w:pPr>
            <w:r>
              <w:rPr>
                <w:rFonts w:ascii="Calibri"/>
                <w:spacing w:val="-1"/>
                <w:sz w:val="21"/>
              </w:rPr>
              <w:t>3,490,478.66</w:t>
            </w: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宋体" w:hAnsi="宋体" w:cs="宋体" w:eastAsia="宋体" w:hint="default"/>
                <w:sz w:val="21"/>
                <w:szCs w:val="21"/>
              </w:rPr>
            </w:pPr>
            <w:r>
              <w:rPr>
                <w:rFonts w:ascii="Calibri" w:hAnsi="Calibri" w:cs="Calibri" w:eastAsia="Calibri" w:hint="default"/>
                <w:sz w:val="21"/>
                <w:szCs w:val="21"/>
              </w:rPr>
              <w:t>SuperMap</w:t>
            </w:r>
            <w:r>
              <w:rPr>
                <w:rFonts w:ascii="Calibri" w:hAnsi="Calibri" w:cs="Calibri" w:eastAsia="Calibri" w:hint="default"/>
                <w:spacing w:val="4"/>
                <w:sz w:val="21"/>
                <w:szCs w:val="21"/>
              </w:rPr>
              <w:t> </w:t>
            </w:r>
            <w:r>
              <w:rPr>
                <w:rFonts w:ascii="宋体" w:hAnsi="宋体" w:cs="宋体" w:eastAsia="宋体" w:hint="default"/>
                <w:sz w:val="21"/>
                <w:szCs w:val="21"/>
              </w:rPr>
              <w:t>開発</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Calibri" w:hAnsi="Calibri" w:cs="Calibri" w:eastAsia="Calibri" w:hint="default"/>
                <w:sz w:val="21"/>
                <w:szCs w:val="21"/>
              </w:rPr>
            </w:pPr>
            <w:r>
              <w:rPr>
                <w:rFonts w:ascii="Calibri"/>
                <w:spacing w:val="-1"/>
                <w:sz w:val="21"/>
              </w:rPr>
              <w:t>2,495,401.72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Calibri" w:hAnsi="Calibri" w:cs="Calibri" w:eastAsia="Calibri" w:hint="default"/>
                <w:sz w:val="21"/>
                <w:szCs w:val="21"/>
              </w:rPr>
            </w:pPr>
            <w:r>
              <w:rPr>
                <w:rFonts w:ascii="Calibri"/>
                <w:spacing w:val="-1"/>
                <w:sz w:val="21"/>
              </w:rPr>
              <w:t>2,495,401.72</w:t>
            </w: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Calibri" w:hAnsi="Calibri" w:cs="Calibri" w:eastAsia="Calibri" w:hint="default"/>
                <w:sz w:val="21"/>
                <w:szCs w:val="21"/>
              </w:rPr>
            </w:pPr>
            <w:r>
              <w:rPr>
                <w:rFonts w:ascii="Calibri"/>
                <w:spacing w:val="-2"/>
                <w:sz w:val="21"/>
              </w:rPr>
              <w:t>65,362,986.71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085" w:header="884" w:top="1300" w:bottom="1280" w:left="1080" w:right="840"/>
          <w:pgNumType w:start="151"/>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51"/>
        <w:gridCol w:w="1539"/>
        <w:gridCol w:w="1538"/>
        <w:gridCol w:w="1539"/>
        <w:gridCol w:w="1541"/>
      </w:tblGrid>
      <w:tr>
        <w:trPr>
          <w:trHeight w:val="478"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3"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4" w:right="0"/>
              <w:jc w:val="left"/>
              <w:rPr>
                <w:rFonts w:ascii="Calibri" w:hAnsi="Calibri" w:cs="Calibri" w:eastAsia="Calibri" w:hint="default"/>
                <w:sz w:val="21"/>
                <w:szCs w:val="21"/>
              </w:rPr>
            </w:pPr>
            <w:r>
              <w:rPr>
                <w:rFonts w:ascii="Calibri"/>
                <w:b/>
                <w:sz w:val="21"/>
              </w:rPr>
              <w:t>3,868,705.20</w:t>
            </w:r>
            <w:r>
              <w:rPr>
                <w:rFonts w:ascii="Calibri"/>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2" w:right="0"/>
              <w:jc w:val="left"/>
              <w:rPr>
                <w:rFonts w:ascii="Calibri" w:hAnsi="Calibri" w:cs="Calibri" w:eastAsia="Calibri" w:hint="default"/>
                <w:sz w:val="21"/>
                <w:szCs w:val="21"/>
              </w:rPr>
            </w:pPr>
            <w:r>
              <w:rPr>
                <w:rFonts w:ascii="Calibri"/>
                <w:b/>
                <w:sz w:val="21"/>
              </w:rPr>
              <w:t>113,063,488.36</w:t>
            </w:r>
            <w:r>
              <w:rPr>
                <w:rFonts w:ascii="Calibri"/>
                <w:sz w:val="21"/>
              </w:rPr>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Calibri" w:hAnsi="Calibri" w:cs="Calibri" w:eastAsia="Calibri" w:hint="default"/>
                <w:sz w:val="21"/>
                <w:szCs w:val="21"/>
              </w:rPr>
            </w:pPr>
            <w:r>
              <w:rPr>
                <w:rFonts w:ascii="Calibri"/>
                <w:b/>
                <w:sz w:val="21"/>
              </w:rPr>
              <w:t>22,406,613.35</w:t>
            </w:r>
            <w:r>
              <w:rPr>
                <w:rFonts w:ascii="Calibri"/>
                <w:sz w:val="21"/>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Calibri" w:hAnsi="Calibri" w:cs="Calibri" w:eastAsia="Calibri" w:hint="default"/>
                <w:sz w:val="21"/>
                <w:szCs w:val="21"/>
              </w:rPr>
            </w:pPr>
            <w:r>
              <w:rPr>
                <w:rFonts w:ascii="Calibri"/>
                <w:b/>
                <w:sz w:val="21"/>
              </w:rPr>
              <w:t>29,162,593.50</w:t>
            </w:r>
            <w:r>
              <w:rPr>
                <w:rFonts w:ascii="Calibri"/>
                <w:sz w:val="21"/>
              </w:rPr>
            </w:r>
          </w:p>
        </w:tc>
      </w:tr>
    </w:tbl>
    <w:p>
      <w:pPr>
        <w:pStyle w:val="BodyText"/>
        <w:spacing w:line="240" w:lineRule="auto" w:before="39"/>
        <w:ind w:left="1582" w:right="225"/>
        <w:jc w:val="left"/>
      </w:pPr>
      <w:r>
        <w:rPr/>
        <w:t>其他说明</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15"/>
        <w:gridCol w:w="1649"/>
        <w:gridCol w:w="1927"/>
        <w:gridCol w:w="2615"/>
      </w:tblGrid>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资本化开始时点</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资本化的具体依据</w:t>
            </w:r>
            <w:r>
              <w:rPr>
                <w:rFonts w:ascii="Microsoft JhengHei" w:hAnsi="Microsoft JhengHei" w:cs="Microsoft JhengHei" w:eastAsia="Microsoft JhengHei" w:hint="default"/>
                <w:sz w:val="21"/>
                <w:szCs w:val="21"/>
              </w:rPr>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截至期末的研发进度</w:t>
            </w:r>
            <w:r>
              <w:rPr>
                <w:rFonts w:ascii="Microsoft JhengHei" w:hAnsi="Microsoft JhengHei" w:cs="Microsoft JhengHei" w:eastAsia="Microsoft JhengHei" w:hint="default"/>
                <w:sz w:val="21"/>
                <w:szCs w:val="21"/>
              </w:rPr>
            </w:r>
          </w:p>
        </w:tc>
      </w:tr>
      <w:tr>
        <w:trPr>
          <w:trHeight w:val="65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Supwermapiobjectsjava.NET8c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4" w:right="0"/>
              <w:jc w:val="left"/>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65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spacing w:val="-2"/>
                <w:sz w:val="21"/>
              </w:rPr>
              <w:t>SuperMapiMobile8CforAndroid/OS</w:t>
            </w:r>
            <w:r>
              <w:rPr>
                <w:rFonts w:ascii="Calibri"/>
                <w:sz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已经结题，转入无形资产</w:t>
            </w:r>
          </w:p>
        </w:tc>
      </w:tr>
      <w:tr>
        <w:trPr>
          <w:trHeight w:val="65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SuperMapiDesktop8C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已经结题，转入无形资产</w:t>
            </w:r>
          </w:p>
        </w:tc>
      </w:tr>
      <w:tr>
        <w:trPr>
          <w:trHeight w:val="656"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Calibri" w:hAnsi="Calibri" w:cs="Calibri" w:eastAsia="Calibri" w:hint="default"/>
                <w:sz w:val="21"/>
                <w:szCs w:val="21"/>
              </w:rPr>
            </w:pPr>
            <w:r>
              <w:rPr>
                <w:rFonts w:ascii="Calibri"/>
                <w:sz w:val="21"/>
              </w:rPr>
              <w:t>SuperMapiServer8C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219"/>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1"/>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已经结题，转入无形资产</w:t>
            </w:r>
          </w:p>
        </w:tc>
      </w:tr>
      <w:tr>
        <w:trPr>
          <w:trHeight w:val="65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Calibri" w:hAnsi="Calibri" w:cs="Calibri" w:eastAsia="Calibri" w:hint="default"/>
                <w:sz w:val="21"/>
                <w:szCs w:val="21"/>
              </w:rPr>
            </w:pPr>
            <w:r>
              <w:rPr>
                <w:rFonts w:ascii="Calibri"/>
                <w:sz w:val="21"/>
              </w:rPr>
              <w:t>SuperMapiExpress8C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2"/>
              <w:jc w:val="right"/>
              <w:rPr>
                <w:rFonts w:ascii="宋体" w:hAnsi="宋体" w:cs="宋体" w:eastAsia="宋体" w:hint="default"/>
                <w:sz w:val="21"/>
                <w:szCs w:val="21"/>
              </w:rPr>
            </w:pPr>
            <w:r>
              <w:rPr>
                <w:rFonts w:ascii="宋体" w:hAnsi="宋体" w:cs="宋体" w:eastAsia="宋体" w:hint="default"/>
                <w:spacing w:val="-1"/>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已经结题，转入无形资产</w:t>
            </w:r>
          </w:p>
        </w:tc>
      </w:tr>
      <w:tr>
        <w:trPr>
          <w:trHeight w:val="655"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Calibri" w:hAnsi="Calibri" w:cs="Calibri" w:eastAsia="Calibri" w:hint="default"/>
                <w:sz w:val="21"/>
                <w:szCs w:val="21"/>
              </w:rPr>
            </w:pPr>
            <w:r>
              <w:rPr>
                <w:rFonts w:ascii="Calibri"/>
                <w:sz w:val="21"/>
              </w:rPr>
              <w:t>SuperMapiPortal8C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SuperMapSGS7.5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55"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7</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4" w:right="0"/>
              <w:jc w:val="left"/>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 w:right="0"/>
              <w:jc w:val="center"/>
              <w:rPr>
                <w:rFonts w:ascii="宋体" w:hAnsi="宋体" w:cs="宋体" w:eastAsia="宋体" w:hint="default"/>
                <w:sz w:val="21"/>
                <w:szCs w:val="21"/>
              </w:rPr>
            </w:pPr>
            <w:r>
              <w:rPr>
                <w:rFonts w:ascii="Calibri" w:hAnsi="Calibri" w:cs="Calibri" w:eastAsia="Calibri" w:hint="default"/>
                <w:sz w:val="21"/>
                <w:szCs w:val="21"/>
              </w:rPr>
              <w:t>SuperMap</w:t>
            </w:r>
            <w:r>
              <w:rPr>
                <w:rFonts w:ascii="Calibri" w:hAnsi="Calibri" w:cs="Calibri" w:eastAsia="Calibri" w:hint="default"/>
                <w:spacing w:val="4"/>
                <w:sz w:val="21"/>
                <w:szCs w:val="21"/>
              </w:rPr>
              <w:t> </w:t>
            </w:r>
            <w:r>
              <w:rPr>
                <w:rFonts w:ascii="宋体" w:hAnsi="宋体" w:cs="宋体" w:eastAsia="宋体" w:hint="default"/>
                <w:sz w:val="21"/>
                <w:szCs w:val="21"/>
              </w:rPr>
              <w:t>開発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55"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4" w:right="0"/>
              <w:jc w:val="left"/>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65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SuperMapiObjects9X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right="420"/>
              <w:jc w:val="center"/>
              <w:rPr>
                <w:rFonts w:ascii="Calibri" w:hAnsi="Calibri" w:cs="Calibri" w:eastAsia="Calibri" w:hint="default"/>
                <w:sz w:val="21"/>
                <w:szCs w:val="21"/>
              </w:rPr>
            </w:pPr>
            <w:r>
              <w:rPr>
                <w:rFonts w:ascii="Calibri" w:hAnsi="Calibri" w:cs="Calibri" w:eastAsia="Calibri"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11</w:t>
            </w:r>
          </w:p>
          <w:p>
            <w:pPr>
              <w:pStyle w:val="TableParagraph"/>
              <w:spacing w:line="240" w:lineRule="auto" w:before="10"/>
              <w:ind w:right="418"/>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SuperMapiMobile9X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11"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Calibri" w:hAnsi="Calibri" w:cs="Calibri" w:eastAsia="Calibri" w:hint="default"/>
                <w:sz w:val="21"/>
                <w:szCs w:val="21"/>
              </w:rPr>
            </w:pPr>
            <w:r>
              <w:rPr>
                <w:rFonts w:ascii="Calibri"/>
                <w:sz w:val="21"/>
              </w:rPr>
              <w:t>SuperMapiDesktop9X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11"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SuperMapiServer9X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11"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SuperMapiExpress9X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11"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SuperMapiPortal9X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11"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SuperMapiCloudManager9X</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58"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11</w:t>
            </w:r>
            <w:r>
              <w:rPr>
                <w:rFonts w:ascii="Calibri" w:hAnsi="Calibri" w:cs="Calibri" w:eastAsia="Calibri" w:hint="default"/>
                <w:spacing w:val="6"/>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SuperBaseMap</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Calibri" w:hAnsi="Calibri" w:cs="Calibri" w:eastAsia="Calibri" w:hint="default"/>
                <w:sz w:val="21"/>
                <w:szCs w:val="21"/>
              </w:rPr>
            </w:pPr>
            <w:r>
              <w:rPr>
                <w:rFonts w:ascii="Calibri"/>
                <w:sz w:val="21"/>
              </w:rPr>
              <w:t>SuperBaseMap</w:t>
            </w:r>
            <w:r>
              <w:rPr>
                <w:rFonts w:ascii="Calibri"/>
                <w:spacing w:val="-1"/>
                <w:sz w:val="21"/>
              </w:rPr>
              <w:t> </w:t>
            </w:r>
            <w:r>
              <w:rPr>
                <w:rFonts w:ascii="Calibri"/>
                <w:spacing w:val="-2"/>
                <w:sz w:val="21"/>
              </w:rPr>
              <w:t>Pro</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sz w:val="21"/>
              </w:rPr>
              <w:t>LifeupInfo</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AnpyQ</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alibri" w:hAnsi="Calibri" w:cs="Calibri" w:eastAsia="Calibri" w:hint="default"/>
                <w:sz w:val="21"/>
                <w:szCs w:val="21"/>
              </w:rPr>
            </w:pPr>
            <w:r>
              <w:rPr>
                <w:rFonts w:ascii="Calibri" w:hAnsi="Calibri"/>
                <w:sz w:val="21"/>
              </w:rPr>
              <w:t>Lifeup·Online</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Calibri" w:hAnsi="Calibri" w:cs="Calibri" w:eastAsia="Calibri" w:hint="default"/>
                <w:sz w:val="21"/>
                <w:szCs w:val="21"/>
              </w:rPr>
            </w:pPr>
            <w:r>
              <w:rPr>
                <w:rFonts w:ascii="Calibri"/>
                <w:sz w:val="21"/>
              </w:rPr>
              <w:t>SuperMap</w:t>
            </w:r>
            <w:r>
              <w:rPr>
                <w:rFonts w:ascii="Calibri"/>
                <w:spacing w:val="-2"/>
                <w:sz w:val="21"/>
              </w:rPr>
              <w:t> </w:t>
            </w:r>
            <w:r>
              <w:rPr>
                <w:rFonts w:ascii="Calibri"/>
                <w:sz w:val="21"/>
              </w:rPr>
              <w:t>8C</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37" w:right="0"/>
              <w:jc w:val="left"/>
              <w:rPr>
                <w:rFonts w:ascii="宋体" w:hAnsi="宋体" w:cs="宋体" w:eastAsia="宋体" w:hint="default"/>
                <w:sz w:val="21"/>
                <w:szCs w:val="21"/>
              </w:rPr>
            </w:pPr>
            <w:r>
              <w:rPr>
                <w:rFonts w:ascii="Calibri" w:hAnsi="Calibri" w:cs="Calibri" w:eastAsia="Calibri" w:hint="default"/>
                <w:sz w:val="21"/>
                <w:szCs w:val="21"/>
              </w:rPr>
              <w:t>2015 </w:t>
            </w:r>
            <w:r>
              <w:rPr>
                <w:rFonts w:ascii="Calibri" w:hAnsi="Calibri" w:cs="Calibri" w:eastAsia="Calibri"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28" w:right="0"/>
              <w:jc w:val="left"/>
              <w:rPr>
                <w:rFonts w:ascii="宋体" w:hAnsi="宋体" w:cs="宋体" w:eastAsia="宋体" w:hint="default"/>
                <w:sz w:val="21"/>
                <w:szCs w:val="21"/>
              </w:rPr>
            </w:pPr>
            <w:r>
              <w:rPr>
                <w:rFonts w:ascii="宋体" w:hAnsi="宋体" w:cs="宋体" w:eastAsia="宋体" w:hint="default"/>
                <w:sz w:val="21"/>
                <w:szCs w:val="21"/>
              </w:rPr>
              <w:t>立项评审通过</w:t>
            </w:r>
          </w:p>
        </w:tc>
        <w:tc>
          <w:tcPr>
            <w:tcW w:w="26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未结题</w:t>
            </w:r>
          </w:p>
        </w:tc>
      </w:tr>
    </w:tbl>
    <w:p>
      <w:pPr>
        <w:pStyle w:val="BodyText"/>
        <w:spacing w:line="240" w:lineRule="auto" w:before="39"/>
        <w:ind w:left="1582" w:right="225"/>
        <w:jc w:val="left"/>
        <w:rPr>
          <w:rFonts w:ascii="Calibri" w:hAnsi="Calibri" w:cs="Calibri" w:eastAsia="Calibri" w:hint="default"/>
        </w:rPr>
      </w:pPr>
      <w:r>
        <w:rPr/>
        <w:t>说明：本年本期开发支出占本期研究开发项目支出总额的比例</w:t>
      </w:r>
      <w:r>
        <w:rPr>
          <w:rFonts w:ascii="Calibri" w:hAnsi="Calibri" w:cs="Calibri" w:eastAsia="Calibri" w:hint="default"/>
        </w:rPr>
        <w:t>42.19%</w:t>
      </w:r>
    </w:p>
    <w:p>
      <w:pPr>
        <w:pStyle w:val="Heading2"/>
        <w:spacing w:line="240" w:lineRule="auto" w:before="47"/>
        <w:ind w:right="225"/>
        <w:jc w:val="left"/>
        <w:rPr>
          <w:b w:val="0"/>
          <w:bCs w:val="0"/>
        </w:rPr>
      </w:pPr>
      <w:r>
        <w:rPr>
          <w:rFonts w:ascii="Times New Roman" w:hAnsi="Times New Roman" w:cs="Times New Roman" w:eastAsia="Times New Roman" w:hint="default"/>
        </w:rPr>
        <w:t>27</w:t>
      </w:r>
      <w:r>
        <w:rPr/>
        <w:t>、商誉</w:t>
      </w:r>
      <w:r>
        <w:rPr>
          <w:b w:val="0"/>
          <w:bCs w:val="0"/>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）商誉账面原值</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147"/>
        <w:jc w:val="right"/>
      </w:pPr>
      <w:r>
        <w:rPr/>
        <w:t>单位： 元</w:t>
      </w: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315"/>
        <w:gridCol w:w="1316"/>
        <w:gridCol w:w="1313"/>
        <w:gridCol w:w="1318"/>
        <w:gridCol w:w="1313"/>
        <w:gridCol w:w="1318"/>
        <w:gridCol w:w="1313"/>
      </w:tblGrid>
      <w:tr>
        <w:trPr>
          <w:trHeight w:val="947" w:hRule="exact"/>
        </w:trPr>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w:t>
            </w:r>
            <w:r>
              <w:rPr>
                <w:rFonts w:ascii="Microsoft JhengHei" w:hAnsi="Microsoft JhengHei" w:cs="Microsoft JhengHei" w:eastAsia="Microsoft JhengHei" w:hint="default"/>
                <w:sz w:val="21"/>
                <w:szCs w:val="21"/>
              </w:rPr>
            </w:r>
          </w:p>
          <w:p>
            <w:pPr>
              <w:pStyle w:val="TableParagraph"/>
              <w:spacing w:line="312" w:lineRule="exact" w:before="35"/>
              <w:ind w:left="124" w:right="1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名称或形成</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商誉的事项</w:t>
            </w:r>
            <w:r>
              <w:rPr>
                <w:rFonts w:ascii="Microsoft JhengHei" w:hAnsi="Microsoft JhengHei" w:cs="Microsoft JhengHei" w:eastAsia="Microsoft JhengHei" w:hint="default"/>
                <w:sz w:val="21"/>
                <w:szCs w:val="21"/>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sz w:val="21"/>
                <w:szCs w:val="21"/>
              </w:rPr>
              <w:t>日本超图株</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1,312,138.80</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1,312,138.80</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315"/>
        <w:gridCol w:w="1316"/>
        <w:gridCol w:w="1313"/>
        <w:gridCol w:w="1318"/>
        <w:gridCol w:w="1313"/>
        <w:gridCol w:w="1318"/>
        <w:gridCol w:w="1313"/>
      </w:tblGrid>
      <w:tr>
        <w:trPr>
          <w:trHeight w:val="322" w:hRule="exact"/>
        </w:trPr>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式会社</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24" w:right="125"/>
              <w:jc w:val="center"/>
              <w:rPr>
                <w:rFonts w:ascii="宋体" w:hAnsi="宋体" w:cs="宋体" w:eastAsia="宋体" w:hint="default"/>
                <w:sz w:val="21"/>
                <w:szCs w:val="21"/>
              </w:rPr>
            </w:pPr>
            <w:r>
              <w:rPr>
                <w:rFonts w:ascii="宋体" w:hAnsi="宋体" w:cs="宋体" w:eastAsia="宋体" w:hint="default"/>
                <w:sz w:val="21"/>
                <w:szCs w:val="21"/>
              </w:rPr>
              <w:t>上海南康科</w:t>
            </w:r>
            <w:r>
              <w:rPr>
                <w:rFonts w:ascii="宋体" w:hAnsi="宋体" w:cs="宋体" w:eastAsia="宋体" w:hint="default"/>
                <w:w w:val="100"/>
                <w:sz w:val="21"/>
                <w:szCs w:val="21"/>
              </w:rPr>
              <w:t> </w:t>
            </w:r>
            <w:r>
              <w:rPr>
                <w:rFonts w:ascii="宋体" w:hAnsi="宋体" w:cs="宋体" w:eastAsia="宋体" w:hint="default"/>
                <w:sz w:val="21"/>
                <w:szCs w:val="21"/>
              </w:rPr>
              <w:t>技有限公司</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61,192,082.38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46"/>
              <w:jc w:val="right"/>
              <w:rPr>
                <w:rFonts w:ascii="Times New Roman" w:hAnsi="Times New Roman" w:cs="Times New Roman" w:eastAsia="Times New Roman" w:hint="default"/>
                <w:sz w:val="21"/>
                <w:szCs w:val="21"/>
              </w:rPr>
            </w:pPr>
            <w:r>
              <w:rPr>
                <w:rFonts w:ascii="Times New Roman"/>
                <w:spacing w:val="-1"/>
                <w:sz w:val="21"/>
              </w:rPr>
              <w:t>61,192,082.38</w:t>
            </w:r>
          </w:p>
        </w:tc>
      </w:tr>
      <w:tr>
        <w:trPr>
          <w:trHeight w:val="324" w:hRule="exact"/>
        </w:trPr>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1,312,138.80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61,192,082.38</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6"/>
              <w:jc w:val="right"/>
              <w:rPr>
                <w:rFonts w:ascii="Times New Roman" w:hAnsi="Times New Roman" w:cs="Times New Roman" w:eastAsia="Times New Roman" w:hint="default"/>
                <w:sz w:val="21"/>
                <w:szCs w:val="21"/>
              </w:rPr>
            </w:pPr>
            <w:r>
              <w:rPr>
                <w:rFonts w:ascii="Times New Roman"/>
                <w:spacing w:val="-1"/>
                <w:sz w:val="21"/>
              </w:rPr>
              <w:t>62,504,221.18</w:t>
            </w:r>
          </w:p>
        </w:tc>
      </w:tr>
    </w:tbl>
    <w:p>
      <w:pPr>
        <w:pStyle w:val="Heading2"/>
        <w:spacing w:line="380" w:lineRule="exact"/>
        <w:ind w:right="2025"/>
        <w:jc w:val="left"/>
        <w:rPr>
          <w:b w:val="0"/>
          <w:bCs w:val="0"/>
        </w:rPr>
      </w:pPr>
      <w:r>
        <w:rPr/>
        <w:t>（</w:t>
      </w:r>
      <w:r>
        <w:rPr>
          <w:rFonts w:ascii="Times New Roman" w:hAnsi="Times New Roman" w:cs="Times New Roman" w:eastAsia="Times New Roman" w:hint="default"/>
        </w:rPr>
        <w:t>2</w:t>
      </w:r>
      <w:r>
        <w:rPr/>
        <w:t>）商誉减值准备</w:t>
      </w:r>
      <w:r>
        <w:rPr>
          <w:b w:val="0"/>
          <w:bCs w:val="0"/>
        </w:rPr>
      </w:r>
    </w:p>
    <w:p>
      <w:pPr>
        <w:pStyle w:val="BodyText"/>
        <w:spacing w:line="338" w:lineRule="auto" w:before="126"/>
        <w:ind w:left="1101" w:right="585" w:firstLine="480"/>
        <w:jc w:val="left"/>
      </w:pPr>
      <w:r>
        <w:rPr/>
        <w:t>本集团采用预计未来现金流现值的方法计算包含商誉的资产组的可收回金额。 本集团根据管理层批准的财务预算预计未来</w:t>
      </w:r>
      <w:r>
        <w:rPr>
          <w:rFonts w:ascii="Calibri" w:hAnsi="Calibri" w:cs="Calibri" w:eastAsia="Calibri" w:hint="default"/>
        </w:rPr>
        <w:t>5</w:t>
      </w:r>
      <w:r>
        <w:rPr/>
        <w:t>年内现金流量。管理层根据过往表现 及其对市场发展的预期编制上述财务预算。计算未来现金流现值所采用的折现率为 包含商誉的资产组的加权平均资本成本，本期日本超图株式会社为</w:t>
      </w:r>
      <w:r>
        <w:rPr>
          <w:rFonts w:ascii="Calibri" w:hAnsi="Calibri" w:cs="Calibri" w:eastAsia="Calibri" w:hint="default"/>
        </w:rPr>
        <w:t>12.56%</w:t>
      </w:r>
      <w:r>
        <w:rPr/>
        <w:t>（上期： </w:t>
      </w:r>
      <w:r>
        <w:rPr>
          <w:rFonts w:ascii="Calibri" w:hAnsi="Calibri" w:cs="Calibri" w:eastAsia="Calibri" w:hint="default"/>
        </w:rPr>
        <w:t>16.81%</w:t>
      </w:r>
      <w:r>
        <w:rPr/>
        <w:t>）、上海南康科技有限公司为</w:t>
      </w:r>
      <w:r>
        <w:rPr>
          <w:rFonts w:ascii="Calibri" w:hAnsi="Calibri" w:cs="Calibri" w:eastAsia="Calibri" w:hint="default"/>
        </w:rPr>
        <w:t>11.97%</w:t>
      </w:r>
      <w:r>
        <w:rPr/>
        <w:t>，为已反映了相对于有关分部的风险。 根据减值测试的结果，本期期末商誉未发生减值（上期期末：无）。</w:t>
      </w:r>
    </w:p>
    <w:p>
      <w:pPr>
        <w:pStyle w:val="Heading2"/>
        <w:spacing w:line="397" w:lineRule="exact"/>
        <w:ind w:right="2025"/>
        <w:jc w:val="left"/>
        <w:rPr>
          <w:b w:val="0"/>
          <w:bCs w:val="0"/>
        </w:rPr>
      </w:pPr>
      <w:r>
        <w:rPr>
          <w:rFonts w:ascii="Times New Roman" w:hAnsi="Times New Roman" w:cs="Times New Roman" w:eastAsia="Times New Roman" w:hint="default"/>
        </w:rPr>
        <w:t>28</w:t>
      </w:r>
      <w:r>
        <w:rPr/>
        <w:t>、长期待摊费用</w:t>
      </w:r>
      <w:r>
        <w:rPr>
          <w:b w:val="0"/>
          <w:bCs w:val="0"/>
        </w:rPr>
      </w:r>
    </w:p>
    <w:p>
      <w:pPr>
        <w:spacing w:before="152"/>
        <w:ind w:left="0" w:right="50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844"/>
        <w:gridCol w:w="1346"/>
        <w:gridCol w:w="1594"/>
        <w:gridCol w:w="1594"/>
        <w:gridCol w:w="1594"/>
        <w:gridCol w:w="1596"/>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本期摊销金额</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其他减少金额</w:t>
            </w:r>
            <w:r>
              <w:rPr>
                <w:rFonts w:ascii="Microsoft JhengHei" w:hAnsi="Microsoft JhengHei" w:cs="Microsoft JhengHei" w:eastAsia="Microsoft JhengHei"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固定资产装修支出</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375,050.00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r>
              <w:rPr>
                <w:rFonts w:ascii="Times New Roman"/>
                <w:sz w:val="21"/>
              </w:rPr>
              <w:t>19,108.05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r>
              <w:rPr>
                <w:rFonts w:ascii="Times New Roman"/>
                <w:sz w:val="21"/>
              </w:rPr>
              <w:t>355,941.95</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0" w:right="0"/>
              <w:jc w:val="left"/>
              <w:rPr>
                <w:rFonts w:ascii="Times New Roman" w:hAnsi="Times New Roman" w:cs="Times New Roman" w:eastAsia="Times New Roman" w:hint="default"/>
                <w:sz w:val="21"/>
                <w:szCs w:val="21"/>
              </w:rPr>
            </w:pPr>
            <w:r>
              <w:rPr>
                <w:rFonts w:ascii="Times New Roman"/>
                <w:sz w:val="21"/>
              </w:rPr>
              <w:t>375,050.00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r>
              <w:rPr>
                <w:rFonts w:ascii="Times New Roman"/>
                <w:sz w:val="21"/>
              </w:rPr>
              <w:t>19,108.05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3" w:right="0"/>
              <w:jc w:val="left"/>
              <w:rPr>
                <w:rFonts w:ascii="Times New Roman" w:hAnsi="Times New Roman" w:cs="Times New Roman" w:eastAsia="Times New Roman" w:hint="default"/>
                <w:sz w:val="21"/>
                <w:szCs w:val="21"/>
              </w:rPr>
            </w:pPr>
            <w:r>
              <w:rPr>
                <w:rFonts w:ascii="Times New Roman"/>
                <w:sz w:val="21"/>
              </w:rPr>
              <w:t>355,941.95</w:t>
            </w:r>
          </w:p>
        </w:tc>
      </w:tr>
    </w:tbl>
    <w:p>
      <w:pPr>
        <w:pStyle w:val="BodyText"/>
        <w:spacing w:line="240" w:lineRule="auto" w:before="39"/>
        <w:ind w:left="1582" w:right="2025"/>
        <w:jc w:val="left"/>
      </w:pPr>
      <w:r>
        <w:rPr/>
        <w:t>其他说明</w:t>
      </w:r>
    </w:p>
    <w:p>
      <w:pPr>
        <w:pStyle w:val="Heading2"/>
        <w:spacing w:line="240" w:lineRule="auto" w:before="77"/>
        <w:ind w:right="2025"/>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before="50"/>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）未经抵销的递延所得税资产</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32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19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0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0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9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9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center"/>
              <w:rPr>
                <w:rFonts w:ascii="宋体" w:hAnsi="宋体" w:cs="宋体" w:eastAsia="宋体" w:hint="default"/>
                <w:sz w:val="21"/>
                <w:szCs w:val="21"/>
              </w:rPr>
            </w:pPr>
            <w:r>
              <w:rPr>
                <w:rFonts w:ascii="宋体" w:hAnsi="宋体" w:cs="宋体" w:eastAsia="宋体" w:hint="default"/>
                <w:sz w:val="21"/>
                <w:szCs w:val="21"/>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Calibri" w:hAnsi="Calibri" w:cs="Calibri" w:eastAsia="Calibri" w:hint="default"/>
                <w:sz w:val="21"/>
                <w:szCs w:val="21"/>
              </w:rPr>
            </w:pPr>
            <w:r>
              <w:rPr>
                <w:rFonts w:ascii="Calibri"/>
                <w:sz w:val="21"/>
              </w:rPr>
              <w:t>57,463,215.71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7" w:right="0"/>
              <w:jc w:val="center"/>
              <w:rPr>
                <w:rFonts w:ascii="Calibri" w:hAnsi="Calibri" w:cs="Calibri" w:eastAsia="Calibri" w:hint="default"/>
                <w:sz w:val="21"/>
                <w:szCs w:val="21"/>
              </w:rPr>
            </w:pPr>
            <w:r>
              <w:rPr>
                <w:rFonts w:ascii="Calibri"/>
                <w:sz w:val="21"/>
              </w:rPr>
              <w:t>8,556,614.81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Calibri" w:hAnsi="Calibri" w:cs="Calibri" w:eastAsia="Calibri" w:hint="default"/>
                <w:sz w:val="21"/>
                <w:szCs w:val="21"/>
              </w:rPr>
            </w:pPr>
            <w:r>
              <w:rPr>
                <w:rFonts w:ascii="Calibri"/>
                <w:sz w:val="21"/>
              </w:rPr>
              <w:t>49,019,889.54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Calibri" w:hAnsi="Calibri" w:cs="Calibri" w:eastAsia="Calibri" w:hint="default"/>
                <w:sz w:val="21"/>
                <w:szCs w:val="21"/>
              </w:rPr>
            </w:pPr>
            <w:r>
              <w:rPr>
                <w:rFonts w:ascii="Calibri"/>
                <w:sz w:val="21"/>
              </w:rPr>
              <w:t>5,036,709.42</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6" w:right="0"/>
              <w:jc w:val="center"/>
              <w:rPr>
                <w:rFonts w:ascii="宋体" w:hAnsi="宋体" w:cs="宋体" w:eastAsia="宋体" w:hint="default"/>
                <w:sz w:val="21"/>
                <w:szCs w:val="21"/>
              </w:rPr>
            </w:pPr>
            <w:r>
              <w:rPr>
                <w:rFonts w:ascii="宋体" w:hAnsi="宋体" w:cs="宋体" w:eastAsia="宋体" w:hint="default"/>
                <w:sz w:val="21"/>
                <w:szCs w:val="21"/>
              </w:rPr>
              <w:t>存货跌价准备</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73" w:right="0"/>
              <w:jc w:val="left"/>
              <w:rPr>
                <w:rFonts w:ascii="Calibri" w:hAnsi="Calibri" w:cs="Calibri" w:eastAsia="Calibri" w:hint="default"/>
                <w:sz w:val="21"/>
                <w:szCs w:val="21"/>
              </w:rPr>
            </w:pPr>
            <w:r>
              <w:rPr>
                <w:rFonts w:ascii="Calibri"/>
                <w:sz w:val="21"/>
              </w:rPr>
              <w:t>291,565.00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Calibri" w:hAnsi="Calibri" w:cs="Calibri" w:eastAsia="Calibri" w:hint="default"/>
                <w:sz w:val="21"/>
                <w:szCs w:val="21"/>
              </w:rPr>
            </w:pPr>
            <w:r>
              <w:rPr>
                <w:rFonts w:ascii="Calibri"/>
                <w:sz w:val="21"/>
              </w:rPr>
              <w:t>103,913.77</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Calibri" w:hAnsi="Calibri" w:cs="Calibri" w:eastAsia="Calibri" w:hint="default"/>
                <w:sz w:val="21"/>
                <w:szCs w:val="21"/>
              </w:rPr>
            </w:pPr>
            <w:r>
              <w:rPr>
                <w:rFonts w:ascii="Calibri"/>
                <w:sz w:val="21"/>
              </w:rPr>
              <w:t>57,463,215.71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7" w:right="0"/>
              <w:jc w:val="center"/>
              <w:rPr>
                <w:rFonts w:ascii="Calibri" w:hAnsi="Calibri" w:cs="Calibri" w:eastAsia="Calibri" w:hint="default"/>
                <w:sz w:val="21"/>
                <w:szCs w:val="21"/>
              </w:rPr>
            </w:pPr>
            <w:r>
              <w:rPr>
                <w:rFonts w:ascii="Calibri"/>
                <w:sz w:val="21"/>
              </w:rPr>
              <w:t>8,556,614.81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Calibri" w:hAnsi="Calibri" w:cs="Calibri" w:eastAsia="Calibri" w:hint="default"/>
                <w:sz w:val="21"/>
                <w:szCs w:val="21"/>
              </w:rPr>
            </w:pPr>
            <w:r>
              <w:rPr>
                <w:rFonts w:ascii="Calibri"/>
                <w:sz w:val="21"/>
              </w:rPr>
              <w:t>49,311,454.54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center"/>
              <w:rPr>
                <w:rFonts w:ascii="Calibri" w:hAnsi="Calibri" w:cs="Calibri" w:eastAsia="Calibri" w:hint="default"/>
                <w:sz w:val="21"/>
                <w:szCs w:val="21"/>
              </w:rPr>
            </w:pPr>
            <w:r>
              <w:rPr>
                <w:rFonts w:ascii="Calibri"/>
                <w:sz w:val="21"/>
              </w:rPr>
              <w:t>5,140,623.19</w:t>
            </w:r>
          </w:p>
        </w:tc>
      </w:tr>
    </w:tbl>
    <w:p>
      <w:pPr>
        <w:pStyle w:val="Heading2"/>
        <w:spacing w:line="381" w:lineRule="exact"/>
        <w:ind w:right="202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3" w:hRule="exact"/>
        </w:trPr>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1839"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应纳税暂时性差异</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应纳税暂时性差异</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1,020,195.00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153,029.25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1,020,195.00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153,029.25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80" w:lineRule="exact"/>
        <w:ind w:right="202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759"/>
        <w:gridCol w:w="1762"/>
        <w:gridCol w:w="1964"/>
        <w:gridCol w:w="1829"/>
        <w:gridCol w:w="1892"/>
      </w:tblGrid>
      <w:tr>
        <w:trPr>
          <w:trHeight w:val="32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递延所得税资产和</w:t>
            </w:r>
            <w:r>
              <w:rPr>
                <w:rFonts w:ascii="Microsoft JhengHei" w:hAnsi="Microsoft JhengHei" w:cs="Microsoft JhengHei" w:eastAsia="Microsoft JhengHei"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抵销后递延所得税资</w:t>
            </w:r>
            <w:r>
              <w:rPr>
                <w:rFonts w:ascii="Microsoft JhengHei" w:hAnsi="Microsoft JhengHei" w:cs="Microsoft JhengHei" w:eastAsia="Microsoft JhengHei"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递延所得税资产和</w:t>
            </w:r>
            <w:r>
              <w:rPr>
                <w:rFonts w:ascii="Microsoft JhengHei" w:hAnsi="Microsoft JhengHei" w:cs="Microsoft JhengHei" w:eastAsia="Microsoft JhengHei"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抵销后递延所得税</w:t>
            </w:r>
            <w:r>
              <w:rPr>
                <w:rFonts w:ascii="Microsoft JhengHei" w:hAnsi="Microsoft JhengHei" w:cs="Microsoft JhengHei" w:eastAsia="Microsoft JhengHei" w:hint="default"/>
                <w:sz w:val="21"/>
                <w:szCs w:val="21"/>
              </w:rPr>
            </w:r>
          </w:p>
        </w:tc>
      </w:tr>
    </w:tbl>
    <w:p>
      <w:pPr>
        <w:spacing w:after="0" w:line="286" w:lineRule="exact"/>
        <w:jc w:val="left"/>
        <w:rPr>
          <w:rFonts w:ascii="Microsoft JhengHei" w:hAnsi="Microsoft JhengHei" w:cs="Microsoft JhengHei" w:eastAsia="Microsoft JhengHei" w:hint="default"/>
          <w:sz w:val="21"/>
          <w:szCs w:val="21"/>
        </w:rPr>
        <w:sectPr>
          <w:pgSz w:w="11910" w:h="16840"/>
          <w:pgMar w:header="884" w:footer="1085" w:top="1300" w:bottom="1280" w:left="1080" w:right="48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759"/>
        <w:gridCol w:w="1762"/>
        <w:gridCol w:w="1964"/>
        <w:gridCol w:w="1829"/>
        <w:gridCol w:w="1892"/>
      </w:tblGrid>
      <w:tr>
        <w:trPr>
          <w:trHeight w:val="63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负债期末互抵金额</w:t>
            </w:r>
            <w:r>
              <w:rPr>
                <w:rFonts w:ascii="Microsoft JhengHei" w:hAnsi="Microsoft JhengHei" w:cs="Microsoft JhengHei" w:eastAsia="Microsoft JhengHei" w:hint="default"/>
                <w:sz w:val="21"/>
                <w:szCs w:val="21"/>
              </w:rPr>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产或负债期末余额</w:t>
            </w:r>
            <w:r>
              <w:rPr>
                <w:rFonts w:ascii="Microsoft JhengHei" w:hAnsi="Microsoft JhengHei" w:cs="Microsoft JhengHei" w:eastAsia="Microsoft JhengHei"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负债期初互抵金额</w:t>
            </w:r>
            <w:r>
              <w:rPr>
                <w:rFonts w:ascii="Microsoft JhengHei" w:hAnsi="Microsoft JhengHei" w:cs="Microsoft JhengHei" w:eastAsia="Microsoft JhengHei"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资产或负债期初余</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r>
      <w:tr>
        <w:trPr>
          <w:trHeight w:val="32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
              <w:jc w:val="right"/>
              <w:rPr>
                <w:rFonts w:ascii="宋体" w:hAnsi="宋体" w:cs="宋体" w:eastAsia="宋体" w:hint="default"/>
                <w:sz w:val="21"/>
                <w:szCs w:val="21"/>
              </w:rPr>
            </w:pPr>
            <w:r>
              <w:rPr>
                <w:rFonts w:ascii="宋体" w:hAnsi="宋体" w:cs="宋体" w:eastAsia="宋体" w:hint="default"/>
                <w:spacing w:val="-1"/>
                <w:sz w:val="21"/>
                <w:szCs w:val="21"/>
              </w:rPr>
              <w:t>递延所得税资产</w:t>
            </w:r>
          </w:p>
        </w:tc>
        <w:tc>
          <w:tcPr>
            <w:tcW w:w="176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8,556,614.81</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1" w:right="0"/>
              <w:jc w:val="left"/>
              <w:rPr>
                <w:rFonts w:ascii="Calibri" w:hAnsi="Calibri" w:cs="Calibri" w:eastAsia="Calibri" w:hint="default"/>
                <w:sz w:val="21"/>
                <w:szCs w:val="21"/>
              </w:rPr>
            </w:pPr>
            <w:r>
              <w:rPr>
                <w:rFonts w:ascii="Calibri"/>
                <w:sz w:val="21"/>
              </w:rPr>
              <w:t>5,140,623.19</w:t>
            </w:r>
          </w:p>
        </w:tc>
      </w:tr>
      <w:tr>
        <w:trPr>
          <w:trHeight w:val="32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
              <w:jc w:val="right"/>
              <w:rPr>
                <w:rFonts w:ascii="宋体" w:hAnsi="宋体" w:cs="宋体" w:eastAsia="宋体" w:hint="default"/>
                <w:sz w:val="21"/>
                <w:szCs w:val="21"/>
              </w:rPr>
            </w:pPr>
            <w:r>
              <w:rPr>
                <w:rFonts w:ascii="宋体" w:hAnsi="宋体" w:cs="宋体" w:eastAsia="宋体" w:hint="default"/>
                <w:spacing w:val="-1"/>
                <w:sz w:val="21"/>
                <w:szCs w:val="21"/>
              </w:rPr>
              <w:t>递延所得税负债</w:t>
            </w:r>
          </w:p>
        </w:tc>
        <w:tc>
          <w:tcPr>
            <w:tcW w:w="1762"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153,029.25</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80" w:lineRule="exact"/>
        <w:ind w:right="202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62"/>
              <w:jc w:val="right"/>
              <w:rPr>
                <w:rFonts w:ascii="Calibri" w:hAnsi="Calibri" w:cs="Calibri" w:eastAsia="Calibri" w:hint="default"/>
                <w:sz w:val="21"/>
                <w:szCs w:val="21"/>
              </w:rPr>
            </w:pPr>
            <w:r>
              <w:rPr>
                <w:rFonts w:ascii="Calibri"/>
                <w:spacing w:val="-1"/>
                <w:sz w:val="21"/>
              </w:rPr>
              <w:t>559,332.04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3"/>
              <w:jc w:val="right"/>
              <w:rPr>
                <w:rFonts w:ascii="Calibri" w:hAnsi="Calibri" w:cs="Calibri" w:eastAsia="Calibri" w:hint="default"/>
                <w:sz w:val="21"/>
                <w:szCs w:val="21"/>
              </w:rPr>
            </w:pPr>
            <w:r>
              <w:rPr>
                <w:rFonts w:ascii="Calibri"/>
                <w:spacing w:val="-1"/>
                <w:sz w:val="21"/>
              </w:rPr>
              <w:t>1,085,164.14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62"/>
              <w:jc w:val="right"/>
              <w:rPr>
                <w:rFonts w:ascii="Calibri" w:hAnsi="Calibri" w:cs="Calibri" w:eastAsia="Calibri" w:hint="default"/>
                <w:sz w:val="21"/>
                <w:szCs w:val="21"/>
              </w:rPr>
            </w:pPr>
            <w:r>
              <w:rPr>
                <w:rFonts w:ascii="Calibri"/>
                <w:spacing w:val="-1"/>
                <w:sz w:val="21"/>
              </w:rPr>
              <w:t>443,390.55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13" w:right="0"/>
              <w:jc w:val="left"/>
              <w:rPr>
                <w:rFonts w:ascii="Calibri" w:hAnsi="Calibri" w:cs="Calibri" w:eastAsia="Calibri" w:hint="default"/>
                <w:sz w:val="21"/>
                <w:szCs w:val="21"/>
              </w:rPr>
            </w:pPr>
            <w:r>
              <w:rPr>
                <w:rFonts w:ascii="Calibri"/>
                <w:sz w:val="21"/>
              </w:rPr>
              <w:t>29,720.86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3"/>
              <w:jc w:val="right"/>
              <w:rPr>
                <w:rFonts w:ascii="Calibri" w:hAnsi="Calibri" w:cs="Calibri" w:eastAsia="Calibri" w:hint="default"/>
                <w:sz w:val="21"/>
                <w:szCs w:val="21"/>
              </w:rPr>
            </w:pPr>
            <w:r>
              <w:rPr>
                <w:rFonts w:ascii="Calibri"/>
                <w:spacing w:val="-1"/>
                <w:sz w:val="21"/>
              </w:rPr>
              <w:t>1,002,722.59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83"/>
              <w:jc w:val="right"/>
              <w:rPr>
                <w:rFonts w:ascii="Calibri" w:hAnsi="Calibri" w:cs="Calibri" w:eastAsia="Calibri" w:hint="default"/>
                <w:sz w:val="21"/>
                <w:szCs w:val="21"/>
              </w:rPr>
            </w:pPr>
            <w:r>
              <w:rPr>
                <w:rFonts w:ascii="Calibri"/>
                <w:spacing w:val="-1"/>
                <w:sz w:val="21"/>
              </w:rPr>
              <w:t>1,114,885.00</w:t>
            </w:r>
          </w:p>
        </w:tc>
      </w:tr>
    </w:tbl>
    <w:p>
      <w:pPr>
        <w:pStyle w:val="Heading2"/>
        <w:spacing w:line="381" w:lineRule="exact"/>
        <w:ind w:right="2025"/>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2389"/>
        <w:gridCol w:w="2396"/>
        <w:gridCol w:w="2393"/>
        <w:gridCol w:w="2391"/>
      </w:tblGrid>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9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年份</w:t>
            </w:r>
            <w:r>
              <w:rPr>
                <w:rFonts w:ascii="Microsoft JhengHei" w:hAnsi="Microsoft JhengHei" w:cs="Microsoft JhengHei" w:eastAsia="Microsoft JhengHei" w:hint="default"/>
                <w:sz w:val="21"/>
                <w:szCs w:val="21"/>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9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期末金额</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9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期初金额</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9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92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28,481.55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29,720.86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923" w:right="0"/>
              <w:jc w:val="left"/>
              <w:rPr>
                <w:rFonts w:ascii="宋体" w:hAnsi="宋体" w:cs="宋体" w:eastAsia="宋体" w:hint="default"/>
                <w:sz w:val="21"/>
                <w:szCs w:val="21"/>
              </w:rPr>
            </w:pPr>
            <w:r>
              <w:rPr>
                <w:rFonts w:ascii="Calibri" w:hAnsi="Calibri" w:cs="Calibri" w:eastAsia="Calibri" w:hint="default"/>
                <w:sz w:val="21"/>
                <w:szCs w:val="21"/>
              </w:rPr>
              <w:t>2020</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414,909.00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443,390.55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29,720.86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4" w:right="0"/>
              <w:jc w:val="left"/>
              <w:rPr>
                <w:rFonts w:ascii="Calibri" w:hAnsi="Calibri" w:cs="Calibri" w:eastAsia="Calibri" w:hint="default"/>
                <w:sz w:val="21"/>
                <w:szCs w:val="21"/>
              </w:rPr>
            </w:pPr>
            <w:r>
              <w:rPr>
                <w:rFonts w:ascii="Calibri"/>
                <w:sz w:val="21"/>
              </w:rPr>
              <w:t>--</w:t>
            </w:r>
          </w:p>
        </w:tc>
      </w:tr>
    </w:tbl>
    <w:p>
      <w:pPr>
        <w:pStyle w:val="Heading2"/>
        <w:spacing w:line="380" w:lineRule="exact"/>
        <w:ind w:right="2025"/>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21" w:right="0"/>
              <w:jc w:val="left"/>
              <w:rPr>
                <w:rFonts w:ascii="宋体" w:hAnsi="宋体" w:cs="宋体" w:eastAsia="宋体" w:hint="default"/>
                <w:sz w:val="21"/>
                <w:szCs w:val="21"/>
              </w:rPr>
            </w:pPr>
            <w:r>
              <w:rPr>
                <w:rFonts w:ascii="宋体" w:hAnsi="宋体" w:cs="宋体" w:eastAsia="宋体" w:hint="default"/>
                <w:sz w:val="21"/>
                <w:szCs w:val="21"/>
              </w:rPr>
              <w:t>房屋预付款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Calibri" w:hAnsi="Calibri" w:cs="Calibri" w:eastAsia="Calibri" w:hint="default"/>
                <w:sz w:val="21"/>
                <w:szCs w:val="21"/>
              </w:rPr>
            </w:pPr>
            <w:r>
              <w:rPr>
                <w:rFonts w:ascii="Calibri"/>
                <w:spacing w:val="-2"/>
                <w:sz w:val="21"/>
              </w:rPr>
              <w:t>10,583,360.00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无形资产预付款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259,292.00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10,842,652.00</w:t>
            </w:r>
          </w:p>
        </w:tc>
      </w:tr>
    </w:tbl>
    <w:p>
      <w:pPr>
        <w:pStyle w:val="Heading2"/>
        <w:spacing w:line="380" w:lineRule="exact"/>
        <w:ind w:right="2025"/>
        <w:jc w:val="left"/>
        <w:rPr>
          <w:b w:val="0"/>
          <w:bCs w:val="0"/>
        </w:rPr>
      </w:pPr>
      <w:r>
        <w:rPr>
          <w:rFonts w:ascii="Times New Roman" w:hAnsi="Times New Roman" w:cs="Times New Roman" w:eastAsia="Times New Roman" w:hint="default"/>
        </w:rPr>
        <w:t>31</w:t>
      </w:r>
      <w:r>
        <w:rPr/>
        <w:t>、短期借款</w:t>
      </w:r>
      <w:r>
        <w:rPr>
          <w:b w:val="0"/>
          <w:bCs w:val="0"/>
        </w:rPr>
      </w:r>
    </w:p>
    <w:p>
      <w:pPr>
        <w:spacing w:before="50"/>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）短期借款分类</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3"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3" w:right="0"/>
              <w:jc w:val="left"/>
              <w:rPr>
                <w:rFonts w:ascii="Calibri" w:hAnsi="Calibri" w:cs="Calibri" w:eastAsia="Calibri" w:hint="default"/>
                <w:sz w:val="21"/>
                <w:szCs w:val="21"/>
              </w:rPr>
            </w:pPr>
            <w:r>
              <w:rPr>
                <w:rFonts w:ascii="Calibri"/>
                <w:sz w:val="21"/>
              </w:rPr>
              <w:t>4,823,428.75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4" w:right="0"/>
              <w:jc w:val="left"/>
              <w:rPr>
                <w:rFonts w:ascii="Calibri" w:hAnsi="Calibri" w:cs="Calibri" w:eastAsia="Calibri" w:hint="default"/>
                <w:sz w:val="21"/>
                <w:szCs w:val="21"/>
              </w:rPr>
            </w:pPr>
            <w:r>
              <w:rPr>
                <w:rFonts w:ascii="Calibri"/>
                <w:sz w:val="21"/>
              </w:rPr>
              <w:t>4,644,965.82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23" w:right="0"/>
              <w:jc w:val="left"/>
              <w:rPr>
                <w:rFonts w:ascii="Calibri" w:hAnsi="Calibri" w:cs="Calibri" w:eastAsia="Calibri" w:hint="default"/>
                <w:sz w:val="21"/>
                <w:szCs w:val="21"/>
              </w:rPr>
            </w:pPr>
            <w:r>
              <w:rPr>
                <w:rFonts w:ascii="Calibri"/>
                <w:sz w:val="21"/>
              </w:rPr>
              <w:t>4,823,428.75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24" w:right="0"/>
              <w:jc w:val="left"/>
              <w:rPr>
                <w:rFonts w:ascii="Calibri" w:hAnsi="Calibri" w:cs="Calibri" w:eastAsia="Calibri" w:hint="default"/>
                <w:sz w:val="21"/>
                <w:szCs w:val="21"/>
              </w:rPr>
            </w:pPr>
            <w:r>
              <w:rPr>
                <w:rFonts w:ascii="Calibri"/>
                <w:sz w:val="21"/>
              </w:rPr>
              <w:t>4,644,965.82</w:t>
            </w:r>
          </w:p>
        </w:tc>
      </w:tr>
    </w:tbl>
    <w:p>
      <w:pPr>
        <w:pStyle w:val="Heading2"/>
        <w:spacing w:line="381" w:lineRule="exact"/>
        <w:ind w:right="2025"/>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307" w:lineRule="auto" w:before="126"/>
        <w:ind w:left="1101" w:right="7305"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33</w:t>
      </w:r>
      <w:r>
        <w:rPr>
          <w:rFonts w:ascii="Microsoft JhengHei" w:hAnsi="Microsoft JhengHei" w:cs="Microsoft JhengHei" w:eastAsia="Microsoft JhengHei" w:hint="default"/>
          <w:b/>
          <w:bCs/>
          <w:sz w:val="24"/>
          <w:szCs w:val="24"/>
        </w:rPr>
        <w:t>、衍生金融负债</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无</w:t>
      </w:r>
    </w:p>
    <w:p>
      <w:pPr>
        <w:pStyle w:val="Heading2"/>
        <w:spacing w:line="312" w:lineRule="auto" w:before="10"/>
        <w:ind w:right="7785"/>
        <w:jc w:val="left"/>
        <w:rPr>
          <w:rFonts w:ascii="宋体" w:hAnsi="宋体" w:cs="宋体" w:eastAsia="宋体" w:hint="default"/>
          <w:b w:val="0"/>
          <w:bCs w:val="0"/>
        </w:rPr>
      </w:pPr>
      <w:r>
        <w:rPr>
          <w:rFonts w:ascii="Times New Roman" w:hAnsi="Times New Roman" w:cs="Times New Roman" w:eastAsia="Times New Roman" w:hint="default"/>
        </w:rPr>
        <w:t>34</w:t>
      </w:r>
      <w:r>
        <w:rPr/>
        <w:t>、应付票据</w:t>
      </w:r>
      <w:r>
        <w:rPr>
          <w:spacing w:val="-56"/>
        </w:rPr>
        <w:t> </w:t>
      </w:r>
      <w:r>
        <w:rPr>
          <w:spacing w:val="-56"/>
        </w:rPr>
      </w:r>
      <w:r>
        <w:rPr>
          <w:rFonts w:ascii="宋体" w:hAnsi="宋体" w:cs="宋体" w:eastAsia="宋体" w:hint="default"/>
          <w:b w:val="0"/>
          <w:bCs w:val="0"/>
        </w:rPr>
        <w:t>无</w:t>
      </w:r>
    </w:p>
    <w:p>
      <w:pPr>
        <w:spacing w:after="0" w:line="312" w:lineRule="auto"/>
        <w:jc w:val="left"/>
        <w:rPr>
          <w:rFonts w:ascii="宋体" w:hAnsi="宋体" w:cs="宋体" w:eastAsia="宋体" w:hint="default"/>
        </w:rPr>
        <w:sectPr>
          <w:pgSz w:w="11910" w:h="16840"/>
          <w:pgMar w:header="884" w:footer="1085" w:top="1300" w:bottom="1280" w:left="1080" w:right="480"/>
        </w:sectPr>
      </w:pPr>
    </w:p>
    <w:p>
      <w:pPr>
        <w:spacing w:line="240" w:lineRule="auto" w:before="7"/>
        <w:rPr>
          <w:rFonts w:ascii="宋体" w:hAnsi="宋体" w:cs="宋体" w:eastAsia="宋体" w:hint="default"/>
          <w:sz w:val="10"/>
          <w:szCs w:val="10"/>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35</w:t>
      </w:r>
      <w:r>
        <w:rPr>
          <w:rFonts w:ascii="Microsoft JhengHei" w:hAnsi="Microsoft JhengHei" w:cs="Microsoft JhengHei" w:eastAsia="Microsoft JhengHei" w:hint="default"/>
          <w:b/>
          <w:bCs/>
          <w:sz w:val="24"/>
          <w:szCs w:val="24"/>
        </w:rPr>
        <w:t>、应付账款</w:t>
      </w:r>
      <w:r>
        <w:rPr>
          <w:rFonts w:ascii="Microsoft JhengHei" w:hAnsi="Microsoft JhengHei" w:cs="Microsoft JhengHei" w:eastAsia="Microsoft JhengHei" w:hint="default"/>
          <w:sz w:val="24"/>
          <w:szCs w:val="24"/>
        </w:rPr>
      </w:r>
    </w:p>
    <w:p>
      <w:pPr>
        <w:spacing w:before="50"/>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）应付账款列示</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14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外包费</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110,713,768.61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83,692,225.61</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货款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2,925,015.62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166,720.00</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54,638.00</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113,693,422.23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83,858,945.61</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840"/>
        </w:sectPr>
      </w:pPr>
    </w:p>
    <w:p>
      <w:pPr>
        <w:pStyle w:val="Heading2"/>
        <w:spacing w:line="380" w:lineRule="exact"/>
        <w:ind w:right="-17"/>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年的重要应付账款</w:t>
      </w:r>
      <w:r>
        <w:rPr>
          <w:b w:val="0"/>
          <w:bCs w:val="0"/>
        </w:rPr>
      </w:r>
    </w:p>
    <w:p>
      <w:pPr>
        <w:spacing w:before="51"/>
        <w:ind w:left="1101" w:right="-1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36</w:t>
      </w:r>
      <w:r>
        <w:rPr>
          <w:rFonts w:ascii="Microsoft JhengHei" w:hAnsi="Microsoft JhengHei" w:cs="Microsoft JhengHei" w:eastAsia="Microsoft JhengHei" w:hint="default"/>
          <w:b/>
          <w:bCs/>
          <w:sz w:val="24"/>
          <w:szCs w:val="24"/>
        </w:rPr>
        <w:t>、预收款项</w:t>
      </w:r>
      <w:r>
        <w:rPr>
          <w:rFonts w:ascii="Microsoft JhengHei" w:hAnsi="Microsoft JhengHei" w:cs="Microsoft JhengHei" w:eastAsia="Microsoft JhengHei" w:hint="default"/>
          <w:sz w:val="24"/>
          <w:szCs w:val="24"/>
        </w:rPr>
      </w:r>
    </w:p>
    <w:p>
      <w:pPr>
        <w:spacing w:before="50"/>
        <w:ind w:left="1101" w:right="-1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）预收款项列示</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34"/>
          <w:szCs w:val="3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4835" w:space="2821"/>
            <w:col w:w="2334"/>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项目预收款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47,816,735.96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39,614,310.26</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47,816,735.96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39,614,310.26</w:t>
            </w:r>
          </w:p>
        </w:tc>
      </w:tr>
    </w:tbl>
    <w:p>
      <w:pPr>
        <w:spacing w:after="0" w:line="240" w:lineRule="auto"/>
        <w:jc w:val="center"/>
        <w:rPr>
          <w:rFonts w:ascii="Calibri" w:hAnsi="Calibri" w:cs="Calibri" w:eastAsia="Calibri" w:hint="default"/>
          <w:sz w:val="21"/>
          <w:szCs w:val="21"/>
        </w:rPr>
        <w:sectPr>
          <w:type w:val="continuous"/>
          <w:pgSz w:w="11910" w:h="16840"/>
          <w:pgMar w:top="1100" w:bottom="1280" w:left="1080" w:right="840"/>
        </w:sectPr>
      </w:pPr>
    </w:p>
    <w:p>
      <w:pPr>
        <w:pStyle w:val="Heading2"/>
        <w:spacing w:line="380"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年的重要预收款项</w:t>
      </w:r>
      <w:r>
        <w:rPr>
          <w:b w:val="0"/>
          <w:bCs w:val="0"/>
        </w:rPr>
      </w:r>
    </w:p>
    <w:p>
      <w:pPr>
        <w:pStyle w:val="BodyText"/>
        <w:spacing w:line="240" w:lineRule="auto" w:before="126"/>
        <w:ind w:left="1101" w:right="0"/>
        <w:jc w:val="left"/>
      </w:pPr>
      <w:r>
        <w:rPr/>
        <w:t>无</w:t>
      </w:r>
    </w:p>
    <w:p>
      <w:pPr>
        <w:pStyle w:val="Heading2"/>
        <w:spacing w:line="312" w:lineRule="auto" w:before="78"/>
        <w:ind w:right="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）期末建造合同形成的已结算未完工项目情况</w:t>
      </w:r>
      <w:r>
        <w:rPr>
          <w:spacing w:val="-43"/>
        </w:rPr>
        <w:t> </w:t>
      </w:r>
      <w:r>
        <w:rPr>
          <w:spacing w:val="-43"/>
        </w:rPr>
      </w:r>
      <w:r>
        <w:rPr>
          <w:rFonts w:ascii="宋体" w:hAnsi="宋体" w:cs="宋体" w:eastAsia="宋体" w:hint="default"/>
          <w:b w:val="0"/>
          <w:bCs w:val="0"/>
        </w:rPr>
        <w:t>无</w:t>
      </w:r>
    </w:p>
    <w:p>
      <w:pPr>
        <w:spacing w:before="5"/>
        <w:ind w:left="1101"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37</w:t>
      </w:r>
      <w:r>
        <w:rPr>
          <w:rFonts w:ascii="Microsoft JhengHei" w:hAnsi="Microsoft JhengHei" w:cs="Microsoft JhengHei" w:eastAsia="Microsoft JhengHei" w:hint="default"/>
          <w:b/>
          <w:bCs/>
          <w:sz w:val="24"/>
          <w:szCs w:val="24"/>
        </w:rPr>
        <w:t>、应付职工薪酬</w:t>
      </w:r>
      <w:r>
        <w:rPr>
          <w:rFonts w:ascii="Microsoft JhengHei" w:hAnsi="Microsoft JhengHei" w:cs="Microsoft JhengHei" w:eastAsia="Microsoft JhengHei" w:hint="default"/>
          <w:sz w:val="24"/>
          <w:szCs w:val="24"/>
        </w:rPr>
      </w:r>
    </w:p>
    <w:p>
      <w:pPr>
        <w:spacing w:before="50"/>
        <w:ind w:left="110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）应付职工薪酬列示</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0"/>
        <w:rPr>
          <w:rFonts w:ascii="Microsoft JhengHei" w:hAnsi="Microsoft JhengHei" w:cs="Microsoft JhengHei" w:eastAsia="Microsoft JhengHei" w:hint="default"/>
          <w:b/>
          <w:bCs/>
          <w:sz w:val="19"/>
          <w:szCs w:val="19"/>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6282" w:space="1373"/>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720"/>
        <w:gridCol w:w="1904"/>
        <w:gridCol w:w="1632"/>
        <w:gridCol w:w="1385"/>
        <w:gridCol w:w="1565"/>
      </w:tblGrid>
      <w:tr>
        <w:trPr>
          <w:trHeight w:val="322" w:hRule="exact"/>
        </w:trPr>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5" w:right="0"/>
              <w:jc w:val="left"/>
              <w:rPr>
                <w:rFonts w:ascii="Calibri" w:hAnsi="Calibri" w:cs="Calibri" w:eastAsia="Calibri" w:hint="default"/>
                <w:sz w:val="21"/>
                <w:szCs w:val="21"/>
              </w:rPr>
            </w:pPr>
            <w:r>
              <w:rPr>
                <w:rFonts w:ascii="Calibri"/>
                <w:sz w:val="21"/>
              </w:rPr>
              <w:t>15,727,230.54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169,330,100.56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162,166,950.80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5" w:right="0"/>
              <w:jc w:val="left"/>
              <w:rPr>
                <w:rFonts w:ascii="Calibri" w:hAnsi="Calibri" w:cs="Calibri" w:eastAsia="Calibri" w:hint="default"/>
                <w:sz w:val="21"/>
                <w:szCs w:val="21"/>
              </w:rPr>
            </w:pPr>
            <w:r>
              <w:rPr>
                <w:rFonts w:ascii="Calibri"/>
                <w:sz w:val="21"/>
              </w:rPr>
              <w:t>22,890,380.30</w:t>
            </w:r>
          </w:p>
        </w:tc>
      </w:tr>
      <w:tr>
        <w:trPr>
          <w:trHeight w:val="634" w:hRule="exact"/>
        </w:trPr>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1" w:right="101"/>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Calibri" w:hAnsi="Calibri" w:cs="Calibri" w:eastAsia="Calibri" w:hint="default"/>
                <w:spacing w:val="-2"/>
                <w:sz w:val="21"/>
                <w:szCs w:val="21"/>
              </w:rPr>
              <w:t>-</w:t>
            </w:r>
            <w:r>
              <w:rPr>
                <w:rFonts w:ascii="宋体" w:hAnsi="宋体" w:cs="宋体" w:eastAsia="宋体" w:hint="default"/>
                <w:spacing w:val="-2"/>
                <w:sz w:val="21"/>
                <w:szCs w:val="21"/>
              </w:rPr>
              <w:t>设定提存计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划</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2" w:right="0"/>
              <w:jc w:val="left"/>
              <w:rPr>
                <w:rFonts w:ascii="Calibri" w:hAnsi="Calibri" w:cs="Calibri" w:eastAsia="Calibri" w:hint="default"/>
                <w:sz w:val="21"/>
                <w:szCs w:val="21"/>
              </w:rPr>
            </w:pPr>
            <w:r>
              <w:rPr>
                <w:rFonts w:ascii="Calibri"/>
                <w:sz w:val="21"/>
              </w:rPr>
              <w:t>371,165.70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13,873,911.11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7"/>
              <w:jc w:val="right"/>
              <w:rPr>
                <w:rFonts w:ascii="Calibri" w:hAnsi="Calibri" w:cs="Calibri" w:eastAsia="Calibri" w:hint="default"/>
                <w:sz w:val="21"/>
                <w:szCs w:val="21"/>
              </w:rPr>
            </w:pPr>
            <w:r>
              <w:rPr>
                <w:rFonts w:ascii="Calibri"/>
                <w:spacing w:val="-2"/>
                <w:sz w:val="21"/>
              </w:rPr>
              <w:t>13,908,822.29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4" w:right="0"/>
              <w:jc w:val="left"/>
              <w:rPr>
                <w:rFonts w:ascii="Calibri" w:hAnsi="Calibri" w:cs="Calibri" w:eastAsia="Calibri" w:hint="default"/>
                <w:sz w:val="21"/>
                <w:szCs w:val="21"/>
              </w:rPr>
            </w:pPr>
            <w:r>
              <w:rPr>
                <w:rFonts w:ascii="Calibri"/>
                <w:sz w:val="21"/>
              </w:rPr>
              <w:t>336,254.52</w:t>
            </w:r>
          </w:p>
        </w:tc>
      </w:tr>
      <w:tr>
        <w:trPr>
          <w:trHeight w:val="322" w:hRule="exact"/>
        </w:trPr>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5" w:right="0"/>
              <w:jc w:val="left"/>
              <w:rPr>
                <w:rFonts w:ascii="Calibri" w:hAnsi="Calibri" w:cs="Calibri" w:eastAsia="Calibri" w:hint="default"/>
                <w:sz w:val="21"/>
                <w:szCs w:val="21"/>
              </w:rPr>
            </w:pPr>
            <w:r>
              <w:rPr>
                <w:rFonts w:ascii="Calibri"/>
                <w:sz w:val="21"/>
              </w:rPr>
              <w:t>16,098,396.24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183,204,011.67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176,075,773.09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5" w:right="0"/>
              <w:jc w:val="left"/>
              <w:rPr>
                <w:rFonts w:ascii="Calibri" w:hAnsi="Calibri" w:cs="Calibri" w:eastAsia="Calibri" w:hint="default"/>
                <w:sz w:val="21"/>
                <w:szCs w:val="21"/>
              </w:rPr>
            </w:pPr>
            <w:r>
              <w:rPr>
                <w:rFonts w:ascii="Calibri"/>
                <w:sz w:val="21"/>
              </w:rPr>
              <w:t>23,226,634.82</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2</w:t>
      </w:r>
      <w:r>
        <w:rPr/>
        <w:t>）短期薪酬列示</w:t>
      </w:r>
      <w:r>
        <w:rPr>
          <w:b w:val="0"/>
          <w:bCs w:val="0"/>
        </w:rPr>
      </w:r>
    </w:p>
    <w:p>
      <w:pPr>
        <w:pStyle w:val="BodyText"/>
        <w:spacing w:line="240" w:lineRule="auto" w:before="126"/>
        <w:ind w:left="0" w:right="147"/>
        <w:jc w:val="right"/>
      </w:pPr>
      <w:r>
        <w:rPr/>
        <w:t>单位： 元</w:t>
      </w: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819"/>
        <w:gridCol w:w="1822"/>
        <w:gridCol w:w="1822"/>
        <w:gridCol w:w="1820"/>
        <w:gridCol w:w="1923"/>
      </w:tblGrid>
      <w:tr>
        <w:trPr>
          <w:trHeight w:val="323"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34"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1" w:right="206"/>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、工资、奖金、</w:t>
            </w:r>
            <w:r>
              <w:rPr>
                <w:rFonts w:ascii="宋体" w:hAnsi="宋体" w:cs="宋体" w:eastAsia="宋体" w:hint="default"/>
                <w:w w:val="100"/>
                <w:sz w:val="21"/>
                <w:szCs w:val="21"/>
              </w:rPr>
              <w:t> </w:t>
            </w:r>
            <w:r>
              <w:rPr>
                <w:rFonts w:ascii="宋体" w:hAnsi="宋体" w:cs="宋体" w:eastAsia="宋体" w:hint="default"/>
                <w:sz w:val="21"/>
                <w:szCs w:val="21"/>
              </w:rPr>
              <w:t>津贴和补贴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15,500,489.51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center"/>
              <w:rPr>
                <w:rFonts w:ascii="Calibri" w:hAnsi="Calibri" w:cs="Calibri" w:eastAsia="Calibri" w:hint="default"/>
                <w:sz w:val="21"/>
                <w:szCs w:val="21"/>
              </w:rPr>
            </w:pPr>
            <w:r>
              <w:rPr>
                <w:rFonts w:ascii="Calibri"/>
                <w:sz w:val="21"/>
              </w:rPr>
              <w:t>138,932,098.41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Calibri" w:hAnsi="Calibri" w:cs="Calibri" w:eastAsia="Calibri" w:hint="default"/>
                <w:sz w:val="21"/>
                <w:szCs w:val="21"/>
              </w:rPr>
            </w:pPr>
            <w:r>
              <w:rPr>
                <w:rFonts w:ascii="Calibri"/>
                <w:sz w:val="21"/>
              </w:rPr>
              <w:t>132,001,138.08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22,431,449.84</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、职工福利费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5,444,745.47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5,444,745.47</w:t>
            </w:r>
          </w:p>
        </w:tc>
        <w:tc>
          <w:tcPr>
            <w:tcW w:w="19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、社会保险费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217,190.03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7,684,608.66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7,687,732.11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214,066.58</w:t>
            </w:r>
          </w:p>
        </w:tc>
      </w:tr>
      <w:tr>
        <w:trPr>
          <w:trHeight w:val="322"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196,633.79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6,873,772.92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6,876,352.77</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194,053.94</w:t>
            </w:r>
          </w:p>
        </w:tc>
      </w:tr>
      <w:tr>
        <w:trPr>
          <w:trHeight w:val="3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5,899.86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289,607.44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289,638.72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5,868.58</w:t>
            </w:r>
          </w:p>
        </w:tc>
      </w:tr>
    </w:tbl>
    <w:p>
      <w:pPr>
        <w:spacing w:after="0" w:line="240" w:lineRule="auto"/>
        <w:jc w:val="center"/>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18"/>
        <w:gridCol w:w="1823"/>
        <w:gridCol w:w="1822"/>
        <w:gridCol w:w="1820"/>
        <w:gridCol w:w="1923"/>
      </w:tblGrid>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14,656.38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521,228.30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521,740.62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14,144.06</w:t>
            </w:r>
          </w:p>
        </w:tc>
      </w:tr>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、住房公积金</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9,551.00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8,037,205.32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8,044,054.32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2,702.00</w:t>
            </w:r>
          </w:p>
        </w:tc>
      </w:tr>
      <w:tr>
        <w:trPr>
          <w:trHeight w:val="634"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1" w:right="205"/>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、工会经费和职</w:t>
            </w:r>
            <w:r>
              <w:rPr>
                <w:rFonts w:ascii="宋体" w:hAnsi="宋体" w:cs="宋体" w:eastAsia="宋体" w:hint="default"/>
                <w:w w:val="100"/>
                <w:sz w:val="21"/>
                <w:szCs w:val="21"/>
              </w:rPr>
              <w:t> </w:t>
            </w:r>
            <w:r>
              <w:rPr>
                <w:rFonts w:ascii="宋体" w:hAnsi="宋体" w:cs="宋体" w:eastAsia="宋体" w:hint="default"/>
                <w:sz w:val="21"/>
                <w:szCs w:val="21"/>
              </w:rPr>
              <w:t>工教育经费</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2,260,338.50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2,018,176.62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242,161.88</w:t>
            </w:r>
          </w:p>
        </w:tc>
      </w:tr>
      <w:tr>
        <w:trPr>
          <w:trHeight w:val="324"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1" w:right="0"/>
              <w:jc w:val="left"/>
              <w:rPr>
                <w:rFonts w:ascii="宋体" w:hAnsi="宋体" w:cs="宋体" w:eastAsia="宋体" w:hint="default"/>
                <w:sz w:val="21"/>
                <w:szCs w:val="21"/>
              </w:rPr>
            </w:pPr>
            <w:r>
              <w:rPr>
                <w:rFonts w:ascii="Calibri" w:hAnsi="Calibri" w:cs="Calibri" w:eastAsia="Calibri" w:hint="default"/>
                <w:sz w:val="21"/>
                <w:szCs w:val="21"/>
              </w:rPr>
              <w:t>8</w:t>
            </w:r>
            <w:r>
              <w:rPr>
                <w:rFonts w:ascii="宋体" w:hAnsi="宋体" w:cs="宋体" w:eastAsia="宋体" w:hint="default"/>
                <w:sz w:val="21"/>
                <w:szCs w:val="21"/>
              </w:rPr>
              <w:t>、其他短期薪酬</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Calibri" w:hAnsi="Calibri" w:cs="Calibri" w:eastAsia="Calibri" w:hint="default"/>
                <w:sz w:val="21"/>
                <w:szCs w:val="21"/>
              </w:rPr>
            </w:pPr>
            <w:r>
              <w:rPr>
                <w:rFonts w:ascii="Calibri"/>
                <w:sz w:val="21"/>
              </w:rPr>
              <w:t>6,971,104.20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6,971,104.20</w:t>
            </w:r>
          </w:p>
        </w:tc>
        <w:tc>
          <w:tcPr>
            <w:tcW w:w="19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15,727,230.54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169,330,100.56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162,166,950.80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22,890,380.30</w:t>
            </w:r>
          </w:p>
        </w:tc>
      </w:tr>
    </w:tbl>
    <w:p>
      <w:pPr>
        <w:pStyle w:val="Heading2"/>
        <w:spacing w:line="380" w:lineRule="exact"/>
        <w:ind w:right="202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353,626.72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13,087,867.18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13,122,108.44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319,385.46</w:t>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17,538.98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786,043.93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786,713.85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16,869.06</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371,165.70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13,873,911.11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13,908,822.29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336,254.52</w:t>
            </w:r>
          </w:p>
        </w:tc>
      </w:tr>
    </w:tbl>
    <w:p>
      <w:pPr>
        <w:pStyle w:val="Heading2"/>
        <w:spacing w:line="380" w:lineRule="exact"/>
        <w:ind w:right="2025"/>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8,680,103.83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6,794,971.89</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-15,315.06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48,444.40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7,477,658.16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5,086,459.59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528,684.99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1"/>
                <w:sz w:val="21"/>
              </w:rPr>
              <w:t>765,339.32</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563,372.97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435,047.75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契税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5,993,094.78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257,812.77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189,829.56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150,329.68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133,829.18</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388,344.25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18,030,991.59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2"/>
                <w:sz w:val="21"/>
              </w:rPr>
              <w:t>19,447,016.47</w:t>
            </w:r>
          </w:p>
        </w:tc>
      </w:tr>
    </w:tbl>
    <w:p>
      <w:pPr>
        <w:pStyle w:val="Heading2"/>
        <w:spacing w:line="380" w:lineRule="exact"/>
        <w:ind w:right="2025"/>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3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7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26,974.84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24,884.99</w:t>
            </w:r>
          </w:p>
        </w:tc>
      </w:tr>
    </w:tbl>
    <w:p>
      <w:pPr>
        <w:pStyle w:val="Heading2"/>
        <w:spacing w:line="381" w:lineRule="exact"/>
        <w:ind w:right="2025"/>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1,708,322.60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1"/>
                <w:sz w:val="21"/>
              </w:rPr>
              <w:t>821,321.30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1,708,322.60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821,321.30</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480"/>
        </w:sectPr>
      </w:pPr>
    </w:p>
    <w:p>
      <w:pPr>
        <w:pStyle w:val="Heading2"/>
        <w:spacing w:line="380" w:lineRule="exact"/>
        <w:ind w:right="-6"/>
        <w:jc w:val="left"/>
        <w:rPr>
          <w:b w:val="0"/>
          <w:bCs w:val="0"/>
        </w:rPr>
      </w:pPr>
      <w:r>
        <w:rPr>
          <w:rFonts w:ascii="Times New Roman" w:hAnsi="Times New Roman" w:cs="Times New Roman" w:eastAsia="Times New Roman" w:hint="default"/>
        </w:rPr>
        <w:t>41</w:t>
      </w:r>
      <w:r>
        <w:rPr/>
        <w:t>、其他应付款</w:t>
      </w:r>
      <w:r>
        <w:rPr>
          <w:b w:val="0"/>
          <w:bCs w:val="0"/>
        </w:rPr>
      </w:r>
    </w:p>
    <w:p>
      <w:pPr>
        <w:spacing w:before="50"/>
        <w:ind w:left="1101" w:right="-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）按款项性质列示其他应付款</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32"/>
          <w:szCs w:val="32"/>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480"/>
          <w:cols w:num="2" w:equalWidth="0">
            <w:col w:w="4596" w:space="3059"/>
            <w:col w:w="269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bl>
    <w:p>
      <w:pPr>
        <w:spacing w:after="0" w:line="286" w:lineRule="exact"/>
        <w:jc w:val="center"/>
        <w:rPr>
          <w:rFonts w:ascii="Microsoft JhengHei" w:hAnsi="Microsoft JhengHei" w:cs="Microsoft JhengHei" w:eastAsia="Microsoft JhengHei" w:hint="default"/>
          <w:sz w:val="21"/>
          <w:szCs w:val="21"/>
        </w:rPr>
        <w:sectPr>
          <w:type w:val="continuous"/>
          <w:pgSz w:w="11910" w:h="16840"/>
          <w:pgMar w:top="1100" w:bottom="1280" w:left="1080" w:right="48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188"/>
        <w:gridCol w:w="3192"/>
        <w:gridCol w:w="3191"/>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19,070,999.24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12,629,972.16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11,295,777.51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5,409,959.90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7,222,445.29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4,730,234.97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9,859,228.91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2,183,530.73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装修款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132,800.00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765,300.00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待付购房尾款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47,581,250.95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25,718,997.76</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500"/>
        </w:sectPr>
      </w:pPr>
    </w:p>
    <w:p>
      <w:pPr>
        <w:pStyle w:val="Heading2"/>
        <w:spacing w:line="380" w:lineRule="exact"/>
        <w:ind w:right="-17"/>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307" w:lineRule="auto" w:before="126"/>
        <w:ind w:left="1101" w:right="1075" w:firstLine="0"/>
        <w:jc w:val="left"/>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42</w:t>
      </w:r>
      <w:r>
        <w:rPr>
          <w:rFonts w:ascii="Microsoft JhengHei" w:hAnsi="Microsoft JhengHei" w:cs="Microsoft JhengHei" w:eastAsia="Microsoft JhengHei" w:hint="default"/>
          <w:b/>
          <w:bCs/>
          <w:sz w:val="24"/>
          <w:szCs w:val="24"/>
        </w:rPr>
        <w:t>、划分为持有待售的负债</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无</w:t>
      </w:r>
    </w:p>
    <w:p>
      <w:pPr>
        <w:spacing w:before="10"/>
        <w:ind w:left="1101" w:right="-1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43</w:t>
      </w:r>
      <w:r>
        <w:rPr>
          <w:rFonts w:ascii="Microsoft JhengHei" w:hAnsi="Microsoft JhengHei" w:cs="Microsoft JhengHei" w:eastAsia="Microsoft JhengHei" w:hint="default"/>
          <w:b/>
          <w:bCs/>
          <w:sz w:val="24"/>
          <w:szCs w:val="24"/>
        </w:rPr>
        <w:t>、一年内到期的非流动负债</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500"/>
          <w:cols w:num="2" w:equalWidth="0">
            <w:col w:w="5077" w:space="2578"/>
            <w:col w:w="267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3,243,867.63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2,646,788.03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15,000,000.00</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988,140.16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18,243,867.63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3,634,928.19</w:t>
            </w:r>
          </w:p>
        </w:tc>
      </w:tr>
    </w:tbl>
    <w:p>
      <w:pPr>
        <w:pStyle w:val="BodyText"/>
        <w:spacing w:line="240" w:lineRule="auto" w:before="39"/>
        <w:ind w:left="1582" w:right="0"/>
        <w:jc w:val="left"/>
      </w:pPr>
      <w:r>
        <w:rPr/>
        <w:t>注：一年内到期的长期借款</w:t>
      </w:r>
    </w:p>
    <w:p>
      <w:pPr>
        <w:spacing w:line="240" w:lineRule="auto" w:before="11"/>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1"/>
        <w:gridCol w:w="3072"/>
        <w:gridCol w:w="3073"/>
      </w:tblGrid>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tabs>
                <w:tab w:pos="2088" w:val="left" w:leader="none"/>
              </w:tabs>
              <w:spacing w:line="298" w:lineRule="exact"/>
              <w:ind w:left="16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6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6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0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1,641,301.88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1,225,968.91</w:t>
            </w:r>
          </w:p>
        </w:tc>
      </w:tr>
      <w:tr>
        <w:trPr>
          <w:trHeight w:val="34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1,602,565.75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1,420,819.12</w:t>
            </w:r>
          </w:p>
        </w:tc>
      </w:tr>
      <w:tr>
        <w:trPr>
          <w:trHeight w:val="34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tabs>
                <w:tab w:pos="1343" w:val="left" w:leader="none"/>
              </w:tabs>
              <w:spacing w:line="296" w:lineRule="exact"/>
              <w:ind w:left="9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b/>
                <w:spacing w:val="-1"/>
                <w:sz w:val="21"/>
              </w:rPr>
              <w:t>3,243,867.63</w:t>
            </w:r>
            <w:r>
              <w:rPr>
                <w:rFonts w:ascii="Calibri"/>
                <w:spacing w:val="-1"/>
                <w:sz w:val="21"/>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Calibri" w:hAnsi="Calibri" w:cs="Calibri" w:eastAsia="Calibri" w:hint="default"/>
                <w:sz w:val="21"/>
                <w:szCs w:val="21"/>
              </w:rPr>
            </w:pPr>
            <w:r>
              <w:rPr>
                <w:rFonts w:ascii="Calibri"/>
                <w:b/>
                <w:spacing w:val="-1"/>
                <w:sz w:val="21"/>
              </w:rPr>
              <w:t>2,646,788.03</w:t>
            </w:r>
            <w:r>
              <w:rPr>
                <w:rFonts w:ascii="Calibri"/>
                <w:spacing w:val="-1"/>
                <w:sz w:val="21"/>
              </w:rPr>
            </w:r>
          </w:p>
        </w:tc>
      </w:tr>
    </w:tbl>
    <w:p>
      <w:pPr>
        <w:pStyle w:val="Heading2"/>
        <w:spacing w:line="380" w:lineRule="exact"/>
        <w:ind w:right="0"/>
        <w:jc w:val="left"/>
        <w:rPr>
          <w:b w:val="0"/>
          <w:bCs w:val="0"/>
        </w:rPr>
      </w:pPr>
      <w:r>
        <w:rPr>
          <w:rFonts w:ascii="Times New Roman" w:hAnsi="Times New Roman" w:cs="Times New Roman" w:eastAsia="Times New Roman" w:hint="default"/>
        </w:rPr>
        <w:t>44</w:t>
      </w:r>
      <w:r>
        <w:rPr/>
        <w:t>、其他流动负债</w:t>
      </w:r>
      <w:r>
        <w:rPr>
          <w:b w:val="0"/>
          <w:bCs w:val="0"/>
        </w:rPr>
      </w:r>
    </w:p>
    <w:p>
      <w:pPr>
        <w:pStyle w:val="BodyText"/>
        <w:spacing w:line="240" w:lineRule="auto" w:before="126"/>
        <w:ind w:left="0" w:right="487"/>
        <w:jc w:val="right"/>
      </w:pPr>
      <w:r>
        <w:rPr/>
        <w:t>单位： 元</w:t>
      </w: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269,230.76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269,230.76</w:t>
            </w:r>
          </w:p>
        </w:tc>
      </w:tr>
    </w:tbl>
    <w:p>
      <w:pPr>
        <w:pStyle w:val="Heading2"/>
        <w:spacing w:line="381" w:lineRule="exact"/>
        <w:ind w:right="0"/>
        <w:jc w:val="left"/>
        <w:rPr>
          <w:b w:val="0"/>
          <w:bCs w:val="0"/>
        </w:rPr>
      </w:pPr>
      <w:r>
        <w:rPr>
          <w:rFonts w:ascii="Times New Roman" w:hAnsi="Times New Roman" w:cs="Times New Roman" w:eastAsia="Times New Roman" w:hint="default"/>
        </w:rPr>
        <w:t>45</w:t>
      </w:r>
      <w:r>
        <w:rPr/>
        <w:t>、长期借款</w:t>
      </w:r>
      <w:r>
        <w:rPr>
          <w:b w:val="0"/>
          <w:bCs w:val="0"/>
        </w:rPr>
      </w:r>
    </w:p>
    <w:p>
      <w:pPr>
        <w:spacing w:before="50"/>
        <w:ind w:left="110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）长期借款分类</w:t>
      </w:r>
      <w:r>
        <w:rPr>
          <w:rFonts w:ascii="Microsoft JhengHei" w:hAnsi="Microsoft JhengHei" w:cs="Microsoft JhengHei" w:eastAsia="Microsoft JhengHei" w:hint="default"/>
          <w:sz w:val="24"/>
          <w:szCs w:val="24"/>
        </w:rPr>
      </w:r>
    </w:p>
    <w:p>
      <w:pPr>
        <w:spacing w:line="240" w:lineRule="auto" w:before="11"/>
        <w:rPr>
          <w:rFonts w:ascii="Microsoft JhengHei" w:hAnsi="Microsoft JhengHei" w:cs="Microsoft JhengHei" w:eastAsia="Microsoft JhengHei" w:hint="default"/>
          <w:b/>
          <w:bCs/>
          <w:sz w:val="6"/>
          <w:szCs w:val="6"/>
        </w:rPr>
      </w:pPr>
    </w:p>
    <w:p>
      <w:pPr>
        <w:spacing w:before="36"/>
        <w:ind w:left="0" w:right="48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32"/>
              <w:jc w:val="right"/>
              <w:rPr>
                <w:rFonts w:ascii="Calibri" w:hAnsi="Calibri" w:cs="Calibri" w:eastAsia="Calibri" w:hint="default"/>
                <w:sz w:val="21"/>
                <w:szCs w:val="21"/>
              </w:rPr>
            </w:pPr>
            <w:r>
              <w:rPr>
                <w:rFonts w:ascii="Calibri"/>
                <w:spacing w:val="-1"/>
                <w:sz w:val="21"/>
              </w:rPr>
              <w:t>6,553,761.22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7"/>
              <w:jc w:val="right"/>
              <w:rPr>
                <w:rFonts w:ascii="Calibri" w:hAnsi="Calibri" w:cs="Calibri" w:eastAsia="Calibri" w:hint="default"/>
                <w:sz w:val="21"/>
                <w:szCs w:val="21"/>
              </w:rPr>
            </w:pPr>
            <w:r>
              <w:rPr>
                <w:rFonts w:ascii="Calibri"/>
                <w:spacing w:val="-1"/>
                <w:sz w:val="21"/>
              </w:rPr>
              <w:t>6,369,782.59</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32"/>
              <w:jc w:val="right"/>
              <w:rPr>
                <w:rFonts w:ascii="Calibri" w:hAnsi="Calibri" w:cs="Calibri" w:eastAsia="Calibri" w:hint="default"/>
                <w:sz w:val="21"/>
                <w:szCs w:val="21"/>
              </w:rPr>
            </w:pPr>
            <w:r>
              <w:rPr>
                <w:rFonts w:ascii="Calibri"/>
                <w:spacing w:val="-1"/>
                <w:sz w:val="21"/>
              </w:rPr>
              <w:t>2,346,040.75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27"/>
              <w:jc w:val="right"/>
              <w:rPr>
                <w:rFonts w:ascii="Calibri" w:hAnsi="Calibri" w:cs="Calibri" w:eastAsia="Calibri" w:hint="default"/>
                <w:sz w:val="21"/>
                <w:szCs w:val="21"/>
              </w:rPr>
            </w:pPr>
            <w:r>
              <w:rPr>
                <w:rFonts w:ascii="Calibri"/>
                <w:spacing w:val="-1"/>
                <w:sz w:val="21"/>
              </w:rPr>
              <w:t>2,287,550.63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32"/>
              <w:jc w:val="right"/>
              <w:rPr>
                <w:rFonts w:ascii="Calibri" w:hAnsi="Calibri" w:cs="Calibri" w:eastAsia="Calibri" w:hint="default"/>
                <w:sz w:val="21"/>
                <w:szCs w:val="21"/>
              </w:rPr>
            </w:pPr>
            <w:r>
              <w:rPr>
                <w:rFonts w:ascii="Calibri"/>
                <w:spacing w:val="-1"/>
                <w:sz w:val="21"/>
              </w:rPr>
              <w:t>3,243,867.63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7"/>
              <w:jc w:val="right"/>
              <w:rPr>
                <w:rFonts w:ascii="Calibri" w:hAnsi="Calibri" w:cs="Calibri" w:eastAsia="Calibri" w:hint="default"/>
                <w:sz w:val="21"/>
                <w:szCs w:val="21"/>
              </w:rPr>
            </w:pPr>
            <w:r>
              <w:rPr>
                <w:rFonts w:ascii="Calibri"/>
                <w:spacing w:val="-1"/>
                <w:sz w:val="21"/>
              </w:rPr>
              <w:t>2,646,788.03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32"/>
              <w:jc w:val="right"/>
              <w:rPr>
                <w:rFonts w:ascii="Calibri" w:hAnsi="Calibri" w:cs="Calibri" w:eastAsia="Calibri" w:hint="default"/>
                <w:sz w:val="21"/>
                <w:szCs w:val="21"/>
              </w:rPr>
            </w:pPr>
            <w:r>
              <w:rPr>
                <w:rFonts w:ascii="Calibri"/>
                <w:spacing w:val="-1"/>
                <w:sz w:val="21"/>
              </w:rPr>
              <w:t>5,655,934.34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7"/>
              <w:jc w:val="right"/>
              <w:rPr>
                <w:rFonts w:ascii="Calibri" w:hAnsi="Calibri" w:cs="Calibri" w:eastAsia="Calibri" w:hint="default"/>
                <w:sz w:val="21"/>
                <w:szCs w:val="21"/>
              </w:rPr>
            </w:pPr>
            <w:r>
              <w:rPr>
                <w:rFonts w:ascii="Calibri"/>
                <w:spacing w:val="-1"/>
                <w:sz w:val="21"/>
              </w:rPr>
              <w:t>6,010,545.19</w:t>
            </w:r>
          </w:p>
        </w:tc>
      </w:tr>
    </w:tbl>
    <w:p>
      <w:pPr>
        <w:pStyle w:val="BodyText"/>
        <w:spacing w:line="240" w:lineRule="auto" w:before="39"/>
        <w:ind w:left="1582" w:right="0"/>
        <w:jc w:val="left"/>
      </w:pPr>
      <w:r>
        <w:rPr/>
        <w:t>长期借款分类的说明：</w:t>
      </w:r>
    </w:p>
    <w:p>
      <w:pPr>
        <w:spacing w:after="0" w:line="240" w:lineRule="auto"/>
        <w:jc w:val="left"/>
        <w:sectPr>
          <w:type w:val="continuous"/>
          <w:pgSz w:w="11910" w:h="16840"/>
          <w:pgMar w:top="1100" w:bottom="1280" w:left="1080" w:right="500"/>
        </w:sectPr>
      </w:pPr>
    </w:p>
    <w:p>
      <w:pPr>
        <w:spacing w:line="240" w:lineRule="auto" w:before="7"/>
        <w:rPr>
          <w:rFonts w:ascii="宋体" w:hAnsi="宋体" w:cs="宋体" w:eastAsia="宋体" w:hint="default"/>
          <w:sz w:val="10"/>
          <w:szCs w:val="10"/>
        </w:rPr>
      </w:pPr>
    </w:p>
    <w:p>
      <w:pPr>
        <w:pStyle w:val="BodyText"/>
        <w:spacing w:line="357" w:lineRule="auto" w:before="26"/>
        <w:ind w:left="1101" w:right="585" w:firstLine="480"/>
        <w:jc w:val="left"/>
      </w:pPr>
      <w:r>
        <w:rPr/>
        <w:t>保证借款为本公司之子公司日本超图株式会社借款，由东京信用保证协会提供 担保。</w:t>
      </w:r>
    </w:p>
    <w:p>
      <w:pPr>
        <w:pStyle w:val="BodyText"/>
        <w:spacing w:line="357" w:lineRule="auto"/>
        <w:ind w:left="1582" w:right="597"/>
        <w:jc w:val="left"/>
      </w:pPr>
      <w:r>
        <w:rPr/>
        <w:t>其他说明，包括利率区间： 保证金借款利率区间：</w:t>
      </w:r>
      <w:r>
        <w:rPr>
          <w:rFonts w:ascii="Calibri" w:hAnsi="Calibri" w:cs="Calibri" w:eastAsia="Calibri" w:hint="default"/>
        </w:rPr>
        <w:t>1.98%~3.13%</w:t>
      </w:r>
      <w:r>
        <w:rPr/>
        <w:t>；信用借款利率区间：</w:t>
      </w:r>
      <w:r>
        <w:rPr>
          <w:rFonts w:ascii="Calibri" w:hAnsi="Calibri" w:cs="Calibri" w:eastAsia="Calibri" w:hint="default"/>
        </w:rPr>
        <w:t>2.00%~3.70%</w:t>
      </w:r>
      <w:r>
        <w:rPr/>
        <w:t>；一年</w:t>
      </w:r>
    </w:p>
    <w:p>
      <w:pPr>
        <w:pStyle w:val="BodyText"/>
        <w:spacing w:line="324" w:lineRule="exact" w:before="0"/>
        <w:ind w:left="1101" w:right="2025"/>
        <w:jc w:val="left"/>
        <w:rPr>
          <w:rFonts w:ascii="Calibri" w:hAnsi="Calibri" w:cs="Calibri" w:eastAsia="Calibri" w:hint="default"/>
        </w:rPr>
      </w:pPr>
      <w:r>
        <w:rPr/>
        <w:t>内到期的长期借款利率区间：</w:t>
      </w:r>
      <w:r>
        <w:rPr>
          <w:rFonts w:ascii="Calibri" w:hAnsi="Calibri" w:cs="Calibri" w:eastAsia="Calibri" w:hint="default"/>
        </w:rPr>
        <w:t>1.98%~3.70%</w:t>
      </w:r>
    </w:p>
    <w:p>
      <w:pPr>
        <w:spacing w:line="336" w:lineRule="auto" w:before="47"/>
        <w:ind w:left="1101" w:right="756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46</w:t>
      </w:r>
      <w:r>
        <w:rPr>
          <w:rFonts w:ascii="Microsoft JhengHei" w:hAnsi="Microsoft JhengHei" w:cs="Microsoft JhengHei" w:eastAsia="Microsoft JhengHei" w:hint="default"/>
          <w:b/>
          <w:bCs/>
          <w:sz w:val="24"/>
          <w:szCs w:val="24"/>
        </w:rPr>
        <w:t>、应付债券</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sz w:val="24"/>
          <w:szCs w:val="24"/>
        </w:rPr>
        <w:t>47</w:t>
      </w:r>
      <w:r>
        <w:rPr>
          <w:rFonts w:ascii="宋体" w:hAnsi="宋体" w:cs="宋体" w:eastAsia="宋体" w:hint="default"/>
          <w:sz w:val="24"/>
          <w:szCs w:val="24"/>
        </w:rPr>
        <w:t>、长期应付款</w:t>
      </w:r>
    </w:p>
    <w:tbl>
      <w:tblPr>
        <w:tblW w:w="0" w:type="auto"/>
        <w:jc w:val="left"/>
        <w:tblInd w:w="622" w:type="dxa"/>
        <w:tblLayout w:type="fixed"/>
        <w:tblCellMar>
          <w:top w:w="0" w:type="dxa"/>
          <w:left w:w="0" w:type="dxa"/>
          <w:bottom w:w="0" w:type="dxa"/>
          <w:right w:w="0" w:type="dxa"/>
        </w:tblCellMar>
        <w:tblLook w:val="01E0"/>
      </w:tblPr>
      <w:tblGrid>
        <w:gridCol w:w="4707"/>
        <w:gridCol w:w="2249"/>
        <w:gridCol w:w="2249"/>
      </w:tblGrid>
      <w:tr>
        <w:trPr>
          <w:trHeight w:val="397"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7"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股权转让款</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Calibri" w:hAnsi="Calibri" w:cs="Calibri" w:eastAsia="Calibri" w:hint="default"/>
                <w:sz w:val="21"/>
                <w:szCs w:val="21"/>
              </w:rPr>
            </w:pPr>
            <w:r>
              <w:rPr>
                <w:rFonts w:ascii="Calibri"/>
                <w:sz w:val="21"/>
              </w:rPr>
              <w:t>60,000,000.00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Calibri" w:hAnsi="Calibri" w:cs="Calibri" w:eastAsia="Calibri" w:hint="default"/>
                <w:sz w:val="21"/>
                <w:szCs w:val="21"/>
              </w:rPr>
            </w:pPr>
            <w:r>
              <w:rPr>
                <w:rFonts w:ascii="Calibri"/>
                <w:w w:val="100"/>
                <w:sz w:val="21"/>
              </w:rPr>
              <w:t>-</w:t>
            </w:r>
          </w:p>
        </w:tc>
      </w:tr>
      <w:tr>
        <w:trPr>
          <w:trHeight w:val="396"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其中：未确认融资费用</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Calibri" w:hAnsi="Calibri" w:cs="Calibri" w:eastAsia="Calibri" w:hint="default"/>
                <w:sz w:val="21"/>
                <w:szCs w:val="21"/>
              </w:rPr>
            </w:pPr>
            <w:r>
              <w:rPr>
                <w:rFonts w:ascii="Calibri"/>
                <w:sz w:val="21"/>
              </w:rPr>
              <w:t>3,570,362.28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Calibri" w:hAnsi="Calibri" w:cs="Calibri" w:eastAsia="Calibri" w:hint="default"/>
                <w:sz w:val="21"/>
                <w:szCs w:val="21"/>
              </w:rPr>
            </w:pPr>
            <w:r>
              <w:rPr>
                <w:rFonts w:ascii="Calibri"/>
                <w:w w:val="100"/>
                <w:sz w:val="21"/>
              </w:rPr>
              <w:t>-</w:t>
            </w:r>
          </w:p>
        </w:tc>
      </w:tr>
      <w:tr>
        <w:trPr>
          <w:trHeight w:val="398"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Calibri" w:hAnsi="Calibri" w:cs="Calibri" w:eastAsia="Calibri" w:hint="default"/>
                <w:sz w:val="21"/>
                <w:szCs w:val="21"/>
              </w:rPr>
            </w:pPr>
            <w:r>
              <w:rPr>
                <w:rFonts w:ascii="Calibri"/>
                <w:sz w:val="21"/>
              </w:rPr>
              <w:t>56,429,637.72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Calibri" w:hAnsi="Calibri" w:cs="Calibri" w:eastAsia="Calibri" w:hint="default"/>
                <w:sz w:val="21"/>
                <w:szCs w:val="21"/>
              </w:rPr>
            </w:pPr>
            <w:r>
              <w:rPr>
                <w:rFonts w:ascii="Calibri"/>
                <w:w w:val="100"/>
                <w:sz w:val="21"/>
              </w:rPr>
              <w:t>-</w:t>
            </w:r>
          </w:p>
        </w:tc>
      </w:tr>
      <w:tr>
        <w:trPr>
          <w:trHeight w:val="396"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减：一年内到期长期应付款</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Calibri" w:hAnsi="Calibri" w:cs="Calibri" w:eastAsia="Calibri" w:hint="default"/>
                <w:sz w:val="21"/>
                <w:szCs w:val="21"/>
              </w:rPr>
            </w:pPr>
            <w:r>
              <w:rPr>
                <w:rFonts w:ascii="Calibri"/>
                <w:sz w:val="21"/>
              </w:rPr>
              <w:t>15,000,000.00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Calibri" w:hAnsi="Calibri" w:cs="Calibri" w:eastAsia="Calibri" w:hint="default"/>
                <w:sz w:val="21"/>
                <w:szCs w:val="21"/>
              </w:rPr>
            </w:pPr>
            <w:r>
              <w:rPr>
                <w:rFonts w:ascii="Calibri"/>
                <w:w w:val="100"/>
                <w:sz w:val="21"/>
              </w:rPr>
              <w:t>-</w:t>
            </w:r>
          </w:p>
        </w:tc>
      </w:tr>
      <w:tr>
        <w:trPr>
          <w:trHeight w:val="398" w:hRule="exact"/>
        </w:trPr>
        <w:tc>
          <w:tcPr>
            <w:tcW w:w="4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Calibri" w:hAnsi="Calibri" w:cs="Calibri" w:eastAsia="Calibri" w:hint="default"/>
                <w:sz w:val="21"/>
                <w:szCs w:val="21"/>
              </w:rPr>
            </w:pPr>
            <w:r>
              <w:rPr>
                <w:rFonts w:ascii="Calibri"/>
                <w:sz w:val="21"/>
              </w:rPr>
              <w:t>41,429,637.72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Calibri" w:hAnsi="Calibri" w:cs="Calibri" w:eastAsia="Calibri" w:hint="default"/>
                <w:sz w:val="21"/>
                <w:szCs w:val="21"/>
              </w:rPr>
            </w:pPr>
            <w:r>
              <w:rPr>
                <w:rFonts w:ascii="Calibri"/>
                <w:w w:val="100"/>
                <w:sz w:val="21"/>
              </w:rPr>
              <w:t>-</w:t>
            </w:r>
          </w:p>
        </w:tc>
      </w:tr>
    </w:tbl>
    <w:p>
      <w:pPr>
        <w:spacing w:after="0" w:line="240" w:lineRule="auto"/>
        <w:jc w:val="center"/>
        <w:rPr>
          <w:rFonts w:ascii="Calibri" w:hAnsi="Calibri" w:cs="Calibri" w:eastAsia="Calibri" w:hint="default"/>
          <w:sz w:val="21"/>
          <w:szCs w:val="21"/>
        </w:rPr>
        <w:sectPr>
          <w:pgSz w:w="11910" w:h="16840"/>
          <w:pgMar w:header="884" w:footer="1085" w:top="1300" w:bottom="1280" w:left="1080" w:right="480"/>
        </w:sectPr>
      </w:pPr>
    </w:p>
    <w:p>
      <w:pPr>
        <w:pStyle w:val="BodyText"/>
        <w:spacing w:line="240" w:lineRule="auto" w:before="30"/>
        <w:ind w:left="1101" w:right="-19"/>
        <w:jc w:val="left"/>
      </w:pPr>
      <w:r>
        <w:rPr/>
        <w:t>注：公司本期收购上海南康科技有限公司所形成。</w:t>
      </w:r>
    </w:p>
    <w:p>
      <w:pPr>
        <w:pStyle w:val="Heading2"/>
        <w:spacing w:line="312" w:lineRule="auto" w:before="77"/>
        <w:ind w:right="2861"/>
        <w:jc w:val="left"/>
        <w:rPr>
          <w:rFonts w:ascii="宋体" w:hAnsi="宋体" w:cs="宋体" w:eastAsia="宋体" w:hint="default"/>
          <w:b w:val="0"/>
          <w:bCs w:val="0"/>
        </w:rPr>
      </w:pPr>
      <w:r>
        <w:rPr>
          <w:rFonts w:ascii="Times New Roman" w:hAnsi="Times New Roman" w:cs="Times New Roman" w:eastAsia="Times New Roman" w:hint="default"/>
        </w:rPr>
        <w:t>48</w:t>
      </w:r>
      <w:r>
        <w:rPr/>
        <w:t>、长期应付职工薪酬</w:t>
      </w:r>
      <w:r>
        <w:rPr>
          <w:spacing w:val="-53"/>
        </w:rPr>
        <w:t> </w:t>
      </w:r>
      <w:r>
        <w:rPr>
          <w:spacing w:val="-53"/>
        </w:rPr>
      </w:r>
      <w:r>
        <w:rPr>
          <w:rFonts w:ascii="宋体" w:hAnsi="宋体" w:cs="宋体" w:eastAsia="宋体" w:hint="default"/>
          <w:b w:val="0"/>
          <w:bCs w:val="0"/>
        </w:rPr>
        <w:t>无</w:t>
      </w:r>
    </w:p>
    <w:p>
      <w:pPr>
        <w:spacing w:line="312" w:lineRule="auto" w:before="5"/>
        <w:ind w:left="1101" w:right="358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49</w:t>
      </w:r>
      <w:r>
        <w:rPr>
          <w:rFonts w:ascii="Microsoft JhengHei" w:hAnsi="Microsoft JhengHei" w:cs="Microsoft JhengHei" w:eastAsia="Microsoft JhengHei" w:hint="default"/>
          <w:b/>
          <w:bCs/>
          <w:sz w:val="24"/>
          <w:szCs w:val="24"/>
        </w:rPr>
        <w:t>、专项应付款</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w:t>
      </w:r>
    </w:p>
    <w:p>
      <w:pPr>
        <w:spacing w:line="307" w:lineRule="auto" w:before="5"/>
        <w:ind w:left="1101" w:right="382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50</w:t>
      </w:r>
      <w:r>
        <w:rPr>
          <w:rFonts w:ascii="Microsoft JhengHei" w:hAnsi="Microsoft JhengHei" w:cs="Microsoft JhengHei" w:eastAsia="Microsoft JhengHei" w:hint="default"/>
          <w:b/>
          <w:bCs/>
          <w:sz w:val="24"/>
          <w:szCs w:val="24"/>
        </w:rPr>
        <w:t>、预计负债</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51</w:t>
      </w:r>
      <w:r>
        <w:rPr>
          <w:rFonts w:ascii="Microsoft JhengHei" w:hAnsi="Microsoft JhengHei" w:cs="Microsoft JhengHei" w:eastAsia="Microsoft JhengHei" w:hint="default"/>
          <w:b/>
          <w:bCs/>
          <w:sz w:val="24"/>
          <w:szCs w:val="24"/>
        </w:rPr>
        <w:t>、递延收益</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5"/>
        <w:rPr>
          <w:rFonts w:ascii="Microsoft JhengHei" w:hAnsi="Microsoft JhengHei" w:cs="Microsoft JhengHei" w:eastAsia="Microsoft JhengHei" w:hint="default"/>
          <w:b/>
          <w:bCs/>
          <w:sz w:val="24"/>
          <w:szCs w:val="2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480"/>
          <w:cols w:num="2" w:equalWidth="0">
            <w:col w:w="6383" w:space="1273"/>
            <w:col w:w="2694"/>
          </w:cols>
        </w:sectPr>
      </w:pP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形成原因</w:t>
            </w:r>
            <w:r>
              <w:rPr>
                <w:rFonts w:ascii="Microsoft JhengHei" w:hAnsi="Microsoft JhengHei" w:cs="Microsoft JhengHei" w:eastAsia="Microsoft JhengHei" w:hint="default"/>
                <w:sz w:val="21"/>
                <w:szCs w:val="21"/>
              </w:rPr>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3,382,908.35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8" w:right="0"/>
              <w:jc w:val="left"/>
              <w:rPr>
                <w:rFonts w:ascii="Calibri" w:hAnsi="Calibri" w:cs="Calibri" w:eastAsia="Calibri" w:hint="default"/>
                <w:sz w:val="21"/>
                <w:szCs w:val="21"/>
              </w:rPr>
            </w:pPr>
            <w:r>
              <w:rPr>
                <w:rFonts w:ascii="Calibri"/>
                <w:sz w:val="21"/>
              </w:rPr>
              <w:t>11,740,880.84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4,933,025.76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1" w:right="0"/>
              <w:jc w:val="left"/>
              <w:rPr>
                <w:rFonts w:ascii="Calibri" w:hAnsi="Calibri" w:cs="Calibri" w:eastAsia="Calibri" w:hint="default"/>
                <w:sz w:val="21"/>
                <w:szCs w:val="21"/>
              </w:rPr>
            </w:pPr>
            <w:r>
              <w:rPr>
                <w:rFonts w:ascii="Calibri"/>
                <w:sz w:val="21"/>
              </w:rPr>
              <w:t>10,190,763.43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3,382,908.35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8" w:right="0"/>
              <w:jc w:val="left"/>
              <w:rPr>
                <w:rFonts w:ascii="Calibri" w:hAnsi="Calibri" w:cs="Calibri" w:eastAsia="Calibri" w:hint="default"/>
                <w:sz w:val="21"/>
                <w:szCs w:val="21"/>
              </w:rPr>
            </w:pPr>
            <w:r>
              <w:rPr>
                <w:rFonts w:ascii="Calibri"/>
                <w:sz w:val="21"/>
              </w:rPr>
              <w:t>11,740,880.84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4,933,025.76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1" w:right="0"/>
              <w:jc w:val="left"/>
              <w:rPr>
                <w:rFonts w:ascii="Calibri" w:hAnsi="Calibri" w:cs="Calibri" w:eastAsia="Calibri" w:hint="default"/>
                <w:sz w:val="21"/>
                <w:szCs w:val="21"/>
              </w:rPr>
            </w:pPr>
            <w:r>
              <w:rPr>
                <w:rFonts w:ascii="Calibri"/>
                <w:sz w:val="21"/>
              </w:rPr>
              <w:t>10,190,763.43</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pStyle w:val="BodyText"/>
        <w:spacing w:line="240" w:lineRule="auto" w:before="39"/>
        <w:ind w:left="1582" w:right="2025"/>
        <w:jc w:val="left"/>
      </w:pPr>
      <w:r>
        <w:rPr/>
        <w:t>涉及政府补助的项目：</w:t>
      </w:r>
    </w:p>
    <w:p>
      <w:pPr>
        <w:pStyle w:val="BodyText"/>
        <w:spacing w:line="240" w:lineRule="auto" w:before="154"/>
        <w:ind w:left="0" w:right="507"/>
        <w:jc w:val="right"/>
      </w:pPr>
      <w:r>
        <w:rPr/>
        <w:t>单位： 元</w:t>
      </w: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2127"/>
        <w:gridCol w:w="1416"/>
        <w:gridCol w:w="1419"/>
        <w:gridCol w:w="1277"/>
        <w:gridCol w:w="709"/>
        <w:gridCol w:w="1258"/>
        <w:gridCol w:w="1368"/>
      </w:tblGrid>
      <w:tr>
        <w:trPr>
          <w:trHeight w:val="946"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负债项目</w:t>
            </w:r>
            <w:r>
              <w:rPr>
                <w:rFonts w:ascii="Microsoft JhengHei" w:hAnsi="Microsoft JhengHei" w:cs="Microsoft JhengHei" w:eastAsia="Microsoft JhengHei"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494" w:right="69"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本期新增补助</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本期计入营</w:t>
            </w:r>
            <w:r>
              <w:rPr>
                <w:rFonts w:ascii="Microsoft JhengHei" w:hAnsi="Microsoft JhengHei" w:cs="Microsoft JhengHei" w:eastAsia="Microsoft JhengHei" w:hint="default"/>
                <w:sz w:val="21"/>
                <w:szCs w:val="21"/>
              </w:rPr>
            </w:r>
          </w:p>
          <w:p>
            <w:pPr>
              <w:pStyle w:val="TableParagraph"/>
              <w:spacing w:line="312" w:lineRule="exact" w:before="35"/>
              <w:ind w:left="527" w:right="103"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业外收入金</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42" w:right="3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其他变</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动</w:t>
            </w:r>
            <w:r>
              <w:rPr>
                <w:rFonts w:ascii="Microsoft JhengHei" w:hAnsi="Microsoft JhengHei" w:cs="Microsoft JhengHei" w:eastAsia="Microsoft JhengHei"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151" w:right="104" w:hanging="4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与资产相关</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Microsoft JhengHei" w:hAnsi="Microsoft JhengHei" w:cs="Microsoft JhengHei" w:eastAsia="Microsoft JhengHei" w:hint="default"/>
                <w:b/>
                <w:bCs/>
                <w:sz w:val="21"/>
                <w:szCs w:val="21"/>
              </w:rPr>
              <w:t>与收益相关</w:t>
            </w:r>
            <w:r>
              <w:rPr>
                <w:rFonts w:ascii="Microsoft JhengHei" w:hAnsi="Microsoft JhengHei" w:cs="Microsoft JhengHei" w:eastAsia="Microsoft JhengHei" w:hint="default"/>
                <w:sz w:val="21"/>
                <w:szCs w:val="21"/>
              </w:rPr>
            </w:r>
          </w:p>
        </w:tc>
      </w:tr>
      <w:tr>
        <w:trPr>
          <w:trHeight w:val="63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10" w:right="48" w:hanging="6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云计算服务平台关</w:t>
            </w:r>
            <w:r>
              <w:rPr>
                <w:rFonts w:ascii="宋体" w:hAnsi="宋体" w:cs="宋体" w:eastAsia="宋体" w:hint="default"/>
                <w:w w:val="100"/>
                <w:sz w:val="21"/>
                <w:szCs w:val="21"/>
              </w:rPr>
              <w:t> </w:t>
            </w:r>
            <w:r>
              <w:rPr>
                <w:rFonts w:ascii="宋体" w:hAnsi="宋体" w:cs="宋体" w:eastAsia="宋体" w:hint="default"/>
                <w:sz w:val="21"/>
                <w:szCs w:val="21"/>
              </w:rPr>
              <w:t>键技术北京市工程试</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6" w:right="0"/>
              <w:jc w:val="left"/>
              <w:rPr>
                <w:rFonts w:ascii="Calibri" w:hAnsi="Calibri" w:cs="Calibri" w:eastAsia="Calibri" w:hint="default"/>
                <w:sz w:val="21"/>
                <w:szCs w:val="21"/>
              </w:rPr>
            </w:pPr>
            <w:r>
              <w:rPr>
                <w:rFonts w:ascii="Calibri"/>
                <w:sz w:val="21"/>
              </w:rPr>
              <w:t>1,712,772.00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570,924.00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4" w:right="0"/>
              <w:jc w:val="center"/>
              <w:rPr>
                <w:rFonts w:ascii="Calibri" w:hAnsi="Calibri" w:cs="Calibri" w:eastAsia="Calibri" w:hint="default"/>
                <w:sz w:val="21"/>
                <w:szCs w:val="21"/>
              </w:rPr>
            </w:pPr>
            <w:r>
              <w:rPr>
                <w:rFonts w:ascii="Calibri"/>
                <w:sz w:val="21"/>
              </w:rPr>
              <w:t>1,141,848.00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0" w:lineRule="auto"/>
        <w:jc w:val="left"/>
        <w:rPr>
          <w:rFonts w:ascii="宋体" w:hAnsi="宋体" w:cs="宋体" w:eastAsia="宋体" w:hint="default"/>
          <w:sz w:val="21"/>
          <w:szCs w:val="21"/>
        </w:rPr>
        <w:sectPr>
          <w:type w:val="continuous"/>
          <w:pgSz w:w="11910" w:h="16840"/>
          <w:pgMar w:top="1100" w:bottom="1280" w:left="1080" w:right="480"/>
        </w:sectPr>
      </w:pPr>
    </w:p>
    <w:p>
      <w:pPr>
        <w:spacing w:line="240" w:lineRule="auto" w:before="7"/>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2127"/>
        <w:gridCol w:w="1416"/>
        <w:gridCol w:w="1419"/>
        <w:gridCol w:w="1277"/>
        <w:gridCol w:w="709"/>
        <w:gridCol w:w="1258"/>
        <w:gridCol w:w="1368"/>
      </w:tblGrid>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0" w:right="111" w:hanging="840"/>
              <w:jc w:val="left"/>
              <w:rPr>
                <w:rFonts w:ascii="宋体" w:hAnsi="宋体" w:cs="宋体" w:eastAsia="宋体" w:hint="default"/>
                <w:sz w:val="21"/>
                <w:szCs w:val="21"/>
              </w:rPr>
            </w:pPr>
            <w:r>
              <w:rPr>
                <w:rFonts w:ascii="宋体" w:hAnsi="宋体" w:cs="宋体" w:eastAsia="宋体" w:hint="default"/>
                <w:sz w:val="21"/>
                <w:szCs w:val="21"/>
              </w:rPr>
              <w:t>验室创新能力建设项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center"/>
              <w:rPr>
                <w:rFonts w:ascii="宋体" w:hAnsi="宋体" w:cs="宋体" w:eastAsia="宋体" w:hint="default"/>
                <w:sz w:val="21"/>
                <w:szCs w:val="21"/>
              </w:rPr>
            </w:pPr>
            <w:r>
              <w:rPr>
                <w:rFonts w:ascii="宋体" w:hAnsi="宋体" w:cs="宋体" w:eastAsia="宋体" w:hint="default"/>
                <w:spacing w:val="-1"/>
                <w:sz w:val="21"/>
                <w:szCs w:val="21"/>
              </w:rPr>
              <w:t>多尺度生态系统演变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与未来情景模型模拟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640,000.00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2,528,500.00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1,114,319.39</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2,054,180.61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11" w:hanging="420"/>
              <w:jc w:val="left"/>
              <w:rPr>
                <w:rFonts w:ascii="宋体" w:hAnsi="宋体" w:cs="宋体" w:eastAsia="宋体" w:hint="default"/>
                <w:sz w:val="21"/>
                <w:szCs w:val="21"/>
              </w:rPr>
            </w:pPr>
            <w:r>
              <w:rPr>
                <w:rFonts w:ascii="宋体" w:hAnsi="宋体" w:cs="宋体" w:eastAsia="宋体" w:hint="default"/>
                <w:sz w:val="21"/>
                <w:szCs w:val="21"/>
              </w:rPr>
              <w:t>科技北京百名领军人</w:t>
            </w:r>
            <w:r>
              <w:rPr>
                <w:rFonts w:ascii="宋体" w:hAnsi="宋体" w:cs="宋体" w:eastAsia="宋体" w:hint="default"/>
                <w:w w:val="100"/>
                <w:sz w:val="21"/>
                <w:szCs w:val="21"/>
              </w:rPr>
              <w:t> </w:t>
            </w:r>
            <w:r>
              <w:rPr>
                <w:rFonts w:ascii="宋体" w:hAnsi="宋体" w:cs="宋体" w:eastAsia="宋体" w:hint="default"/>
                <w:sz w:val="21"/>
                <w:szCs w:val="21"/>
              </w:rPr>
              <w:t>才培养工程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center"/>
              <w:rPr>
                <w:rFonts w:ascii="宋体" w:hAnsi="宋体" w:cs="宋体" w:eastAsia="宋体" w:hint="default"/>
                <w:sz w:val="21"/>
                <w:szCs w:val="21"/>
              </w:rPr>
            </w:pPr>
            <w:r>
              <w:rPr>
                <w:rFonts w:ascii="宋体" w:hAnsi="宋体" w:cs="宋体" w:eastAsia="宋体" w:hint="default"/>
                <w:spacing w:val="-1"/>
                <w:sz w:val="21"/>
                <w:szCs w:val="21"/>
              </w:rPr>
              <w:t>沿海重点保障区域精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细化综合预报系统研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制与应用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530,136.35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294,000.00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391,068.20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433,068.15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22" w:hanging="3"/>
              <w:jc w:val="center"/>
              <w:rPr>
                <w:rFonts w:ascii="宋体" w:hAnsi="宋体" w:cs="宋体" w:eastAsia="宋体" w:hint="default"/>
                <w:sz w:val="21"/>
                <w:szCs w:val="21"/>
              </w:rPr>
            </w:pPr>
            <w:r>
              <w:rPr>
                <w:rFonts w:ascii="宋体" w:hAnsi="宋体" w:cs="宋体" w:eastAsia="宋体" w:hint="default"/>
                <w:sz w:val="21"/>
                <w:szCs w:val="21"/>
              </w:rPr>
              <w:t>面向时空大数据的高</w:t>
            </w:r>
            <w:r>
              <w:rPr>
                <w:rFonts w:ascii="宋体" w:hAnsi="宋体" w:cs="宋体" w:eastAsia="宋体" w:hint="default"/>
                <w:w w:val="100"/>
                <w:sz w:val="21"/>
                <w:szCs w:val="21"/>
              </w:rPr>
              <w:t> </w:t>
            </w:r>
            <w:r>
              <w:rPr>
                <w:rFonts w:ascii="宋体" w:hAnsi="宋体" w:cs="宋体" w:eastAsia="宋体" w:hint="default"/>
                <w:sz w:val="21"/>
                <w:szCs w:val="21"/>
              </w:rPr>
              <w:t>性能</w:t>
            </w:r>
            <w:r>
              <w:rPr>
                <w:rFonts w:ascii="宋体" w:hAnsi="宋体" w:cs="宋体" w:eastAsia="宋体" w:hint="default"/>
                <w:spacing w:val="-54"/>
                <w:sz w:val="21"/>
                <w:szCs w:val="21"/>
              </w:rPr>
              <w:t> </w:t>
            </w:r>
            <w:r>
              <w:rPr>
                <w:rFonts w:ascii="Calibri" w:hAnsi="Calibri" w:cs="Calibri" w:eastAsia="Calibri" w:hint="default"/>
                <w:sz w:val="21"/>
                <w:szCs w:val="21"/>
              </w:rPr>
              <w:t>GIS</w:t>
            </w:r>
            <w:r>
              <w:rPr>
                <w:rFonts w:ascii="Calibri" w:hAnsi="Calibri" w:cs="Calibri" w:eastAsia="Calibri" w:hint="default"/>
                <w:spacing w:val="5"/>
                <w:sz w:val="21"/>
                <w:szCs w:val="21"/>
              </w:rPr>
              <w:t> </w:t>
            </w:r>
            <w:r>
              <w:rPr>
                <w:rFonts w:ascii="宋体" w:hAnsi="宋体" w:cs="宋体" w:eastAsia="宋体" w:hint="default"/>
                <w:sz w:val="21"/>
                <w:szCs w:val="21"/>
              </w:rPr>
              <w:t>关键技术研发</w:t>
            </w:r>
            <w:r>
              <w:rPr>
                <w:rFonts w:ascii="宋体" w:hAnsi="宋体" w:cs="宋体" w:eastAsia="宋体" w:hint="default"/>
                <w:w w:val="100"/>
                <w:sz w:val="21"/>
                <w:szCs w:val="21"/>
              </w:rPr>
              <w:t> </w:t>
            </w:r>
            <w:r>
              <w:rPr>
                <w:rFonts w:ascii="宋体" w:hAnsi="宋体" w:cs="宋体" w:eastAsia="宋体" w:hint="default"/>
                <w:sz w:val="21"/>
                <w:szCs w:val="21"/>
              </w:rPr>
              <w:t>与平台产品研制</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25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22" w:hanging="3"/>
              <w:jc w:val="center"/>
              <w:rPr>
                <w:rFonts w:ascii="宋体" w:hAnsi="宋体" w:cs="宋体" w:eastAsia="宋体" w:hint="default"/>
                <w:sz w:val="21"/>
                <w:szCs w:val="21"/>
              </w:rPr>
            </w:pPr>
            <w:r>
              <w:rPr>
                <w:rFonts w:ascii="宋体" w:hAnsi="宋体" w:cs="宋体" w:eastAsia="宋体" w:hint="default"/>
                <w:sz w:val="21"/>
                <w:szCs w:val="21"/>
              </w:rPr>
              <w:t>面向海量地理信息数</w:t>
            </w:r>
            <w:r>
              <w:rPr>
                <w:rFonts w:ascii="宋体" w:hAnsi="宋体" w:cs="宋体" w:eastAsia="宋体" w:hint="default"/>
                <w:w w:val="100"/>
                <w:sz w:val="21"/>
                <w:szCs w:val="21"/>
              </w:rPr>
              <w:t> </w:t>
            </w:r>
            <w:r>
              <w:rPr>
                <w:rFonts w:ascii="宋体" w:hAnsi="宋体" w:cs="宋体" w:eastAsia="宋体" w:hint="default"/>
                <w:sz w:val="21"/>
                <w:szCs w:val="21"/>
              </w:rPr>
              <w:t>据存储和并行空间分</w:t>
            </w:r>
            <w:r>
              <w:rPr>
                <w:rFonts w:ascii="宋体" w:hAnsi="宋体" w:cs="宋体" w:eastAsia="宋体" w:hint="default"/>
                <w:w w:val="100"/>
                <w:sz w:val="21"/>
                <w:szCs w:val="21"/>
              </w:rPr>
              <w:t> </w:t>
            </w:r>
            <w:r>
              <w:rPr>
                <w:rFonts w:ascii="宋体" w:hAnsi="宋体" w:cs="宋体" w:eastAsia="宋体" w:hint="default"/>
                <w:sz w:val="21"/>
                <w:szCs w:val="21"/>
              </w:rPr>
              <w:t>析的高性能</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2"/>
                <w:sz w:val="21"/>
                <w:szCs w:val="21"/>
              </w:rPr>
              <w:t> </w:t>
            </w:r>
            <w:r>
              <w:rPr>
                <w:rFonts w:ascii="宋体" w:hAnsi="宋体" w:cs="宋体" w:eastAsia="宋体" w:hint="default"/>
                <w:sz w:val="21"/>
                <w:szCs w:val="21"/>
              </w:rPr>
              <w:t>系统研</w:t>
            </w:r>
            <w:r>
              <w:rPr>
                <w:rFonts w:ascii="宋体" w:hAnsi="宋体" w:cs="宋体" w:eastAsia="宋体" w:hint="default"/>
                <w:w w:val="100"/>
                <w:sz w:val="21"/>
                <w:szCs w:val="21"/>
              </w:rPr>
              <w:t> </w:t>
            </w:r>
            <w:r>
              <w:rPr>
                <w:rFonts w:ascii="宋体" w:hAnsi="宋体" w:cs="宋体" w:eastAsia="宋体" w:hint="default"/>
                <w:sz w:val="21"/>
                <w:szCs w:val="21"/>
              </w:rPr>
              <w:t>制</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666,666.66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1,333,333.34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left"/>
              <w:rPr>
                <w:rFonts w:ascii="宋体" w:hAnsi="宋体" w:cs="宋体" w:eastAsia="宋体" w:hint="default"/>
                <w:sz w:val="21"/>
                <w:szCs w:val="21"/>
              </w:rPr>
            </w:pPr>
            <w:r>
              <w:rPr>
                <w:rFonts w:ascii="宋体" w:hAnsi="宋体" w:cs="宋体" w:eastAsia="宋体" w:hint="default"/>
                <w:sz w:val="21"/>
                <w:szCs w:val="21"/>
              </w:rPr>
              <w:t>融合大数据技术的新</w:t>
            </w:r>
            <w:r>
              <w:rPr>
                <w:rFonts w:ascii="宋体" w:hAnsi="宋体" w:cs="宋体" w:eastAsia="宋体" w:hint="default"/>
                <w:w w:val="100"/>
                <w:sz w:val="21"/>
                <w:szCs w:val="21"/>
              </w:rPr>
              <w:t> </w:t>
            </w:r>
            <w:r>
              <w:rPr>
                <w:rFonts w:ascii="宋体" w:hAnsi="宋体" w:cs="宋体" w:eastAsia="宋体" w:hint="default"/>
                <w:sz w:val="21"/>
                <w:szCs w:val="21"/>
              </w:rPr>
              <w:t>型规土房平台及应用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116,666.67</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58,333.33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111" w:hanging="420"/>
              <w:jc w:val="left"/>
              <w:rPr>
                <w:rFonts w:ascii="宋体" w:hAnsi="宋体" w:cs="宋体" w:eastAsia="宋体" w:hint="default"/>
                <w:sz w:val="21"/>
                <w:szCs w:val="21"/>
              </w:rPr>
            </w:pPr>
            <w:r>
              <w:rPr>
                <w:rFonts w:ascii="宋体" w:hAnsi="宋体" w:cs="宋体" w:eastAsia="宋体" w:hint="default"/>
                <w:sz w:val="21"/>
                <w:szCs w:val="21"/>
              </w:rPr>
              <w:t>空间数据存储标准格</w:t>
            </w:r>
            <w:r>
              <w:rPr>
                <w:rFonts w:ascii="宋体" w:hAnsi="宋体" w:cs="宋体" w:eastAsia="宋体" w:hint="default"/>
                <w:w w:val="100"/>
                <w:sz w:val="21"/>
                <w:szCs w:val="21"/>
              </w:rPr>
              <w:t> </w:t>
            </w:r>
            <w:r>
              <w:rPr>
                <w:rFonts w:ascii="宋体" w:hAnsi="宋体" w:cs="宋体" w:eastAsia="宋体" w:hint="default"/>
                <w:sz w:val="21"/>
                <w:szCs w:val="21"/>
              </w:rPr>
              <w:t>式检查软件</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left"/>
              <w:rPr>
                <w:rFonts w:ascii="宋体" w:hAnsi="宋体" w:cs="宋体" w:eastAsia="宋体" w:hint="default"/>
                <w:sz w:val="21"/>
                <w:szCs w:val="21"/>
              </w:rPr>
            </w:pPr>
            <w:r>
              <w:rPr>
                <w:rFonts w:ascii="宋体" w:hAnsi="宋体" w:cs="宋体" w:eastAsia="宋体" w:hint="default"/>
                <w:sz w:val="21"/>
                <w:szCs w:val="21"/>
              </w:rPr>
              <w:t>导航电子地图基础服</w:t>
            </w:r>
            <w:r>
              <w:rPr>
                <w:rFonts w:ascii="宋体" w:hAnsi="宋体" w:cs="宋体" w:eastAsia="宋体" w:hint="default"/>
                <w:w w:val="100"/>
                <w:sz w:val="21"/>
                <w:szCs w:val="21"/>
              </w:rPr>
              <w:t> </w:t>
            </w:r>
            <w:r>
              <w:rPr>
                <w:rFonts w:ascii="宋体" w:hAnsi="宋体" w:cs="宋体" w:eastAsia="宋体" w:hint="default"/>
                <w:sz w:val="21"/>
                <w:szCs w:val="21"/>
              </w:rPr>
              <w:t>务平台（民用）项目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4,750,000.00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4,750,000.00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center"/>
              <w:rPr>
                <w:rFonts w:ascii="宋体" w:hAnsi="宋体" w:cs="宋体" w:eastAsia="宋体" w:hint="default"/>
                <w:sz w:val="21"/>
                <w:szCs w:val="21"/>
              </w:rPr>
            </w:pPr>
            <w:r>
              <w:rPr>
                <w:rFonts w:ascii="宋体" w:hAnsi="宋体" w:cs="宋体" w:eastAsia="宋体" w:hint="default"/>
                <w:spacing w:val="-1"/>
                <w:sz w:val="21"/>
                <w:szCs w:val="21"/>
              </w:rPr>
              <w:t>基于分布层次集群的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云服务软件产品研制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及产业化项目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11"/>
              <w:jc w:val="center"/>
              <w:rPr>
                <w:rFonts w:ascii="宋体" w:hAnsi="宋体" w:cs="宋体" w:eastAsia="宋体" w:hint="default"/>
                <w:sz w:val="21"/>
                <w:szCs w:val="21"/>
              </w:rPr>
            </w:pPr>
            <w:r>
              <w:rPr>
                <w:rFonts w:ascii="宋体" w:hAnsi="宋体" w:cs="宋体" w:eastAsia="宋体" w:hint="default"/>
                <w:spacing w:val="-1"/>
                <w:sz w:val="21"/>
                <w:szCs w:val="21"/>
              </w:rPr>
              <w:t>其他一次性计入当期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损益的各种补贴、奖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励、扶持资金</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813,380.84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813,380.84</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3,382,908.35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11,740,880.84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4,933,025.76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10,190,763.4</w:t>
            </w:r>
            <w:r>
              <w:rPr>
                <w:rFonts w:ascii="Calibri"/>
                <w:sz w:val="21"/>
              </w:rPr>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r>
    </w:tbl>
    <w:p>
      <w:pPr>
        <w:pStyle w:val="BodyText"/>
        <w:spacing w:line="357" w:lineRule="auto" w:before="39"/>
        <w:ind w:left="1582" w:right="584"/>
        <w:jc w:val="left"/>
      </w:pPr>
      <w:r>
        <w:rPr/>
        <w:t>其他说明： 期初部分递延收益在一年内到期的非流动负债和其他流动负债中列示，金额共</w:t>
      </w:r>
    </w:p>
    <w:p>
      <w:pPr>
        <w:pStyle w:val="BodyText"/>
        <w:spacing w:line="240" w:lineRule="auto"/>
        <w:ind w:left="1101" w:right="2025"/>
        <w:jc w:val="left"/>
      </w:pPr>
      <w:r>
        <w:rPr/>
        <w:t>计</w:t>
      </w:r>
      <w:r>
        <w:rPr>
          <w:rFonts w:ascii="Calibri" w:hAnsi="Calibri" w:cs="Calibri" w:eastAsia="Calibri" w:hint="default"/>
        </w:rPr>
        <w:t>1,257,370.92</w:t>
      </w:r>
      <w:r>
        <w:rPr/>
        <w:t>元，本年全部摊销计入营业外收入。</w:t>
      </w:r>
    </w:p>
    <w:p>
      <w:pPr>
        <w:pStyle w:val="Heading2"/>
        <w:spacing w:line="240" w:lineRule="auto" w:before="47"/>
        <w:ind w:right="2025"/>
        <w:jc w:val="left"/>
        <w:rPr>
          <w:b w:val="0"/>
          <w:bCs w:val="0"/>
        </w:rPr>
      </w:pPr>
      <w:r>
        <w:rPr>
          <w:rFonts w:ascii="Times New Roman" w:hAnsi="Times New Roman" w:cs="Times New Roman" w:eastAsia="Times New Roman" w:hint="default"/>
        </w:rPr>
        <w:t>52</w:t>
      </w:r>
      <w:r>
        <w:rPr/>
        <w:t>、其他非流动负债</w:t>
      </w:r>
      <w:r>
        <w:rPr>
          <w:b w:val="0"/>
          <w:bCs w:val="0"/>
        </w:rPr>
      </w:r>
    </w:p>
    <w:p>
      <w:pPr>
        <w:spacing w:before="50"/>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53</w:t>
      </w:r>
      <w:r>
        <w:rPr>
          <w:rFonts w:ascii="Microsoft JhengHei" w:hAnsi="Microsoft JhengHei" w:cs="Microsoft JhengHei" w:eastAsia="Microsoft JhengHei" w:hint="default"/>
          <w:b/>
          <w:bCs/>
          <w:sz w:val="24"/>
          <w:szCs w:val="24"/>
        </w:rPr>
        <w:t>、股本</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单位：元</w:t>
      </w:r>
    </w:p>
    <w:p>
      <w:pPr>
        <w:spacing w:line="240" w:lineRule="auto" w:before="10"/>
        <w:rPr>
          <w:rFonts w:ascii="宋体" w:hAnsi="宋体" w:cs="宋体" w:eastAsia="宋体" w:hint="default"/>
          <w:sz w:val="8"/>
          <w:szCs w:val="8"/>
        </w:rPr>
      </w:pPr>
    </w:p>
    <w:tbl>
      <w:tblPr>
        <w:tblW w:w="0" w:type="auto"/>
        <w:jc w:val="left"/>
        <w:tblInd w:w="439" w:type="dxa"/>
        <w:tblLayout w:type="fixed"/>
        <w:tblCellMar>
          <w:top w:w="0" w:type="dxa"/>
          <w:left w:w="0" w:type="dxa"/>
          <w:bottom w:w="0" w:type="dxa"/>
          <w:right w:w="0" w:type="dxa"/>
        </w:tblCellMar>
        <w:tblLook w:val="01E0"/>
      </w:tblPr>
      <w:tblGrid>
        <w:gridCol w:w="1195"/>
        <w:gridCol w:w="1499"/>
        <w:gridCol w:w="709"/>
        <w:gridCol w:w="566"/>
        <w:gridCol w:w="1419"/>
        <w:gridCol w:w="1133"/>
        <w:gridCol w:w="1561"/>
        <w:gridCol w:w="1488"/>
      </w:tblGrid>
      <w:tr>
        <w:trPr>
          <w:trHeight w:val="32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5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本次变动增减（</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34"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49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发行新</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股</w:t>
            </w:r>
            <w:r>
              <w:rPr>
                <w:rFonts w:ascii="Microsoft JhengHei" w:hAnsi="Microsoft JhengHei" w:cs="Microsoft JhengHei" w:eastAsia="Microsoft JhengHei" w:hint="default"/>
                <w:w w:val="100"/>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公积金转股</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48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7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9" w:right="0"/>
              <w:jc w:val="left"/>
              <w:rPr>
                <w:rFonts w:ascii="Calibri" w:hAnsi="Calibri" w:cs="Calibri" w:eastAsia="Calibri" w:hint="default"/>
                <w:sz w:val="21"/>
                <w:szCs w:val="21"/>
              </w:rPr>
            </w:pPr>
            <w:r>
              <w:rPr>
                <w:rFonts w:ascii="Calibri"/>
                <w:sz w:val="21"/>
              </w:rPr>
              <w:t>122,434,680.00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Calibri" w:hAnsi="Calibri" w:cs="Calibri" w:eastAsia="Calibri" w:hint="default"/>
                <w:sz w:val="21"/>
                <w:szCs w:val="21"/>
              </w:rPr>
            </w:pPr>
            <w:r>
              <w:rPr>
                <w:rFonts w:ascii="Calibri"/>
                <w:sz w:val="21"/>
              </w:rPr>
              <w:t>73,460,808.00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1"/>
              <w:jc w:val="center"/>
              <w:rPr>
                <w:rFonts w:ascii="Calibri" w:hAnsi="Calibri" w:cs="Calibri" w:eastAsia="Calibri" w:hint="default"/>
                <w:sz w:val="21"/>
                <w:szCs w:val="21"/>
              </w:rPr>
            </w:pPr>
            <w:r>
              <w:rPr>
                <w:rFonts w:ascii="Calibri"/>
                <w:sz w:val="21"/>
              </w:rPr>
              <w:t>-73,818.00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73,386,990.00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 w:right="0"/>
              <w:jc w:val="left"/>
              <w:rPr>
                <w:rFonts w:ascii="Calibri" w:hAnsi="Calibri" w:cs="Calibri" w:eastAsia="Calibri" w:hint="default"/>
                <w:sz w:val="21"/>
                <w:szCs w:val="21"/>
              </w:rPr>
            </w:pPr>
            <w:r>
              <w:rPr>
                <w:rFonts w:ascii="Calibri"/>
                <w:sz w:val="21"/>
              </w:rPr>
              <w:t>195,821,670.00</w:t>
            </w:r>
          </w:p>
        </w:tc>
      </w:tr>
    </w:tbl>
    <w:p>
      <w:pPr>
        <w:spacing w:after="0" w:line="240" w:lineRule="auto"/>
        <w:jc w:val="left"/>
        <w:rPr>
          <w:rFonts w:ascii="Calibri" w:hAnsi="Calibri" w:cs="Calibri" w:eastAsia="Calibri" w:hint="default"/>
          <w:sz w:val="21"/>
          <w:szCs w:val="21"/>
        </w:rPr>
        <w:sectPr>
          <w:pgSz w:w="11910" w:h="16840"/>
          <w:pgMar w:header="884" w:footer="1085" w:top="1300" w:bottom="1280" w:left="1080" w:right="480"/>
        </w:sectPr>
      </w:pPr>
    </w:p>
    <w:p>
      <w:pPr>
        <w:spacing w:line="240" w:lineRule="auto" w:before="7"/>
        <w:rPr>
          <w:rFonts w:ascii="宋体" w:hAnsi="宋体" w:cs="宋体" w:eastAsia="宋体" w:hint="default"/>
          <w:sz w:val="10"/>
          <w:szCs w:val="10"/>
        </w:rPr>
      </w:pPr>
    </w:p>
    <w:p>
      <w:pPr>
        <w:pStyle w:val="BodyText"/>
        <w:spacing w:line="240" w:lineRule="auto" w:before="26"/>
        <w:ind w:left="1582" w:right="2025"/>
        <w:jc w:val="left"/>
      </w:pPr>
      <w:r>
        <w:rPr/>
        <w:t>其他说明：</w:t>
      </w:r>
    </w:p>
    <w:p>
      <w:pPr>
        <w:pStyle w:val="BodyText"/>
        <w:spacing w:line="326" w:lineRule="auto" w:before="154"/>
        <w:ind w:left="1101" w:right="554" w:firstLine="480"/>
        <w:jc w:val="left"/>
      </w:pPr>
      <w:r>
        <w:rPr/>
        <w:t>①</w:t>
      </w:r>
      <w:r>
        <w:rPr>
          <w:spacing w:val="2"/>
        </w:rPr>
        <w:t> </w:t>
      </w: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24</w:t>
      </w:r>
      <w:r>
        <w:rPr/>
        <w:t>日，经本公司股东大会批准，以资本公积金向全体股东每</w:t>
      </w:r>
      <w:r>
        <w:rPr>
          <w:rFonts w:ascii="Calibri" w:hAnsi="Calibri" w:cs="Calibri" w:eastAsia="Calibri" w:hint="default"/>
        </w:rPr>
        <w:t>10 </w:t>
      </w:r>
      <w:r>
        <w:rPr/>
        <w:t>股转增</w:t>
      </w:r>
      <w:r>
        <w:rPr>
          <w:rFonts w:ascii="Calibri" w:hAnsi="Calibri" w:cs="Calibri" w:eastAsia="Calibri" w:hint="default"/>
        </w:rPr>
        <w:t>6</w:t>
      </w:r>
      <w:r>
        <w:rPr/>
        <w:t>股。本次权益分派</w:t>
      </w:r>
      <w:r>
        <w:rPr>
          <w:rFonts w:ascii="Calibri" w:hAnsi="Calibri" w:cs="Calibri" w:eastAsia="Calibri" w:hint="default"/>
        </w:rPr>
        <w:t>7,346.0808</w:t>
      </w:r>
      <w:r>
        <w:rPr/>
        <w:t>万股，本公司增加注册资本</w:t>
      </w:r>
      <w:r>
        <w:rPr>
          <w:rFonts w:ascii="Calibri" w:hAnsi="Calibri" w:cs="Calibri" w:eastAsia="Calibri" w:hint="default"/>
        </w:rPr>
        <w:t>7,346.0808</w:t>
      </w:r>
      <w:r>
        <w:rPr/>
        <w:t>万元。 转增后股本总额为</w:t>
      </w:r>
      <w:r>
        <w:rPr>
          <w:rFonts w:ascii="Calibri" w:hAnsi="Calibri" w:cs="Calibri" w:eastAsia="Calibri" w:hint="default"/>
        </w:rPr>
        <w:t>19,589.5488</w:t>
      </w:r>
      <w:r>
        <w:rPr/>
        <w:t>万股，注册资本变更为人民币</w:t>
      </w:r>
      <w:r>
        <w:rPr>
          <w:rFonts w:ascii="Calibri" w:hAnsi="Calibri" w:cs="Calibri" w:eastAsia="Calibri" w:hint="default"/>
        </w:rPr>
        <w:t>19,589.5488</w:t>
      </w:r>
      <w:r>
        <w:rPr/>
        <w:t>万元，业经 致同会计师事务所（特殊普通合伙）出具</w:t>
      </w:r>
      <w:r>
        <w:rPr>
          <w:rFonts w:ascii="Calibri" w:hAnsi="Calibri" w:cs="Calibri" w:eastAsia="Calibri" w:hint="default"/>
        </w:rPr>
        <w:t>“</w:t>
      </w:r>
      <w:r>
        <w:rPr/>
        <w:t>致同验字（</w:t>
      </w:r>
      <w:r>
        <w:rPr>
          <w:rFonts w:ascii="Calibri" w:hAnsi="Calibri" w:cs="Calibri" w:eastAsia="Calibri" w:hint="default"/>
        </w:rPr>
        <w:t>2015</w:t>
      </w:r>
      <w:r>
        <w:rPr/>
        <w:t>）第</w:t>
      </w:r>
      <w:r>
        <w:rPr>
          <w:rFonts w:ascii="Calibri" w:hAnsi="Calibri" w:cs="Calibri" w:eastAsia="Calibri" w:hint="default"/>
        </w:rPr>
        <w:t>110ZC0580</w:t>
      </w:r>
      <w:r>
        <w:rPr/>
        <w:t>号</w:t>
      </w:r>
      <w:r>
        <w:rPr>
          <w:rFonts w:ascii="Calibri" w:hAnsi="Calibri" w:cs="Calibri" w:eastAsia="Calibri" w:hint="default"/>
        </w:rPr>
        <w:t>”</w:t>
      </w:r>
      <w:r>
        <w:rPr/>
        <w:t>验资 报告予以验证。</w:t>
      </w:r>
    </w:p>
    <w:p>
      <w:pPr>
        <w:pStyle w:val="BodyText"/>
        <w:spacing w:line="240" w:lineRule="auto" w:before="67"/>
        <w:ind w:left="1582" w:right="0"/>
        <w:jc w:val="left"/>
      </w:pPr>
      <w:r>
        <w:rPr/>
        <w:t>②</w:t>
      </w:r>
      <w:r>
        <w:rPr>
          <w:spacing w:val="1"/>
        </w:rPr>
        <w:t> </w:t>
      </w:r>
      <w:r>
        <w:rPr>
          <w:rFonts w:ascii="Calibri" w:hAnsi="Calibri" w:cs="Calibri" w:eastAsia="Calibri" w:hint="default"/>
        </w:rPr>
        <w:t>2015</w:t>
      </w:r>
      <w:r>
        <w:rPr/>
        <w:t>年</w:t>
      </w:r>
      <w:r>
        <w:rPr>
          <w:rFonts w:ascii="Calibri" w:hAnsi="Calibri" w:cs="Calibri" w:eastAsia="Calibri" w:hint="default"/>
        </w:rPr>
        <w:t>11</w:t>
      </w:r>
      <w:r>
        <w:rPr/>
        <w:t>月</w:t>
      </w:r>
      <w:r>
        <w:rPr>
          <w:rFonts w:ascii="Calibri" w:hAnsi="Calibri" w:cs="Calibri" w:eastAsia="Calibri" w:hint="default"/>
        </w:rPr>
        <w:t>5</w:t>
      </w:r>
      <w:r>
        <w:rPr/>
        <w:t>日，经本公司第三届董事会第十一次会议审议通过，以</w:t>
      </w:r>
      <w:r>
        <w:rPr>
          <w:rFonts w:ascii="Calibri" w:hAnsi="Calibri" w:cs="Calibri" w:eastAsia="Calibri" w:hint="default"/>
        </w:rPr>
        <w:t>3.681</w:t>
      </w:r>
      <w:r>
        <w:rPr/>
        <w:t>元</w:t>
      </w:r>
    </w:p>
    <w:p>
      <w:pPr>
        <w:pStyle w:val="BodyText"/>
        <w:spacing w:line="326" w:lineRule="auto" w:before="123"/>
        <w:ind w:left="1101" w:right="503"/>
        <w:jc w:val="left"/>
      </w:pPr>
      <w:r>
        <w:rPr>
          <w:rFonts w:ascii="Calibri" w:hAnsi="Calibri" w:cs="Calibri" w:eastAsia="Calibri" w:hint="default"/>
        </w:rPr>
        <w:t>/</w:t>
      </w:r>
      <w:r>
        <w:rPr/>
        <w:t>股回购</w:t>
      </w:r>
      <w:r>
        <w:rPr>
          <w:rFonts w:ascii="Calibri" w:hAnsi="Calibri" w:cs="Calibri" w:eastAsia="Calibri" w:hint="default"/>
        </w:rPr>
        <w:t>4</w:t>
      </w:r>
      <w:r>
        <w:rPr/>
        <w:t>名股权激励对象所持限制性股票</w:t>
      </w:r>
      <w:r>
        <w:rPr>
          <w:rFonts w:ascii="Calibri" w:hAnsi="Calibri" w:cs="Calibri" w:eastAsia="Calibri" w:hint="default"/>
        </w:rPr>
        <w:t>7.3818</w:t>
      </w:r>
      <w:r>
        <w:rPr/>
        <w:t>万股（转增股本前为</w:t>
      </w:r>
      <w:r>
        <w:rPr>
          <w:rFonts w:ascii="Calibri" w:hAnsi="Calibri" w:cs="Calibri" w:eastAsia="Calibri" w:hint="default"/>
        </w:rPr>
        <w:t>4.6136</w:t>
      </w:r>
      <w:r>
        <w:rPr/>
        <w:t>万 股），减少注册资本</w:t>
      </w:r>
      <w:r>
        <w:rPr>
          <w:rFonts w:ascii="Calibri" w:hAnsi="Calibri" w:cs="Calibri" w:eastAsia="Calibri" w:hint="default"/>
        </w:rPr>
        <w:t>7.3818</w:t>
      </w:r>
      <w:r>
        <w:rPr/>
        <w:t>万元。注销后股本总额为</w:t>
      </w:r>
      <w:r>
        <w:rPr>
          <w:rFonts w:ascii="Calibri" w:hAnsi="Calibri" w:cs="Calibri" w:eastAsia="Calibri" w:hint="default"/>
        </w:rPr>
        <w:t>19,582.167</w:t>
      </w:r>
      <w:r>
        <w:rPr/>
        <w:t>万股，注册资本变更 为人民币</w:t>
      </w:r>
      <w:r>
        <w:rPr>
          <w:rFonts w:ascii="Calibri" w:hAnsi="Calibri" w:cs="Calibri" w:eastAsia="Calibri" w:hint="default"/>
        </w:rPr>
        <w:t>19,582.167</w:t>
      </w:r>
      <w:r>
        <w:rPr/>
        <w:t>万元，业经致同会计师事务所（特殊普通合伙）出具</w:t>
      </w:r>
      <w:r>
        <w:rPr>
          <w:rFonts w:ascii="Calibri" w:hAnsi="Calibri" w:cs="Calibri" w:eastAsia="Calibri" w:hint="default"/>
        </w:rPr>
        <w:t>“</w:t>
      </w:r>
      <w:r>
        <w:rPr/>
        <w:t>致同验字</w:t>
      </w:r>
    </w:p>
    <w:p>
      <w:pPr>
        <w:pStyle w:val="BodyText"/>
        <w:spacing w:line="240" w:lineRule="auto" w:before="17"/>
        <w:ind w:left="1101" w:right="2025"/>
        <w:jc w:val="left"/>
      </w:pPr>
      <w:r>
        <w:rPr/>
        <w:t>（</w:t>
      </w:r>
      <w:r>
        <w:rPr>
          <w:rFonts w:ascii="Calibri" w:hAnsi="Calibri" w:cs="Calibri" w:eastAsia="Calibri" w:hint="default"/>
        </w:rPr>
        <w:t>2015</w:t>
      </w:r>
      <w:r>
        <w:rPr/>
        <w:t>）第</w:t>
      </w:r>
      <w:r>
        <w:rPr>
          <w:rFonts w:ascii="Calibri" w:hAnsi="Calibri" w:cs="Calibri" w:eastAsia="Calibri" w:hint="default"/>
        </w:rPr>
        <w:t>110ZC0580</w:t>
      </w:r>
      <w:r>
        <w:rPr/>
        <w:t>号</w:t>
      </w:r>
      <w:r>
        <w:rPr>
          <w:rFonts w:ascii="Calibri" w:hAnsi="Calibri" w:cs="Calibri" w:eastAsia="Calibri" w:hint="default"/>
        </w:rPr>
        <w:t>”</w:t>
      </w:r>
      <w:r>
        <w:rPr/>
        <w:t>验资报告予以验证。</w:t>
      </w:r>
    </w:p>
    <w:p>
      <w:pPr>
        <w:pStyle w:val="Heading2"/>
        <w:spacing w:line="312" w:lineRule="auto" w:before="47"/>
        <w:ind w:right="7305"/>
        <w:jc w:val="left"/>
        <w:rPr>
          <w:rFonts w:ascii="宋体" w:hAnsi="宋体" w:cs="宋体" w:eastAsia="宋体" w:hint="default"/>
          <w:b w:val="0"/>
          <w:bCs w:val="0"/>
        </w:rPr>
      </w:pPr>
      <w:r>
        <w:rPr>
          <w:rFonts w:ascii="Times New Roman" w:hAnsi="Times New Roman" w:cs="Times New Roman" w:eastAsia="Times New Roman" w:hint="default"/>
        </w:rPr>
        <w:t>54</w:t>
      </w:r>
      <w:r>
        <w:rPr/>
        <w:t>、其他权益工具</w:t>
      </w:r>
      <w:r>
        <w:rPr>
          <w:spacing w:val="-55"/>
        </w:rPr>
        <w:t> </w:t>
      </w:r>
      <w:r>
        <w:rPr>
          <w:spacing w:val="-55"/>
        </w:rPr>
      </w:r>
      <w:r>
        <w:rPr>
          <w:rFonts w:ascii="宋体" w:hAnsi="宋体" w:cs="宋体" w:eastAsia="宋体" w:hint="default"/>
          <w:b w:val="0"/>
          <w:bCs w:val="0"/>
        </w:rPr>
        <w:t>无</w:t>
      </w:r>
    </w:p>
    <w:p>
      <w:pPr>
        <w:spacing w:before="5"/>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55</w:t>
      </w:r>
      <w:r>
        <w:rPr>
          <w:rFonts w:ascii="Microsoft JhengHei" w:hAnsi="Microsoft JhengHei" w:cs="Microsoft JhengHei" w:eastAsia="Microsoft JhengHei" w:hint="default"/>
          <w:b/>
          <w:bCs/>
          <w:sz w:val="24"/>
          <w:szCs w:val="24"/>
        </w:rPr>
        <w:t>、资本公积</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 元</w:t>
      </w: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2127"/>
        <w:gridCol w:w="1843"/>
        <w:gridCol w:w="1772"/>
        <w:gridCol w:w="1916"/>
        <w:gridCol w:w="1913"/>
      </w:tblGrid>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3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47" w:right="216" w:hanging="632"/>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7"/>
              <w:jc w:val="right"/>
              <w:rPr>
                <w:rFonts w:ascii="Calibri" w:hAnsi="Calibri" w:cs="Calibri" w:eastAsia="Calibri" w:hint="default"/>
                <w:sz w:val="21"/>
                <w:szCs w:val="21"/>
              </w:rPr>
            </w:pPr>
            <w:r>
              <w:rPr>
                <w:rFonts w:ascii="Calibri"/>
                <w:spacing w:val="-2"/>
                <w:sz w:val="21"/>
              </w:rPr>
              <w:t>321,007,610.58</w:t>
            </w:r>
          </w:p>
        </w:tc>
        <w:tc>
          <w:tcPr>
            <w:tcW w:w="177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7" w:right="0"/>
              <w:jc w:val="left"/>
              <w:rPr>
                <w:rFonts w:ascii="Calibri" w:hAnsi="Calibri" w:cs="Calibri" w:eastAsia="Calibri" w:hint="default"/>
                <w:sz w:val="21"/>
                <w:szCs w:val="21"/>
              </w:rPr>
            </w:pPr>
            <w:r>
              <w:rPr>
                <w:rFonts w:ascii="Calibri"/>
                <w:sz w:val="21"/>
              </w:rPr>
              <w:t>73,658,714.06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5"/>
              <w:jc w:val="right"/>
              <w:rPr>
                <w:rFonts w:ascii="Calibri" w:hAnsi="Calibri" w:cs="Calibri" w:eastAsia="Calibri" w:hint="default"/>
                <w:sz w:val="21"/>
                <w:szCs w:val="21"/>
              </w:rPr>
            </w:pPr>
            <w:r>
              <w:rPr>
                <w:rFonts w:ascii="Calibri"/>
                <w:spacing w:val="-2"/>
                <w:sz w:val="21"/>
              </w:rPr>
              <w:t>247,348,896.52</w:t>
            </w:r>
          </w:p>
        </w:tc>
      </w:tr>
      <w:tr>
        <w:trPr>
          <w:trHeight w:val="32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6"/>
              <w:jc w:val="right"/>
              <w:rPr>
                <w:rFonts w:ascii="Calibri" w:hAnsi="Calibri" w:cs="Calibri" w:eastAsia="Calibri" w:hint="default"/>
                <w:sz w:val="21"/>
                <w:szCs w:val="21"/>
              </w:rPr>
            </w:pPr>
            <w:r>
              <w:rPr>
                <w:rFonts w:ascii="Calibri"/>
                <w:spacing w:val="-2"/>
                <w:sz w:val="21"/>
              </w:rPr>
              <w:t>18,954,766.12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9" w:right="0"/>
              <w:jc w:val="left"/>
              <w:rPr>
                <w:rFonts w:ascii="Calibri" w:hAnsi="Calibri" w:cs="Calibri" w:eastAsia="Calibri" w:hint="default"/>
                <w:sz w:val="21"/>
                <w:szCs w:val="21"/>
              </w:rPr>
            </w:pPr>
            <w:r>
              <w:rPr>
                <w:rFonts w:ascii="Calibri"/>
                <w:sz w:val="21"/>
              </w:rPr>
              <w:t>1,396,122.39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4"/>
              <w:jc w:val="right"/>
              <w:rPr>
                <w:rFonts w:ascii="Calibri" w:hAnsi="Calibri" w:cs="Calibri" w:eastAsia="Calibri" w:hint="default"/>
                <w:sz w:val="21"/>
                <w:szCs w:val="21"/>
              </w:rPr>
            </w:pPr>
            <w:r>
              <w:rPr>
                <w:rFonts w:ascii="Calibri"/>
                <w:spacing w:val="-2"/>
                <w:sz w:val="21"/>
              </w:rPr>
              <w:t>20,350,888.51</w:t>
            </w:r>
          </w:p>
        </w:tc>
      </w:tr>
      <w:tr>
        <w:trPr>
          <w:trHeight w:val="32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7"/>
              <w:jc w:val="right"/>
              <w:rPr>
                <w:rFonts w:ascii="Calibri" w:hAnsi="Calibri" w:cs="Calibri" w:eastAsia="Calibri" w:hint="default"/>
                <w:sz w:val="21"/>
                <w:szCs w:val="21"/>
              </w:rPr>
            </w:pPr>
            <w:r>
              <w:rPr>
                <w:rFonts w:ascii="Calibri"/>
                <w:spacing w:val="-2"/>
                <w:sz w:val="21"/>
              </w:rPr>
              <w:t>339,962,376.70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9" w:right="0"/>
              <w:jc w:val="left"/>
              <w:rPr>
                <w:rFonts w:ascii="Calibri" w:hAnsi="Calibri" w:cs="Calibri" w:eastAsia="Calibri" w:hint="default"/>
                <w:sz w:val="21"/>
                <w:szCs w:val="21"/>
              </w:rPr>
            </w:pPr>
            <w:r>
              <w:rPr>
                <w:rFonts w:ascii="Calibri"/>
                <w:sz w:val="21"/>
              </w:rPr>
              <w:t>1,396,122.39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47" w:right="0"/>
              <w:jc w:val="left"/>
              <w:rPr>
                <w:rFonts w:ascii="Calibri" w:hAnsi="Calibri" w:cs="Calibri" w:eastAsia="Calibri" w:hint="default"/>
                <w:sz w:val="21"/>
                <w:szCs w:val="21"/>
              </w:rPr>
            </w:pPr>
            <w:r>
              <w:rPr>
                <w:rFonts w:ascii="Calibri"/>
                <w:sz w:val="21"/>
              </w:rPr>
              <w:t>73,658,714.06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35"/>
              <w:jc w:val="right"/>
              <w:rPr>
                <w:rFonts w:ascii="Calibri" w:hAnsi="Calibri" w:cs="Calibri" w:eastAsia="Calibri" w:hint="default"/>
                <w:sz w:val="21"/>
                <w:szCs w:val="21"/>
              </w:rPr>
            </w:pPr>
            <w:r>
              <w:rPr>
                <w:rFonts w:ascii="Calibri"/>
                <w:spacing w:val="-2"/>
                <w:sz w:val="21"/>
              </w:rPr>
              <w:t>267,699,785.03</w:t>
            </w:r>
          </w:p>
        </w:tc>
      </w:tr>
    </w:tbl>
    <w:p>
      <w:pPr>
        <w:pStyle w:val="BodyText"/>
        <w:spacing w:line="240" w:lineRule="auto" w:before="39"/>
        <w:ind w:left="1582" w:right="2025"/>
        <w:jc w:val="left"/>
      </w:pPr>
      <w:r>
        <w:rPr/>
        <w:t>其他说明：</w:t>
      </w:r>
    </w:p>
    <w:p>
      <w:pPr>
        <w:pStyle w:val="BodyText"/>
        <w:spacing w:line="326" w:lineRule="auto" w:before="154"/>
        <w:ind w:left="1101" w:right="507" w:firstLine="480"/>
        <w:jc w:val="left"/>
      </w:pPr>
      <w:r>
        <w:rPr/>
        <w:t>①</w:t>
      </w: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24</w:t>
      </w:r>
      <w:r>
        <w:rPr/>
        <w:t>日，经本公司股东大会批准，以资本公积金向全体股东每</w:t>
      </w:r>
      <w:r>
        <w:rPr>
          <w:rFonts w:ascii="Calibri" w:hAnsi="Calibri" w:cs="Calibri" w:eastAsia="Calibri" w:hint="default"/>
        </w:rPr>
        <w:t>10</w:t>
      </w:r>
      <w:r>
        <w:rPr/>
        <w:t>股 转增</w:t>
      </w:r>
      <w:r>
        <w:rPr>
          <w:rFonts w:ascii="Calibri" w:hAnsi="Calibri" w:cs="Calibri" w:eastAsia="Calibri" w:hint="default"/>
        </w:rPr>
        <w:t>6</w:t>
      </w:r>
      <w:r>
        <w:rPr/>
        <w:t>股。权益分派后，本公司增加注册资本</w:t>
      </w:r>
      <w:r>
        <w:rPr>
          <w:rFonts w:ascii="Calibri" w:hAnsi="Calibri" w:cs="Calibri" w:eastAsia="Calibri" w:hint="default"/>
        </w:rPr>
        <w:t>73,460,808.00</w:t>
      </w:r>
      <w:r>
        <w:rPr/>
        <w:t>元，减少资本公积（股本 溢价）</w:t>
      </w:r>
      <w:r>
        <w:rPr>
          <w:rFonts w:ascii="Calibri" w:hAnsi="Calibri" w:cs="Calibri" w:eastAsia="Calibri" w:hint="default"/>
        </w:rPr>
        <w:t>73,460,808.00</w:t>
      </w:r>
      <w:r>
        <w:rPr/>
        <w:t>元。</w:t>
      </w:r>
    </w:p>
    <w:p>
      <w:pPr>
        <w:pStyle w:val="BodyText"/>
        <w:spacing w:line="240" w:lineRule="auto" w:before="18"/>
        <w:ind w:left="1582" w:right="0"/>
        <w:jc w:val="left"/>
      </w:pPr>
      <w:r>
        <w:rPr/>
        <w:t>②</w:t>
      </w:r>
      <w:r>
        <w:rPr>
          <w:spacing w:val="1"/>
        </w:rPr>
        <w:t> </w:t>
      </w:r>
      <w:r>
        <w:rPr>
          <w:rFonts w:ascii="Calibri" w:hAnsi="Calibri" w:cs="Calibri" w:eastAsia="Calibri" w:hint="default"/>
        </w:rPr>
        <w:t>2015</w:t>
      </w:r>
      <w:r>
        <w:rPr/>
        <w:t>年</w:t>
      </w:r>
      <w:r>
        <w:rPr>
          <w:rFonts w:ascii="Calibri" w:hAnsi="Calibri" w:cs="Calibri" w:eastAsia="Calibri" w:hint="default"/>
        </w:rPr>
        <w:t>11</w:t>
      </w:r>
      <w:r>
        <w:rPr/>
        <w:t>月</w:t>
      </w:r>
      <w:r>
        <w:rPr>
          <w:rFonts w:ascii="Calibri" w:hAnsi="Calibri" w:cs="Calibri" w:eastAsia="Calibri" w:hint="default"/>
        </w:rPr>
        <w:t>5</w:t>
      </w:r>
      <w:r>
        <w:rPr/>
        <w:t>日，经本公司第三届董事会第十一次会议审议通过，以</w:t>
      </w:r>
      <w:r>
        <w:rPr>
          <w:rFonts w:ascii="Calibri" w:hAnsi="Calibri" w:cs="Calibri" w:eastAsia="Calibri" w:hint="default"/>
        </w:rPr>
        <w:t>3.681</w:t>
      </w:r>
      <w:r>
        <w:rPr/>
        <w:t>元</w:t>
      </w:r>
    </w:p>
    <w:p>
      <w:pPr>
        <w:pStyle w:val="BodyText"/>
        <w:spacing w:line="326" w:lineRule="auto" w:before="123"/>
        <w:ind w:left="1101" w:right="705"/>
        <w:jc w:val="left"/>
      </w:pPr>
      <w:r>
        <w:rPr>
          <w:rFonts w:ascii="Calibri" w:hAnsi="Calibri" w:cs="Calibri" w:eastAsia="Calibri" w:hint="default"/>
        </w:rPr>
        <w:t>/</w:t>
      </w:r>
      <w:r>
        <w:rPr/>
        <w:t>股回购</w:t>
      </w:r>
      <w:r>
        <w:rPr>
          <w:rFonts w:ascii="Calibri" w:hAnsi="Calibri" w:cs="Calibri" w:eastAsia="Calibri" w:hint="default"/>
        </w:rPr>
        <w:t>4</w:t>
      </w:r>
      <w:r>
        <w:rPr/>
        <w:t>名股权激励对象所持限制性股票</w:t>
      </w:r>
      <w:r>
        <w:rPr>
          <w:rFonts w:ascii="Calibri" w:hAnsi="Calibri" w:cs="Calibri" w:eastAsia="Calibri" w:hint="default"/>
        </w:rPr>
        <w:t>73,818.00</w:t>
      </w:r>
      <w:r>
        <w:rPr/>
        <w:t>股。支付回购款</w:t>
      </w:r>
      <w:r>
        <w:rPr>
          <w:rFonts w:ascii="Calibri" w:hAnsi="Calibri" w:cs="Calibri" w:eastAsia="Calibri" w:hint="default"/>
        </w:rPr>
        <w:t>271,724.06</w:t>
      </w:r>
      <w:r>
        <w:rPr/>
        <w:t>元， 减少注册资本</w:t>
      </w:r>
      <w:r>
        <w:rPr>
          <w:rFonts w:ascii="Calibri" w:hAnsi="Calibri" w:cs="Calibri" w:eastAsia="Calibri" w:hint="default"/>
        </w:rPr>
        <w:t>73,818.00</w:t>
      </w:r>
      <w:r>
        <w:rPr/>
        <w:t>元，减少资本公积（股本溢价）</w:t>
      </w:r>
      <w:r>
        <w:rPr>
          <w:rFonts w:ascii="Calibri" w:hAnsi="Calibri" w:cs="Calibri" w:eastAsia="Calibri" w:hint="default"/>
        </w:rPr>
        <w:t>197,906.06</w:t>
      </w:r>
      <w:r>
        <w:rPr/>
        <w:t>元。</w:t>
      </w:r>
    </w:p>
    <w:p>
      <w:pPr>
        <w:pStyle w:val="BodyText"/>
        <w:spacing w:line="240" w:lineRule="auto" w:before="17"/>
        <w:ind w:left="1582" w:right="585"/>
        <w:jc w:val="left"/>
      </w:pPr>
      <w:r>
        <w:rPr/>
        <w:t>③</w:t>
      </w:r>
      <w:r>
        <w:rPr>
          <w:spacing w:val="-1"/>
        </w:rPr>
        <w:t> </w:t>
      </w:r>
      <w:r>
        <w:rPr>
          <w:rFonts w:ascii="Calibri" w:hAnsi="Calibri" w:cs="Calibri" w:eastAsia="Calibri" w:hint="default"/>
        </w:rPr>
        <w:t>2015</w:t>
      </w:r>
      <w:r>
        <w:rPr/>
        <w:t>年度，确认以权益结算的股份支付费用</w:t>
      </w:r>
      <w:r>
        <w:rPr>
          <w:rFonts w:ascii="Calibri" w:hAnsi="Calibri" w:cs="Calibri" w:eastAsia="Calibri" w:hint="default"/>
        </w:rPr>
        <w:t>1,396,122.39</w:t>
      </w:r>
      <w:r>
        <w:rPr/>
        <w:t>元，同时资本公积</w:t>
      </w:r>
    </w:p>
    <w:p>
      <w:pPr>
        <w:pStyle w:val="BodyText"/>
        <w:spacing w:line="240" w:lineRule="auto" w:before="123"/>
        <w:ind w:left="1101" w:right="2025"/>
        <w:jc w:val="left"/>
      </w:pPr>
      <w:r>
        <w:rPr/>
        <w:t>（其他资本公积）增加</w:t>
      </w:r>
      <w:r>
        <w:rPr>
          <w:rFonts w:ascii="Calibri" w:hAnsi="Calibri" w:cs="Calibri" w:eastAsia="Calibri" w:hint="default"/>
        </w:rPr>
        <w:t>1,396,122.39</w:t>
      </w:r>
      <w:r>
        <w:rPr/>
        <w:t>元。</w:t>
      </w:r>
    </w:p>
    <w:p>
      <w:pPr>
        <w:pStyle w:val="Heading2"/>
        <w:spacing w:line="240" w:lineRule="auto" w:before="47"/>
        <w:ind w:right="2025"/>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 元</w:t>
      </w:r>
    </w:p>
    <w:p>
      <w:pPr>
        <w:spacing w:after="0" w:line="240" w:lineRule="auto"/>
        <w:jc w:val="right"/>
        <w:sectPr>
          <w:footerReference w:type="default" r:id="rId54"/>
          <w:pgSz w:w="11910" w:h="16840"/>
          <w:pgMar w:footer="1085" w:header="884" w:top="1300" w:bottom="1280" w:left="1080" w:right="480"/>
        </w:sectPr>
      </w:pPr>
    </w:p>
    <w:p>
      <w:pPr>
        <w:spacing w:line="240" w:lineRule="auto" w:before="7"/>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库存股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12,629,972.16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7,681,885.54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1,240,858.46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19,070,999.24</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12,629,972.16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7,681,885.54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1,240,858.46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19,070,999.24</w:t>
            </w:r>
          </w:p>
        </w:tc>
      </w:tr>
    </w:tbl>
    <w:p>
      <w:pPr>
        <w:pStyle w:val="BodyText"/>
        <w:spacing w:line="240" w:lineRule="auto" w:before="39"/>
        <w:ind w:left="1582" w:right="2025"/>
        <w:jc w:val="left"/>
      </w:pPr>
      <w:r>
        <w:rPr/>
        <w:t>说明：</w:t>
      </w:r>
    </w:p>
    <w:p>
      <w:pPr>
        <w:pStyle w:val="BodyText"/>
        <w:spacing w:line="326" w:lineRule="auto" w:before="154"/>
        <w:ind w:left="1101" w:right="569" w:firstLine="480"/>
        <w:jc w:val="both"/>
      </w:pPr>
      <w:r>
        <w:rPr/>
        <w:t>（</w:t>
      </w:r>
      <w:r>
        <w:rPr>
          <w:rFonts w:ascii="Calibri" w:hAnsi="Calibri" w:cs="Calibri" w:eastAsia="Calibri" w:hint="default"/>
        </w:rPr>
        <w:t>1</w:t>
      </w:r>
      <w:r>
        <w:rPr/>
        <w:t>）本公司</w:t>
      </w:r>
      <w:r>
        <w:rPr>
          <w:rFonts w:ascii="Calibri" w:hAnsi="Calibri" w:cs="Calibri" w:eastAsia="Calibri" w:hint="default"/>
        </w:rPr>
        <w:t>2014</w:t>
      </w:r>
      <w:r>
        <w:rPr/>
        <w:t>年度股东大会于</w:t>
      </w: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24</w:t>
      </w:r>
      <w:r>
        <w:rPr/>
        <w:t>日审议通过了《</w:t>
      </w:r>
      <w:r>
        <w:rPr>
          <w:rFonts w:ascii="Calibri" w:hAnsi="Calibri" w:cs="Calibri" w:eastAsia="Calibri" w:hint="default"/>
        </w:rPr>
        <w:t>2014</w:t>
      </w:r>
      <w:r>
        <w:rPr/>
        <w:t>年度利润分 配预案》。议案中权益分派方案为以公司</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日总股本</w:t>
      </w:r>
      <w:r>
        <w:rPr>
          <w:rFonts w:ascii="Calibri" w:hAnsi="Calibri" w:cs="Calibri" w:eastAsia="Calibri" w:hint="default"/>
        </w:rPr>
        <w:t>122,434,680</w:t>
      </w:r>
      <w:r>
        <w:rPr/>
        <w:t>股为基 数，由资本公积向全体股东每</w:t>
      </w:r>
      <w:r>
        <w:rPr>
          <w:rFonts w:ascii="Calibri" w:hAnsi="Calibri" w:cs="Calibri" w:eastAsia="Calibri" w:hint="default"/>
        </w:rPr>
        <w:t>10</w:t>
      </w:r>
      <w:r>
        <w:rPr/>
        <w:t>股转增</w:t>
      </w:r>
      <w:r>
        <w:rPr>
          <w:rFonts w:ascii="Calibri" w:hAnsi="Calibri" w:cs="Calibri" w:eastAsia="Calibri" w:hint="default"/>
        </w:rPr>
        <w:t>6</w:t>
      </w:r>
      <w:r>
        <w:rPr/>
        <w:t>股。本次转增导致库存股增加</w:t>
      </w:r>
      <w:r>
        <w:rPr>
          <w:rFonts w:ascii="Calibri" w:hAnsi="Calibri" w:cs="Calibri" w:eastAsia="Calibri" w:hint="default"/>
        </w:rPr>
        <w:t>7,681,885.54 </w:t>
      </w:r>
      <w:r>
        <w:rPr/>
        <w:t>元；</w:t>
      </w:r>
    </w:p>
    <w:p>
      <w:pPr>
        <w:pStyle w:val="BodyText"/>
        <w:spacing w:line="340" w:lineRule="auto" w:before="68"/>
        <w:ind w:left="1101" w:right="585" w:firstLine="480"/>
        <w:jc w:val="left"/>
      </w:pPr>
      <w:r>
        <w:rPr/>
        <w:t>（</w:t>
      </w:r>
      <w:r>
        <w:rPr>
          <w:rFonts w:ascii="Calibri" w:hAnsi="Calibri" w:cs="Calibri" w:eastAsia="Calibri" w:hint="default"/>
        </w:rPr>
        <w:t>2</w:t>
      </w:r>
      <w:r>
        <w:rPr/>
        <w:t>）</w:t>
      </w:r>
      <w:r>
        <w:rPr>
          <w:rFonts w:ascii="Calibri" w:hAnsi="Calibri" w:cs="Calibri" w:eastAsia="Calibri" w:hint="default"/>
        </w:rPr>
        <w:t>2015 </w:t>
      </w:r>
      <w:r>
        <w:rPr/>
        <w:t>年 </w:t>
      </w:r>
      <w:r>
        <w:rPr>
          <w:rFonts w:ascii="Calibri" w:hAnsi="Calibri" w:cs="Calibri" w:eastAsia="Calibri" w:hint="default"/>
        </w:rPr>
        <w:t>6 </w:t>
      </w:r>
      <w:r>
        <w:rPr/>
        <w:t>月 </w:t>
      </w:r>
      <w:r>
        <w:rPr>
          <w:rFonts w:ascii="Calibri" w:hAnsi="Calibri" w:cs="Calibri" w:eastAsia="Calibri" w:hint="default"/>
        </w:rPr>
        <w:t>15</w:t>
      </w:r>
      <w:r>
        <w:rPr>
          <w:rFonts w:ascii="Calibri" w:hAnsi="Calibri" w:cs="Calibri" w:eastAsia="Calibri" w:hint="default"/>
          <w:spacing w:val="1"/>
        </w:rPr>
        <w:t> </w:t>
      </w:r>
      <w:r>
        <w:rPr/>
        <w:t>日，公司第三届董事会第八次会议和第三届监事会第 八次会议审议通过了《关于公司股权激励计划预留部分限制性股票第一个解锁期条 件成就可解锁的议案》，认为《激励计划》预留部分限制性股票第一个解锁期的解 锁条件已满足，可解锁的限制性股票共计为</w:t>
      </w:r>
      <w:r>
        <w:rPr>
          <w:rFonts w:ascii="Calibri" w:hAnsi="Calibri" w:cs="Calibri" w:eastAsia="Calibri" w:hint="default"/>
        </w:rPr>
        <w:t>86,400.00</w:t>
      </w:r>
      <w:r>
        <w:rPr/>
        <w:t>股</w:t>
      </w:r>
      <w:r>
        <w:rPr>
          <w:rFonts w:ascii="Calibri" w:hAnsi="Calibri" w:cs="Calibri" w:eastAsia="Calibri" w:hint="default"/>
        </w:rPr>
        <w:t>,</w:t>
      </w:r>
      <w:r>
        <w:rPr/>
        <w:t>本次解锁导致库存股减少 </w:t>
      </w:r>
      <w:r>
        <w:rPr>
          <w:rFonts w:ascii="Calibri" w:hAnsi="Calibri" w:cs="Calibri" w:eastAsia="Calibri" w:hint="default"/>
        </w:rPr>
        <w:t>969,134.40</w:t>
      </w:r>
      <w:r>
        <w:rPr/>
        <w:t>元；</w:t>
      </w:r>
    </w:p>
    <w:p>
      <w:pPr>
        <w:pStyle w:val="BodyText"/>
        <w:spacing w:line="340" w:lineRule="auto" w:before="0"/>
        <w:ind w:left="1101" w:right="572" w:firstLine="480"/>
        <w:jc w:val="left"/>
      </w:pPr>
      <w:r>
        <w:rPr/>
        <w:t>（</w:t>
      </w:r>
      <w:r>
        <w:rPr>
          <w:rFonts w:ascii="Calibri" w:hAnsi="Calibri" w:cs="Calibri" w:eastAsia="Calibri" w:hint="default"/>
        </w:rPr>
        <w:t>3</w:t>
      </w:r>
      <w:r>
        <w:rPr/>
        <w:t>）</w:t>
      </w:r>
      <w:r>
        <w:rPr>
          <w:rFonts w:ascii="Calibri" w:hAnsi="Calibri" w:cs="Calibri" w:eastAsia="Calibri" w:hint="default"/>
        </w:rPr>
        <w:t>2015</w:t>
      </w:r>
      <w:r>
        <w:rPr/>
        <w:t>年</w:t>
      </w:r>
      <w:r>
        <w:rPr>
          <w:rFonts w:ascii="Calibri" w:hAnsi="Calibri" w:cs="Calibri" w:eastAsia="Calibri" w:hint="default"/>
        </w:rPr>
        <w:t>11</w:t>
      </w:r>
      <w:r>
        <w:rPr/>
        <w:t>月</w:t>
      </w:r>
      <w:r>
        <w:rPr>
          <w:rFonts w:ascii="Calibri" w:hAnsi="Calibri" w:cs="Calibri" w:eastAsia="Calibri" w:hint="default"/>
        </w:rPr>
        <w:t>5</w:t>
      </w:r>
      <w:r>
        <w:rPr/>
        <w:t>日召开了第三届董事会第十一次会议审议通过了《关于回购 注销部分激励对象已获授但尚未解锁的限制性股票的议案》，鉴于公司限制性股票 激励计划原激励对象邹继媛、史大伟、范新国和仇巍巍</w:t>
      </w:r>
      <w:r>
        <w:rPr>
          <w:rFonts w:ascii="Calibri" w:hAnsi="Calibri" w:cs="Calibri" w:eastAsia="Calibri" w:hint="default"/>
        </w:rPr>
        <w:t>4</w:t>
      </w:r>
      <w:r>
        <w:rPr/>
        <w:t>人因个人原因离职，不具 备激励对象资格，公司对该等激励对象已获授但尚未解锁的全部限制性股票共计 </w:t>
      </w:r>
      <w:r>
        <w:rPr>
          <w:rFonts w:ascii="Calibri" w:hAnsi="Calibri" w:cs="Calibri" w:eastAsia="Calibri" w:hint="default"/>
        </w:rPr>
        <w:t>73,818.00</w:t>
      </w:r>
      <w:r>
        <w:rPr/>
        <w:t>股进行回购注销，回购价格为</w:t>
      </w:r>
      <w:r>
        <w:rPr>
          <w:rFonts w:ascii="Calibri" w:hAnsi="Calibri" w:cs="Calibri" w:eastAsia="Calibri" w:hint="default"/>
        </w:rPr>
        <w:t>3.68</w:t>
      </w:r>
      <w:r>
        <w:rPr/>
        <w:t>元</w:t>
      </w:r>
      <w:r>
        <w:rPr>
          <w:rFonts w:ascii="Calibri" w:hAnsi="Calibri" w:cs="Calibri" w:eastAsia="Calibri" w:hint="default"/>
        </w:rPr>
        <w:t>/</w:t>
      </w:r>
      <w:r>
        <w:rPr/>
        <w:t>股，本次回购导致库存股减少</w:t>
      </w:r>
    </w:p>
    <w:p>
      <w:pPr>
        <w:pStyle w:val="BodyText"/>
        <w:spacing w:line="240" w:lineRule="auto" w:before="0"/>
        <w:ind w:left="1101" w:right="2025"/>
        <w:jc w:val="left"/>
      </w:pPr>
      <w:r>
        <w:rPr>
          <w:rFonts w:ascii="Calibri" w:hAnsi="Calibri" w:cs="Calibri" w:eastAsia="Calibri" w:hint="default"/>
        </w:rPr>
        <w:t>271,724.06 </w:t>
      </w:r>
      <w:r>
        <w:rPr>
          <w:rFonts w:ascii="Calibri" w:hAnsi="Calibri" w:cs="Calibri" w:eastAsia="Calibri" w:hint="default"/>
          <w:spacing w:val="16"/>
        </w:rPr>
        <w:t> </w:t>
      </w:r>
      <w:r>
        <w:rPr/>
        <w:t>元。</w:t>
      </w:r>
    </w:p>
    <w:p>
      <w:pPr>
        <w:pStyle w:val="Heading2"/>
        <w:spacing w:line="240" w:lineRule="auto" w:before="47"/>
        <w:ind w:right="2025"/>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610"/>
        <w:gridCol w:w="1251"/>
        <w:gridCol w:w="826"/>
        <w:gridCol w:w="1241"/>
        <w:gridCol w:w="576"/>
        <w:gridCol w:w="1299"/>
        <w:gridCol w:w="1159"/>
        <w:gridCol w:w="1244"/>
      </w:tblGrid>
      <w:tr>
        <w:trPr>
          <w:trHeight w:val="348" w:hRule="exact"/>
        </w:trPr>
        <w:tc>
          <w:tcPr>
            <w:tcW w:w="16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1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261" w:hRule="exact"/>
        </w:trPr>
        <w:tc>
          <w:tcPr>
            <w:tcW w:w="1610"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11" w:right="62" w:hanging="108"/>
              <w:jc w:val="left"/>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48" w:firstLine="38"/>
              <w:jc w:val="left"/>
              <w:rPr>
                <w:rFonts w:ascii="宋体" w:hAnsi="宋体" w:cs="宋体" w:eastAsia="宋体" w:hint="default"/>
                <w:sz w:val="18"/>
                <w:szCs w:val="18"/>
              </w:rPr>
            </w:pPr>
            <w:r>
              <w:rPr>
                <w:rFonts w:ascii="宋体" w:hAnsi="宋体" w:cs="宋体" w:eastAsia="宋体" w:hint="default"/>
                <w:sz w:val="18"/>
                <w:szCs w:val="18"/>
              </w:rPr>
              <w:t>减： 前期计入其他 综合收益当期</w:t>
            </w:r>
          </w:p>
          <w:p>
            <w:pPr>
              <w:pStyle w:val="TableParagraph"/>
              <w:spacing w:line="240" w:lineRule="auto" w:before="17"/>
              <w:ind w:left="460" w:right="0"/>
              <w:jc w:val="left"/>
              <w:rPr>
                <w:rFonts w:ascii="宋体" w:hAnsi="宋体" w:cs="宋体" w:eastAsia="宋体" w:hint="default"/>
                <w:sz w:val="18"/>
                <w:szCs w:val="18"/>
              </w:rPr>
            </w:pPr>
            <w:r>
              <w:rPr>
                <w:rFonts w:ascii="宋体" w:hAnsi="宋体" w:cs="宋体" w:eastAsia="宋体" w:hint="default"/>
                <w:sz w:val="18"/>
                <w:szCs w:val="18"/>
              </w:rPr>
              <w:t>转入损益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right"/>
              <w:rPr>
                <w:rFonts w:ascii="宋体" w:hAnsi="宋体" w:cs="宋体" w:eastAsia="宋体" w:hint="default"/>
                <w:sz w:val="18"/>
                <w:szCs w:val="18"/>
              </w:rPr>
            </w:pPr>
            <w:r>
              <w:rPr>
                <w:rFonts w:ascii="宋体" w:hAnsi="宋体" w:cs="宋体" w:eastAsia="宋体" w:hint="default"/>
                <w:sz w:val="18"/>
                <w:szCs w:val="18"/>
              </w:rPr>
              <w:t>减： 所得 税费 用</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494"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70" w:right="77" w:firstLine="180"/>
              <w:jc w:val="left"/>
              <w:rPr>
                <w:rFonts w:ascii="宋体" w:hAnsi="宋体" w:cs="宋体" w:eastAsia="宋体" w:hint="default"/>
                <w:sz w:val="18"/>
                <w:szCs w:val="18"/>
              </w:rPr>
            </w:pPr>
            <w:r>
              <w:rPr>
                <w:rFonts w:ascii="宋体" w:hAnsi="宋体" w:cs="宋体" w:eastAsia="宋体" w:hint="default"/>
                <w:sz w:val="18"/>
                <w:szCs w:val="18"/>
              </w:rPr>
              <w:t>税后归属 于少数股东</w:t>
            </w:r>
          </w:p>
        </w:tc>
        <w:tc>
          <w:tcPr>
            <w:tcW w:w="1244" w:type="dxa"/>
            <w:vMerge/>
            <w:tcBorders>
              <w:left w:val="single" w:sz="4" w:space="0" w:color="000000"/>
              <w:bottom w:val="single" w:sz="4" w:space="0" w:color="000000"/>
              <w:right w:val="single" w:sz="4" w:space="0" w:color="000000"/>
            </w:tcBorders>
          </w:tcPr>
          <w:p>
            <w:pPr/>
          </w:p>
        </w:tc>
      </w:tr>
      <w:tr>
        <w:trPr>
          <w:trHeight w:val="946"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68"/>
              <w:jc w:val="center"/>
              <w:rPr>
                <w:rFonts w:ascii="宋体" w:hAnsi="宋体" w:cs="宋体" w:eastAsia="宋体" w:hint="default"/>
                <w:sz w:val="18"/>
                <w:szCs w:val="18"/>
              </w:rPr>
            </w:pPr>
            <w:r>
              <w:rPr>
                <w:rFonts w:ascii="宋体" w:hAnsi="宋体" w:cs="宋体" w:eastAsia="宋体" w:hint="default"/>
                <w:sz w:val="18"/>
                <w:szCs w:val="18"/>
              </w:rPr>
              <w:t>以后将重分类进 损益的其他综合 收益</w:t>
            </w:r>
          </w:p>
        </w:tc>
        <w:tc>
          <w:tcPr>
            <w:tcW w:w="125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70" w:right="168" w:hanging="1"/>
              <w:jc w:val="center"/>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权益法下在被 投资单位以后将 重分类进损益的 其他综合收益中 享有的份额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8"/>
              <w:jc w:val="center"/>
              <w:rPr>
                <w:rFonts w:ascii="Calibri" w:hAnsi="Calibri" w:cs="Calibri" w:eastAsia="Calibri" w:hint="default"/>
                <w:sz w:val="18"/>
                <w:szCs w:val="18"/>
              </w:rPr>
            </w:pPr>
            <w:r>
              <w:rPr>
                <w:rFonts w:ascii="Calibri"/>
                <w:sz w:val="18"/>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w:t>
            </w:r>
          </w:p>
        </w:tc>
        <w:tc>
          <w:tcPr>
            <w:tcW w:w="124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5"/>
              <w:jc w:val="center"/>
              <w:rPr>
                <w:rFonts w:ascii="Calibri" w:hAnsi="Calibri" w:cs="Calibri" w:eastAsia="Calibri" w:hint="default"/>
                <w:sz w:val="18"/>
                <w:szCs w:val="18"/>
              </w:rPr>
            </w:pPr>
            <w:r>
              <w:rPr>
                <w:rFonts w:ascii="Calibri"/>
                <w:sz w:val="18"/>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9"/>
              <w:jc w:val="center"/>
              <w:rPr>
                <w:rFonts w:ascii="Calibri" w:hAnsi="Calibri" w:cs="Calibri" w:eastAsia="Calibri" w:hint="default"/>
                <w:sz w:val="18"/>
                <w:szCs w:val="18"/>
              </w:rPr>
            </w:pPr>
            <w:r>
              <w:rPr>
                <w:rFonts w:ascii="Calibri"/>
                <w:sz w:val="18"/>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54"/>
              <w:jc w:val="center"/>
              <w:rPr>
                <w:rFonts w:ascii="Calibri" w:hAnsi="Calibri" w:cs="Calibri" w:eastAsia="Calibri" w:hint="default"/>
                <w:sz w:val="18"/>
                <w:szCs w:val="18"/>
              </w:rPr>
            </w:pPr>
            <w:r>
              <w:rPr>
                <w:rFonts w:ascii="Calibri"/>
                <w:sz w:val="18"/>
              </w:rPr>
              <w:t>-</w:t>
            </w:r>
          </w:p>
        </w:tc>
      </w:tr>
      <w:tr>
        <w:trPr>
          <w:trHeight w:val="350"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1"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外币财务报表</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0" w:right="0"/>
              <w:jc w:val="left"/>
              <w:rPr>
                <w:rFonts w:ascii="Calibri" w:hAnsi="Calibri" w:cs="Calibri" w:eastAsia="Calibri" w:hint="default"/>
                <w:sz w:val="18"/>
                <w:szCs w:val="18"/>
              </w:rPr>
            </w:pPr>
            <w:r>
              <w:rPr>
                <w:rFonts w:ascii="Calibri"/>
                <w:sz w:val="18"/>
              </w:rPr>
              <w:t>-8,672,946.51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50"/>
              <w:jc w:val="right"/>
              <w:rPr>
                <w:rFonts w:ascii="Calibri" w:hAnsi="Calibri" w:cs="Calibri" w:eastAsia="Calibri" w:hint="default"/>
                <w:sz w:val="18"/>
                <w:szCs w:val="18"/>
              </w:rPr>
            </w:pPr>
            <w:r>
              <w:rPr>
                <w:rFonts w:ascii="Calibri"/>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70" w:right="0"/>
              <w:jc w:val="left"/>
              <w:rPr>
                <w:rFonts w:ascii="Calibri" w:hAnsi="Calibri" w:cs="Calibri" w:eastAsia="Calibri" w:hint="default"/>
                <w:sz w:val="18"/>
                <w:szCs w:val="18"/>
              </w:rPr>
            </w:pPr>
            <w:r>
              <w:rPr>
                <w:rFonts w:ascii="Calibri"/>
                <w:sz w:val="18"/>
              </w:rPr>
              <w:t>-1,665,520.83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Calibri" w:hAnsi="Calibri" w:cs="Calibri" w:eastAsia="Calibri" w:hint="default"/>
                <w:sz w:val="18"/>
                <w:szCs w:val="18"/>
              </w:rPr>
            </w:pPr>
            <w:r>
              <w:rPr>
                <w:rFonts w:ascii="Calibri"/>
                <w:sz w:val="18"/>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31" w:right="0"/>
              <w:jc w:val="left"/>
              <w:rPr>
                <w:rFonts w:ascii="Calibri" w:hAnsi="Calibri" w:cs="Calibri" w:eastAsia="Calibri" w:hint="default"/>
                <w:sz w:val="18"/>
                <w:szCs w:val="18"/>
              </w:rPr>
            </w:pPr>
            <w:r>
              <w:rPr>
                <w:rFonts w:ascii="Calibri"/>
                <w:sz w:val="18"/>
              </w:rPr>
              <w:t>1,065,417.71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87" w:right="0"/>
              <w:jc w:val="left"/>
              <w:rPr>
                <w:rFonts w:ascii="Calibri" w:hAnsi="Calibri" w:cs="Calibri" w:eastAsia="Calibri" w:hint="default"/>
                <w:sz w:val="18"/>
                <w:szCs w:val="18"/>
              </w:rPr>
            </w:pPr>
            <w:r>
              <w:rPr>
                <w:rFonts w:ascii="Calibri"/>
                <w:sz w:val="18"/>
              </w:rPr>
              <w:t>600,103.12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center"/>
              <w:rPr>
                <w:rFonts w:ascii="Calibri" w:hAnsi="Calibri" w:cs="Calibri" w:eastAsia="Calibri" w:hint="default"/>
                <w:sz w:val="18"/>
                <w:szCs w:val="18"/>
              </w:rPr>
            </w:pPr>
            <w:r>
              <w:rPr>
                <w:rFonts w:ascii="Calibri"/>
                <w:sz w:val="18"/>
              </w:rPr>
              <w:t>-7,607,528.80</w:t>
            </w:r>
          </w:p>
        </w:tc>
      </w:tr>
    </w:tbl>
    <w:p>
      <w:pPr>
        <w:spacing w:after="0" w:line="240" w:lineRule="auto"/>
        <w:jc w:val="center"/>
        <w:rPr>
          <w:rFonts w:ascii="Calibri" w:hAnsi="Calibri" w:cs="Calibri" w:eastAsia="Calibri" w:hint="default"/>
          <w:sz w:val="18"/>
          <w:szCs w:val="18"/>
        </w:rPr>
        <w:sectPr>
          <w:footerReference w:type="default" r:id="rId55"/>
          <w:pgSz w:w="11910" w:h="16840"/>
          <w:pgMar w:footer="1085" w:header="884" w:top="1300" w:bottom="1280" w:left="1080" w:right="480"/>
          <w:pgNumType w:start="161"/>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610"/>
        <w:gridCol w:w="1251"/>
        <w:gridCol w:w="826"/>
        <w:gridCol w:w="1241"/>
        <w:gridCol w:w="576"/>
        <w:gridCol w:w="1299"/>
        <w:gridCol w:w="1159"/>
        <w:gridCol w:w="1244"/>
      </w:tblGrid>
      <w:tr>
        <w:trPr>
          <w:trHeight w:val="351"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折算差额</w:t>
            </w:r>
          </w:p>
        </w:tc>
        <w:tc>
          <w:tcPr>
            <w:tcW w:w="125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10" w:right="168" w:hanging="540"/>
              <w:jc w:val="left"/>
              <w:rPr>
                <w:rFonts w:ascii="宋体" w:hAnsi="宋体" w:cs="宋体" w:eastAsia="宋体" w:hint="default"/>
                <w:sz w:val="18"/>
                <w:szCs w:val="18"/>
              </w:rPr>
            </w:pPr>
            <w:r>
              <w:rPr>
                <w:rFonts w:ascii="宋体" w:hAnsi="宋体" w:cs="宋体" w:eastAsia="宋体" w:hint="default"/>
                <w:sz w:val="18"/>
                <w:szCs w:val="18"/>
              </w:rPr>
              <w:t>其他综合收益合 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0" w:right="0"/>
              <w:jc w:val="left"/>
              <w:rPr>
                <w:rFonts w:ascii="Calibri" w:hAnsi="Calibri" w:cs="Calibri" w:eastAsia="Calibri" w:hint="default"/>
                <w:sz w:val="18"/>
                <w:szCs w:val="18"/>
              </w:rPr>
            </w:pPr>
            <w:r>
              <w:rPr>
                <w:rFonts w:ascii="Calibri"/>
                <w:sz w:val="18"/>
              </w:rPr>
              <w:t>-8,672,946.51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0"/>
              <w:jc w:val="right"/>
              <w:rPr>
                <w:rFonts w:ascii="Calibri" w:hAnsi="Calibri" w:cs="Calibri" w:eastAsia="Calibri" w:hint="default"/>
                <w:sz w:val="18"/>
                <w:szCs w:val="18"/>
              </w:rPr>
            </w:pPr>
            <w:r>
              <w:rPr>
                <w:rFonts w:ascii="Calibri"/>
                <w:sz w:val="18"/>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0" w:right="0"/>
              <w:jc w:val="left"/>
              <w:rPr>
                <w:rFonts w:ascii="Calibri" w:hAnsi="Calibri" w:cs="Calibri" w:eastAsia="Calibri" w:hint="default"/>
                <w:sz w:val="18"/>
                <w:szCs w:val="18"/>
              </w:rPr>
            </w:pPr>
            <w:r>
              <w:rPr>
                <w:rFonts w:ascii="Calibri"/>
                <w:sz w:val="18"/>
              </w:rPr>
              <w:t>-1,665,520.83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right"/>
              <w:rPr>
                <w:rFonts w:ascii="Calibri" w:hAnsi="Calibri" w:cs="Calibri" w:eastAsia="Calibri" w:hint="default"/>
                <w:sz w:val="18"/>
                <w:szCs w:val="18"/>
              </w:rPr>
            </w:pPr>
            <w:r>
              <w:rPr>
                <w:rFonts w:ascii="Calibri"/>
                <w:sz w:val="18"/>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1" w:right="0"/>
              <w:jc w:val="left"/>
              <w:rPr>
                <w:rFonts w:ascii="Calibri" w:hAnsi="Calibri" w:cs="Calibri" w:eastAsia="Calibri" w:hint="default"/>
                <w:sz w:val="18"/>
                <w:szCs w:val="18"/>
              </w:rPr>
            </w:pPr>
            <w:r>
              <w:rPr>
                <w:rFonts w:ascii="Calibri"/>
                <w:sz w:val="18"/>
              </w:rPr>
              <w:t>1,065,417.71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7" w:right="0"/>
              <w:jc w:val="left"/>
              <w:rPr>
                <w:rFonts w:ascii="Calibri" w:hAnsi="Calibri" w:cs="Calibri" w:eastAsia="Calibri" w:hint="default"/>
                <w:sz w:val="18"/>
                <w:szCs w:val="18"/>
              </w:rPr>
            </w:pPr>
            <w:r>
              <w:rPr>
                <w:rFonts w:ascii="Calibri"/>
                <w:sz w:val="18"/>
              </w:rPr>
              <w:t>600,103.12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1" w:right="0"/>
              <w:jc w:val="left"/>
              <w:rPr>
                <w:rFonts w:ascii="Calibri" w:hAnsi="Calibri" w:cs="Calibri" w:eastAsia="Calibri" w:hint="default"/>
                <w:sz w:val="18"/>
                <w:szCs w:val="18"/>
              </w:rPr>
            </w:pPr>
            <w:r>
              <w:rPr>
                <w:rFonts w:ascii="Calibri"/>
                <w:sz w:val="18"/>
              </w:rPr>
              <w:t>-7,607,528.80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4" w:footer="1085" w:top="1300" w:bottom="1280" w:left="1080" w:right="840"/>
        </w:sectPr>
      </w:pPr>
    </w:p>
    <w:p>
      <w:pPr>
        <w:pStyle w:val="Heading2"/>
        <w:spacing w:line="367" w:lineRule="exact"/>
        <w:ind w:right="-15"/>
        <w:jc w:val="left"/>
        <w:rPr>
          <w:b w:val="0"/>
          <w:bCs w:val="0"/>
        </w:rPr>
      </w:pPr>
      <w:r>
        <w:rPr>
          <w:rFonts w:ascii="Times New Roman" w:hAnsi="Times New Roman" w:cs="Times New Roman" w:eastAsia="Times New Roman" w:hint="default"/>
        </w:rPr>
        <w:t>58</w:t>
      </w:r>
      <w:r>
        <w:rPr/>
        <w:t>、专项储备</w:t>
      </w:r>
      <w:r>
        <w:rPr>
          <w:b w:val="0"/>
          <w:bCs w:val="0"/>
        </w:rPr>
      </w:r>
    </w:p>
    <w:p>
      <w:pPr>
        <w:spacing w:before="50"/>
        <w:ind w:left="1101" w:right="-1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59</w:t>
      </w:r>
      <w:r>
        <w:rPr>
          <w:rFonts w:ascii="Microsoft JhengHei" w:hAnsi="Microsoft JhengHei" w:cs="Microsoft JhengHei" w:eastAsia="Microsoft JhengHei" w:hint="default"/>
          <w:b/>
          <w:bCs/>
          <w:sz w:val="24"/>
          <w:szCs w:val="24"/>
        </w:rPr>
        <w:t>、盈余公积</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5"/>
        <w:rPr>
          <w:rFonts w:ascii="Microsoft JhengHei" w:hAnsi="Microsoft JhengHei" w:cs="Microsoft JhengHei" w:eastAsia="Microsoft JhengHei" w:hint="default"/>
          <w:b/>
          <w:bCs/>
          <w:sz w:val="31"/>
          <w:szCs w:val="31"/>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2547" w:space="5108"/>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23,763,352.48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4,554,316.10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28,317,668.58</w:t>
            </w:r>
          </w:p>
        </w:tc>
      </w:tr>
      <w:tr>
        <w:trPr>
          <w:trHeight w:val="325"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2"/>
                <w:sz w:val="21"/>
              </w:rPr>
              <w:t>23,763,352.48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1"/>
                <w:sz w:val="21"/>
              </w:rPr>
              <w:t>4,554,316.10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Calibri" w:hAnsi="Calibri" w:cs="Calibri" w:eastAsia="Calibri" w:hint="default"/>
                <w:sz w:val="21"/>
                <w:szCs w:val="21"/>
              </w:rPr>
            </w:pPr>
            <w:r>
              <w:rPr>
                <w:rFonts w:ascii="Calibri"/>
                <w:spacing w:val="-2"/>
                <w:sz w:val="21"/>
              </w:rPr>
              <w:t>28,317,668.58</w:t>
            </w:r>
          </w:p>
        </w:tc>
      </w:tr>
    </w:tbl>
    <w:p>
      <w:pPr>
        <w:pStyle w:val="Heading2"/>
        <w:spacing w:line="380" w:lineRule="exact"/>
        <w:ind w:right="225"/>
        <w:jc w:val="left"/>
        <w:rPr>
          <w:b w:val="0"/>
          <w:bCs w:val="0"/>
        </w:rPr>
      </w:pPr>
      <w:r>
        <w:rPr>
          <w:rFonts w:ascii="Times New Roman" w:hAnsi="Times New Roman" w:cs="Times New Roman" w:eastAsia="Times New Roman" w:hint="default"/>
        </w:rPr>
        <w:t>60</w:t>
      </w:r>
      <w:r>
        <w:rPr/>
        <w:t>、未分配利润</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584"/>
        <w:gridCol w:w="2816"/>
        <w:gridCol w:w="2807"/>
      </w:tblGrid>
      <w:tr>
        <w:trPr>
          <w:trHeight w:val="32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sz w:val="21"/>
                <w:szCs w:val="21"/>
              </w:rPr>
            </w:r>
          </w:p>
        </w:tc>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w:t>
            </w:r>
            <w:r>
              <w:rPr>
                <w:rFonts w:ascii="Microsoft JhengHei" w:hAnsi="Microsoft JhengHei" w:cs="Microsoft JhengHei" w:eastAsia="Microsoft JhengHei" w:hint="default"/>
                <w:sz w:val="21"/>
                <w:szCs w:val="21"/>
              </w:rPr>
            </w:r>
          </w:p>
        </w:tc>
      </w:tr>
      <w:tr>
        <w:trPr>
          <w:trHeight w:val="32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2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184,340,245.96</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155,053,221.81</w:t>
            </w:r>
          </w:p>
        </w:tc>
      </w:tr>
      <w:tr>
        <w:trPr>
          <w:trHeight w:val="32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184,340,245.96</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155,053,221.81</w:t>
            </w:r>
          </w:p>
        </w:tc>
      </w:tr>
      <w:tr>
        <w:trPr>
          <w:trHeight w:val="635"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679" w:right="103" w:hanging="1577"/>
              <w:jc w:val="left"/>
              <w:rPr>
                <w:rFonts w:ascii="宋体" w:hAnsi="宋体" w:cs="宋体" w:eastAsia="宋体" w:hint="default"/>
                <w:sz w:val="21"/>
                <w:szCs w:val="21"/>
              </w:rPr>
            </w:pPr>
            <w:r>
              <w:rPr>
                <w:rFonts w:ascii="宋体" w:hAnsi="宋体" w:cs="宋体" w:eastAsia="宋体" w:hint="default"/>
                <w:spacing w:val="-2"/>
                <w:sz w:val="21"/>
                <w:szCs w:val="21"/>
              </w:rPr>
              <w:t>加：本期归属于母公司所有者的净利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润</w:t>
            </w:r>
          </w:p>
        </w:tc>
        <w:tc>
          <w:tcPr>
            <w:tcW w:w="28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58,778,892.50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45,894,440.61</w:t>
            </w:r>
          </w:p>
        </w:tc>
      </w:tr>
      <w:tr>
        <w:trPr>
          <w:trHeight w:val="32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73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4,554,316.10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4,390,948.46</w:t>
            </w:r>
          </w:p>
        </w:tc>
      </w:tr>
      <w:tr>
        <w:trPr>
          <w:trHeight w:val="32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12,283,354.60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12,216,468.00</w:t>
            </w:r>
          </w:p>
        </w:tc>
      </w:tr>
      <w:tr>
        <w:trPr>
          <w:trHeight w:val="32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226,281,467.76</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184,340,245.96</w:t>
            </w:r>
          </w:p>
        </w:tc>
      </w:tr>
    </w:tbl>
    <w:p>
      <w:pPr>
        <w:pStyle w:val="BodyText"/>
        <w:spacing w:line="240" w:lineRule="auto" w:before="39"/>
        <w:ind w:left="1582" w:right="225"/>
        <w:jc w:val="left"/>
      </w:pPr>
      <w:r>
        <w:rPr/>
        <w:t>调整期初未分配利润明细：</w:t>
      </w:r>
    </w:p>
    <w:p>
      <w:pPr>
        <w:pStyle w:val="BodyText"/>
        <w:spacing w:line="326" w:lineRule="auto" w:before="154"/>
        <w:ind w:left="1101" w:right="271" w:firstLine="480"/>
        <w:jc w:val="left"/>
      </w:pPr>
      <w:r>
        <w:rPr>
          <w:rFonts w:ascii="Calibri" w:hAnsi="Calibri" w:cs="Calibri" w:eastAsia="Calibri" w:hint="default"/>
        </w:rPr>
        <w:t>1)</w:t>
      </w:r>
      <w:r>
        <w:rPr/>
        <w:t>、由于《企业会计准则》及其相关新规定进行追溯调整，影响期初未分配利 润</w:t>
      </w:r>
      <w:r>
        <w:rPr>
          <w:spacing w:val="-60"/>
        </w:rPr>
        <w:t> </w:t>
      </w:r>
      <w:r>
        <w:rPr>
          <w:rFonts w:ascii="Calibri" w:hAnsi="Calibri" w:cs="Calibri" w:eastAsia="Calibri" w:hint="default"/>
        </w:rPr>
        <w:t>0</w:t>
      </w:r>
      <w:r>
        <w:rPr>
          <w:rFonts w:ascii="Calibri" w:hAnsi="Calibri" w:cs="Calibri" w:eastAsia="Calibri" w:hint="default"/>
          <w:spacing w:val="6"/>
        </w:rPr>
        <w:t> </w:t>
      </w:r>
      <w:r>
        <w:rPr/>
        <w:t>元。</w:t>
      </w:r>
    </w:p>
    <w:p>
      <w:pPr>
        <w:pStyle w:val="BodyText"/>
        <w:spacing w:line="240" w:lineRule="auto" w:before="17"/>
        <w:ind w:left="1582" w:right="225"/>
        <w:jc w:val="left"/>
      </w:pPr>
      <w:r>
        <w:rPr>
          <w:rFonts w:ascii="Calibri" w:hAnsi="Calibri" w:cs="Calibri" w:eastAsia="Calibri" w:hint="default"/>
        </w:rPr>
        <w:t>2)</w:t>
      </w:r>
      <w:r>
        <w:rPr/>
        <w:t>、由于会计政策变更，影响期初未分配利润</w:t>
      </w:r>
      <w:r>
        <w:rPr>
          <w:spacing w:val="-60"/>
        </w:rPr>
        <w:t> </w:t>
      </w:r>
      <w:r>
        <w:rPr>
          <w:rFonts w:ascii="Calibri" w:hAnsi="Calibri" w:cs="Calibri" w:eastAsia="Calibri" w:hint="default"/>
        </w:rPr>
        <w:t>0</w:t>
      </w:r>
      <w:r>
        <w:rPr>
          <w:rFonts w:ascii="Calibri" w:hAnsi="Calibri" w:cs="Calibri" w:eastAsia="Calibri" w:hint="default"/>
          <w:spacing w:val="5"/>
        </w:rPr>
        <w:t> </w:t>
      </w:r>
      <w:r>
        <w:rPr/>
        <w:t>元。</w:t>
      </w:r>
    </w:p>
    <w:p>
      <w:pPr>
        <w:pStyle w:val="BodyText"/>
        <w:spacing w:line="240" w:lineRule="auto" w:before="123"/>
        <w:ind w:left="1582" w:right="225"/>
        <w:jc w:val="left"/>
      </w:pPr>
      <w:r>
        <w:rPr>
          <w:rFonts w:ascii="Calibri" w:hAnsi="Calibri" w:cs="Calibri" w:eastAsia="Calibri" w:hint="default"/>
        </w:rPr>
        <w:t>3)</w:t>
      </w:r>
      <w:r>
        <w:rPr/>
        <w:t>、由于重大会计差错更正，影响期初未分配利润</w:t>
      </w:r>
      <w:r>
        <w:rPr>
          <w:spacing w:val="-60"/>
        </w:rPr>
        <w:t> </w:t>
      </w:r>
      <w:r>
        <w:rPr>
          <w:rFonts w:ascii="Calibri" w:hAnsi="Calibri" w:cs="Calibri" w:eastAsia="Calibri" w:hint="default"/>
        </w:rPr>
        <w:t>0</w:t>
      </w:r>
      <w:r>
        <w:rPr>
          <w:rFonts w:ascii="Calibri" w:hAnsi="Calibri" w:cs="Calibri" w:eastAsia="Calibri" w:hint="default"/>
          <w:spacing w:val="5"/>
        </w:rPr>
        <w:t> </w:t>
      </w:r>
      <w:r>
        <w:rPr/>
        <w:t>元。</w:t>
      </w:r>
    </w:p>
    <w:p>
      <w:pPr>
        <w:pStyle w:val="BodyText"/>
        <w:spacing w:line="240" w:lineRule="auto" w:before="123"/>
        <w:ind w:left="1582" w:right="225"/>
        <w:jc w:val="left"/>
      </w:pPr>
      <w:r>
        <w:rPr>
          <w:rFonts w:ascii="Calibri" w:hAnsi="Calibri" w:cs="Calibri" w:eastAsia="Calibri" w:hint="default"/>
        </w:rPr>
        <w:t>4)</w:t>
      </w:r>
      <w:r>
        <w:rPr/>
        <w:t>、由于同一控制导致的合并范围变更，影响期初未分配利润</w:t>
      </w:r>
      <w:r>
        <w:rPr>
          <w:spacing w:val="-60"/>
        </w:rPr>
        <w:t> </w:t>
      </w:r>
      <w:r>
        <w:rPr>
          <w:rFonts w:ascii="Calibri" w:hAnsi="Calibri" w:cs="Calibri" w:eastAsia="Calibri" w:hint="default"/>
        </w:rPr>
        <w:t>0</w:t>
      </w:r>
      <w:r>
        <w:rPr>
          <w:rFonts w:ascii="Calibri" w:hAnsi="Calibri" w:cs="Calibri" w:eastAsia="Calibri" w:hint="default"/>
          <w:spacing w:val="5"/>
        </w:rPr>
        <w:t> </w:t>
      </w:r>
      <w:r>
        <w:rPr/>
        <w:t>元。</w:t>
      </w:r>
    </w:p>
    <w:p>
      <w:pPr>
        <w:pStyle w:val="BodyText"/>
        <w:spacing w:line="240" w:lineRule="auto" w:before="123"/>
        <w:ind w:left="1582" w:right="225"/>
        <w:jc w:val="left"/>
      </w:pPr>
      <w:r>
        <w:rPr>
          <w:rFonts w:ascii="Calibri" w:hAnsi="Calibri" w:cs="Calibri" w:eastAsia="Calibri" w:hint="default"/>
        </w:rPr>
        <w:t>5)</w:t>
      </w:r>
      <w:r>
        <w:rPr/>
        <w:t>、其他调整合计影响期初未分配利润</w:t>
      </w:r>
      <w:r>
        <w:rPr>
          <w:spacing w:val="-60"/>
        </w:rPr>
        <w:t> </w:t>
      </w:r>
      <w:r>
        <w:rPr>
          <w:rFonts w:ascii="Calibri" w:hAnsi="Calibri" w:cs="Calibri" w:eastAsia="Calibri" w:hint="default"/>
        </w:rPr>
        <w:t>0</w:t>
      </w:r>
      <w:r>
        <w:rPr>
          <w:rFonts w:ascii="Calibri" w:hAnsi="Calibri" w:cs="Calibri" w:eastAsia="Calibri" w:hint="default"/>
          <w:spacing w:val="5"/>
        </w:rPr>
        <w:t> </w:t>
      </w:r>
      <w:r>
        <w:rPr/>
        <w:t>元。</w:t>
      </w:r>
    </w:p>
    <w:p>
      <w:pPr>
        <w:pStyle w:val="Heading2"/>
        <w:spacing w:line="240" w:lineRule="auto" w:before="47"/>
        <w:ind w:right="225"/>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839"/>
        <w:gridCol w:w="1844"/>
        <w:gridCol w:w="1841"/>
        <w:gridCol w:w="1841"/>
        <w:gridCol w:w="1841"/>
      </w:tblGrid>
      <w:tr>
        <w:trPr>
          <w:trHeight w:val="322" w:hRule="exact"/>
        </w:trPr>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1839"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r>
      <w:tr>
        <w:trPr>
          <w:trHeight w:val="324"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452,341,602.93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8"/>
              <w:jc w:val="right"/>
              <w:rPr>
                <w:rFonts w:ascii="Calibri" w:hAnsi="Calibri" w:cs="Calibri" w:eastAsia="Calibri" w:hint="default"/>
                <w:sz w:val="21"/>
                <w:szCs w:val="21"/>
              </w:rPr>
            </w:pPr>
            <w:r>
              <w:rPr>
                <w:rFonts w:ascii="Calibri"/>
                <w:spacing w:val="-2"/>
                <w:sz w:val="21"/>
              </w:rPr>
              <w:t>163,365,554.26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347,987,172.27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118,688,779.39</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14,809,392.82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2,725,832.28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13,125,674.40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2,536,535.98</w:t>
            </w:r>
          </w:p>
        </w:tc>
      </w:tr>
      <w:tr>
        <w:trPr>
          <w:trHeight w:val="322"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467,150,995.75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166,091,386.54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361,112,846.67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121,225,315.37</w:t>
            </w:r>
          </w:p>
        </w:tc>
      </w:tr>
    </w:tbl>
    <w:p>
      <w:pPr>
        <w:spacing w:after="0" w:line="240" w:lineRule="auto"/>
        <w:jc w:val="right"/>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rFonts w:ascii="Times New Roman" w:hAnsi="Times New Roman" w:cs="Times New Roman" w:eastAsia="Times New Roman" w:hint="default"/>
        </w:rPr>
        <w:t>62</w:t>
      </w:r>
      <w:r>
        <w:rPr/>
        <w:t>、营业税金及附加</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1,723,334.24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906,572.63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1,022,032.48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1,472,674.03</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847,992.92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632,178.56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598,357.35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420,750.71</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堤围防护费</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4,316.93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4,191,716.99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3,436,492.86</w:t>
            </w:r>
          </w:p>
        </w:tc>
      </w:tr>
    </w:tbl>
    <w:p>
      <w:pPr>
        <w:pStyle w:val="BodyText"/>
        <w:spacing w:line="240" w:lineRule="auto" w:before="39"/>
        <w:ind w:left="1582" w:right="225"/>
        <w:jc w:val="left"/>
      </w:pPr>
      <w:r>
        <w:rPr/>
        <w:t>其他说明：</w:t>
      </w:r>
    </w:p>
    <w:p>
      <w:pPr>
        <w:pStyle w:val="Heading2"/>
        <w:spacing w:line="240" w:lineRule="auto" w:before="78"/>
        <w:ind w:right="225"/>
        <w:jc w:val="left"/>
        <w:rPr>
          <w:b w:val="0"/>
          <w:bCs w:val="0"/>
        </w:rPr>
      </w:pPr>
      <w:r>
        <w:rPr>
          <w:rFonts w:ascii="Times New Roman" w:hAnsi="Times New Roman" w:cs="Times New Roman" w:eastAsia="Times New Roman" w:hint="default"/>
        </w:rPr>
        <w:t>63</w:t>
      </w:r>
      <w:r>
        <w:rPr/>
        <w:t>、销售费用</w:t>
      </w:r>
      <w:r>
        <w:rPr>
          <w:b w:val="0"/>
          <w:bCs w:val="0"/>
        </w:rPr>
      </w:r>
    </w:p>
    <w:p>
      <w:pPr>
        <w:pStyle w:val="BodyText"/>
        <w:spacing w:line="240" w:lineRule="auto" w:before="126"/>
        <w:ind w:left="1582" w:right="225"/>
        <w:jc w:val="lef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职工薪酬</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37,910,053.50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27,367,873.53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差旅费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14,303,626.89</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11,167,744.52</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招待费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15,834,883.40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10,870,216.36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办公费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9,111,413.51</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8,882,661.59</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车费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3,965,871.04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3,079,917.60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电话费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2,056,270.77</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1,731,775.72</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宣传费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1"/>
                <w:sz w:val="21"/>
              </w:rPr>
              <w:t>1,306,211.99</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Calibri" w:hAnsi="Calibri" w:cs="Calibri" w:eastAsia="Calibri" w:hint="default"/>
                <w:sz w:val="21"/>
                <w:szCs w:val="21"/>
              </w:rPr>
            </w:pPr>
            <w:r>
              <w:rPr>
                <w:rFonts w:ascii="Calibri"/>
                <w:spacing w:val="-1"/>
                <w:sz w:val="21"/>
              </w:rPr>
              <w:t>830,423.33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折旧</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625,718.82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579,967.87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565,309.62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667,062.07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85,679,359.54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65,177,642.59</w:t>
            </w:r>
          </w:p>
        </w:tc>
      </w:tr>
    </w:tbl>
    <w:p>
      <w:pPr>
        <w:pStyle w:val="Heading2"/>
        <w:spacing w:line="380" w:lineRule="exact"/>
        <w:ind w:right="225"/>
        <w:jc w:val="left"/>
        <w:rPr>
          <w:b w:val="0"/>
          <w:bCs w:val="0"/>
        </w:rPr>
      </w:pPr>
      <w:r>
        <w:rPr>
          <w:rFonts w:ascii="Times New Roman" w:hAnsi="Times New Roman" w:cs="Times New Roman" w:eastAsia="Times New Roman" w:hint="default"/>
        </w:rPr>
        <w:t>64</w:t>
      </w:r>
      <w:r>
        <w:rPr/>
        <w:t>、管理费用</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职工薪酬</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108,627,328.10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83,731,135.42</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折旧</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17,465,467.72</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15,296,751.10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办公费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15,179,149.46</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13,379,352.25</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sz w:val="21"/>
                <w:szCs w:val="21"/>
              </w:rPr>
              <w:t>差旅费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14,178,154.84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12,665,891.16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车费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3,657,256.80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3,004,456.90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税金</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2,783,099.86</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2,968,209.43</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招待费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1,865,248.30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2,682,314.06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电话费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2,160,750.94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2,499,926.93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股权激励费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1,396,122.39</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2,232,714.62</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中介费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975,102.93</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394,464.21</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修理费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2,087.02</w:t>
            </w:r>
          </w:p>
        </w:tc>
        <w:tc>
          <w:tcPr>
            <w:tcW w:w="30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其他</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1,664,430.24</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528,341.54</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169,954,198.60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139,383,557.62</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rFonts w:ascii="Times New Roman" w:hAnsi="Times New Roman" w:cs="Times New Roman" w:eastAsia="Times New Roman" w:hint="default"/>
        </w:rPr>
        <w:t>65</w:t>
      </w:r>
      <w:r>
        <w:rPr/>
        <w:t>、财务费用</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332,934.98</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321,216.54</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减：利息收入</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4,137,641.33</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4,012,370.11</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汇兑损益</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14,717.91</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10,301.17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手续费</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618,897.97</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209,358.89</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-3,171,090.47</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-3,471,493.51</w:t>
            </w:r>
          </w:p>
        </w:tc>
      </w:tr>
    </w:tbl>
    <w:p>
      <w:pPr>
        <w:pStyle w:val="Heading2"/>
        <w:spacing w:line="380" w:lineRule="exact"/>
        <w:ind w:right="225"/>
        <w:jc w:val="left"/>
        <w:rPr>
          <w:b w:val="0"/>
          <w:bCs w:val="0"/>
        </w:rPr>
      </w:pPr>
      <w:r>
        <w:rPr>
          <w:rFonts w:ascii="Times New Roman" w:hAnsi="Times New Roman" w:cs="Times New Roman" w:eastAsia="Times New Roman" w:hint="default"/>
        </w:rPr>
        <w:t>66</w:t>
      </w:r>
      <w:r>
        <w:rPr/>
        <w:t>、资产减值损失</w:t>
      </w:r>
      <w:r>
        <w:rPr>
          <w:b w:val="0"/>
          <w:bCs w:val="0"/>
        </w:rPr>
      </w:r>
    </w:p>
    <w:p>
      <w:pPr>
        <w:pStyle w:val="BodyText"/>
        <w:spacing w:line="240" w:lineRule="auto" w:before="127"/>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一、坏账损失</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4,423,142.82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6,825,930.47</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4,423,142.82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6,825,930.47</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840"/>
        </w:sectPr>
      </w:pPr>
    </w:p>
    <w:p>
      <w:pPr>
        <w:pStyle w:val="Heading2"/>
        <w:spacing w:line="380" w:lineRule="exact"/>
        <w:ind w:right="-11"/>
        <w:jc w:val="left"/>
        <w:rPr>
          <w:b w:val="0"/>
          <w:bCs w:val="0"/>
        </w:rPr>
      </w:pPr>
      <w:r>
        <w:rPr>
          <w:rFonts w:ascii="Times New Roman" w:hAnsi="Times New Roman" w:cs="Times New Roman" w:eastAsia="Times New Roman" w:hint="default"/>
        </w:rPr>
        <w:t>67</w:t>
      </w:r>
      <w:r>
        <w:rPr/>
        <w:t>、公允价值变动收益</w:t>
      </w:r>
      <w:r>
        <w:rPr>
          <w:b w:val="0"/>
          <w:bCs w:val="0"/>
        </w:rPr>
      </w:r>
    </w:p>
    <w:p>
      <w:pPr>
        <w:pStyle w:val="BodyText"/>
        <w:spacing w:line="240" w:lineRule="auto" w:before="126"/>
        <w:ind w:left="1101" w:right="-11"/>
        <w:jc w:val="left"/>
      </w:pPr>
      <w:r>
        <w:rPr/>
        <w:t>无</w:t>
      </w:r>
    </w:p>
    <w:p>
      <w:pPr>
        <w:pStyle w:val="Heading2"/>
        <w:spacing w:line="240" w:lineRule="auto" w:before="77"/>
        <w:ind w:right="-11"/>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34"/>
          <w:szCs w:val="3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511" w:space="4144"/>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819"/>
        <w:gridCol w:w="2580"/>
        <w:gridCol w:w="2807"/>
      </w:tblGrid>
      <w:tr>
        <w:trPr>
          <w:trHeight w:val="317" w:hRule="exact"/>
        </w:trPr>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7" w:hRule="exact"/>
        </w:trPr>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Calibri" w:hAnsi="Calibri" w:cs="Calibri" w:eastAsia="Calibri" w:hint="default"/>
                <w:sz w:val="21"/>
                <w:szCs w:val="21"/>
              </w:rPr>
            </w:pPr>
            <w:r>
              <w:rPr>
                <w:rFonts w:ascii="Calibri"/>
                <w:spacing w:val="-2"/>
                <w:sz w:val="21"/>
              </w:rPr>
              <w:t>46,975.44</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Calibri" w:hAnsi="Calibri" w:cs="Calibri" w:eastAsia="Calibri" w:hint="default"/>
                <w:sz w:val="21"/>
                <w:szCs w:val="21"/>
              </w:rPr>
            </w:pPr>
            <w:r>
              <w:rPr>
                <w:rFonts w:ascii="Calibri"/>
                <w:spacing w:val="-1"/>
                <w:sz w:val="21"/>
              </w:rPr>
              <w:t>-419,987.66</w:t>
            </w:r>
          </w:p>
        </w:tc>
      </w:tr>
      <w:tr>
        <w:trPr>
          <w:trHeight w:val="322" w:hRule="exact"/>
        </w:trPr>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80" w:type="dxa"/>
            <w:tcBorders>
              <w:top w:val="single" w:sz="4" w:space="0" w:color="000000"/>
              <w:left w:val="single" w:sz="4" w:space="0" w:color="000000"/>
              <w:bottom w:val="single" w:sz="4" w:space="0" w:color="000000"/>
              <w:right w:val="single" w:sz="4" w:space="0" w:color="000000"/>
            </w:tcBorders>
          </w:tcPr>
          <w:p>
            <w:pP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-218,240.00</w:t>
            </w:r>
          </w:p>
        </w:tc>
      </w:tr>
      <w:tr>
        <w:trPr>
          <w:trHeight w:val="635" w:hRule="exact"/>
        </w:trPr>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797" w:right="115" w:hanging="1680"/>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2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78,790.64</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424.68</w:t>
            </w:r>
          </w:p>
        </w:tc>
      </w:tr>
      <w:tr>
        <w:trPr>
          <w:trHeight w:val="323" w:hRule="exact"/>
        </w:trPr>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1"/>
                <w:sz w:val="21"/>
              </w:rPr>
              <w:t>125,766.08</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-637,802.98</w:t>
            </w:r>
          </w:p>
        </w:tc>
      </w:tr>
    </w:tbl>
    <w:p>
      <w:pPr>
        <w:pStyle w:val="Heading2"/>
        <w:spacing w:line="380" w:lineRule="exact"/>
        <w:ind w:right="225"/>
        <w:jc w:val="left"/>
        <w:rPr>
          <w:b w:val="0"/>
          <w:bCs w:val="0"/>
        </w:rPr>
      </w:pPr>
      <w:r>
        <w:rPr>
          <w:rFonts w:ascii="Times New Roman" w:hAnsi="Times New Roman" w:cs="Times New Roman" w:eastAsia="Times New Roman" w:hint="default"/>
        </w:rPr>
        <w:t>69</w:t>
      </w:r>
      <w:r>
        <w:rPr/>
        <w:t>、营业外收入</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705"/>
        <w:gridCol w:w="2252"/>
        <w:gridCol w:w="1947"/>
        <w:gridCol w:w="2302"/>
      </w:tblGrid>
      <w:tr>
        <w:trPr>
          <w:trHeight w:val="161" w:hRule="exact"/>
        </w:trPr>
        <w:tc>
          <w:tcPr>
            <w:tcW w:w="2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4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2302"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计入当期非经常性损益</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的金额</w:t>
            </w:r>
            <w:r>
              <w:rPr>
                <w:rFonts w:ascii="Microsoft JhengHei" w:hAnsi="Microsoft JhengHei" w:cs="Microsoft JhengHei" w:eastAsia="Microsoft JhengHei" w:hint="default"/>
                <w:sz w:val="21"/>
                <w:szCs w:val="21"/>
              </w:rPr>
            </w:r>
          </w:p>
        </w:tc>
      </w:tr>
      <w:tr>
        <w:trPr>
          <w:trHeight w:val="312" w:hRule="exact"/>
        </w:trPr>
        <w:tc>
          <w:tcPr>
            <w:tcW w:w="2705" w:type="dxa"/>
            <w:tcBorders>
              <w:top w:val="nil" w:sz="6" w:space="0" w:color="auto"/>
              <w:left w:val="single" w:sz="4" w:space="0" w:color="000000"/>
              <w:bottom w:val="nil" w:sz="6" w:space="0" w:color="auto"/>
              <w:right w:val="single" w:sz="4" w:space="0" w:color="000000"/>
            </w:tcBorders>
          </w:tcPr>
          <w:p>
            <w:pPr>
              <w:pStyle w:val="TableParagraph"/>
              <w:tabs>
                <w:tab w:pos="1111" w:val="left" w:leader="none"/>
                <w:tab w:pos="2649" w:val="left" w:leader="none"/>
              </w:tabs>
              <w:spacing w:line="28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项目</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2252" w:type="dxa"/>
            <w:tcBorders>
              <w:top w:val="nil" w:sz="6" w:space="0" w:color="auto"/>
              <w:left w:val="single" w:sz="4" w:space="0" w:color="000000"/>
              <w:bottom w:val="nil" w:sz="6" w:space="0" w:color="auto"/>
              <w:right w:val="single" w:sz="4" w:space="0" w:color="000000"/>
            </w:tcBorders>
          </w:tcPr>
          <w:p>
            <w:pPr>
              <w:pStyle w:val="TableParagraph"/>
              <w:tabs>
                <w:tab w:pos="571" w:val="left" w:leader="none"/>
                <w:tab w:pos="2196" w:val="left" w:leader="none"/>
              </w:tabs>
              <w:spacing w:line="286" w:lineRule="exact"/>
              <w:ind w:right="23"/>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本期发生额</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1947" w:type="dxa"/>
            <w:vMerge/>
            <w:tcBorders>
              <w:left w:val="single" w:sz="4" w:space="0" w:color="000000"/>
              <w:right w:val="single" w:sz="4" w:space="0" w:color="000000"/>
            </w:tcBorders>
            <w:shd w:val="clear" w:color="auto" w:fill="D2D2D2"/>
          </w:tcPr>
          <w:p>
            <w:pPr/>
          </w:p>
        </w:tc>
        <w:tc>
          <w:tcPr>
            <w:tcW w:w="2302" w:type="dxa"/>
            <w:vMerge/>
            <w:tcBorders>
              <w:left w:val="single" w:sz="4" w:space="0" w:color="000000"/>
              <w:right w:val="single" w:sz="4" w:space="0" w:color="000000"/>
            </w:tcBorders>
            <w:shd w:val="clear" w:color="auto" w:fill="D2D2D2"/>
          </w:tcPr>
          <w:p>
            <w:pPr/>
          </w:p>
        </w:tc>
      </w:tr>
      <w:tr>
        <w:trPr>
          <w:trHeight w:val="161" w:hRule="exact"/>
        </w:trPr>
        <w:tc>
          <w:tcPr>
            <w:tcW w:w="27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7" w:type="dxa"/>
            <w:vMerge/>
            <w:tcBorders>
              <w:left w:val="single" w:sz="4" w:space="0" w:color="000000"/>
              <w:bottom w:val="single" w:sz="4" w:space="0" w:color="000000"/>
              <w:right w:val="single" w:sz="4" w:space="0" w:color="000000"/>
            </w:tcBorders>
            <w:shd w:val="clear" w:color="auto" w:fill="D2D2D2"/>
          </w:tcPr>
          <w:p>
            <w:pPr/>
          </w:p>
        </w:tc>
        <w:tc>
          <w:tcPr>
            <w:tcW w:w="2302"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270.55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7,564.11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270.55</w:t>
            </w: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270.55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7,564.11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270.55</w:t>
            </w: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23,098,780.20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24,105,614.50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6,165,396.68</w:t>
            </w:r>
          </w:p>
        </w:tc>
      </w:tr>
      <w:tr>
        <w:trPr>
          <w:trHeight w:val="324" w:hRule="exact"/>
        </w:trPr>
        <w:tc>
          <w:tcPr>
            <w:tcW w:w="2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437,199.57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39,335.73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435,896.63</w:t>
            </w:r>
          </w:p>
        </w:tc>
      </w:tr>
      <w:tr>
        <w:trPr>
          <w:trHeight w:val="322" w:hRule="exact"/>
        </w:trPr>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23,536,250.32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24,152,514.34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6,601,563.86</w:t>
            </w:r>
          </w:p>
        </w:tc>
      </w:tr>
    </w:tbl>
    <w:p>
      <w:pPr>
        <w:pStyle w:val="BodyText"/>
        <w:spacing w:line="240" w:lineRule="auto" w:before="39"/>
        <w:ind w:left="1582" w:right="225"/>
        <w:jc w:val="left"/>
      </w:pPr>
      <w:r>
        <w:rPr/>
        <w:t>计入当期损益的政府补助：</w:t>
      </w:r>
    </w:p>
    <w:p>
      <w:pPr>
        <w:pStyle w:val="BodyText"/>
        <w:spacing w:line="240" w:lineRule="auto" w:before="154"/>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337"/>
        <w:gridCol w:w="1198"/>
        <w:gridCol w:w="586"/>
        <w:gridCol w:w="1272"/>
        <w:gridCol w:w="590"/>
        <w:gridCol w:w="456"/>
        <w:gridCol w:w="1541"/>
        <w:gridCol w:w="1433"/>
        <w:gridCol w:w="792"/>
      </w:tblGrid>
      <w:tr>
        <w:trPr>
          <w:trHeight w:val="946"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5" w:right="108"/>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8" w:right="110"/>
              <w:jc w:val="both"/>
              <w:rPr>
                <w:rFonts w:ascii="宋体" w:hAnsi="宋体" w:cs="宋体" w:eastAsia="宋体" w:hint="default"/>
                <w:sz w:val="18"/>
                <w:szCs w:val="18"/>
              </w:rPr>
            </w:pPr>
            <w:r>
              <w:rPr>
                <w:rFonts w:ascii="宋体" w:hAnsi="宋体" w:cs="宋体" w:eastAsia="宋体" w:hint="default"/>
                <w:sz w:val="18"/>
                <w:szCs w:val="18"/>
              </w:rPr>
              <w:t>补贴 是否 影响</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3" w:right="41"/>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8"/>
              <w:ind w:left="86" w:right="29" w:hanging="56"/>
              <w:jc w:val="both"/>
              <w:rPr>
                <w:rFonts w:ascii="宋体" w:hAnsi="宋体" w:cs="宋体" w:eastAsia="宋体" w:hint="default"/>
                <w:sz w:val="18"/>
                <w:szCs w:val="18"/>
              </w:rPr>
            </w:pPr>
            <w:r>
              <w:rPr>
                <w:rFonts w:ascii="宋体" w:hAnsi="宋体" w:cs="宋体" w:eastAsia="宋体" w:hint="default"/>
                <w:sz w:val="18"/>
                <w:szCs w:val="18"/>
              </w:rPr>
              <w:t>与资产相 关</w:t>
            </w:r>
            <w:r>
              <w:rPr>
                <w:rFonts w:ascii="Calibri" w:hAnsi="Calibri" w:cs="Calibri" w:eastAsia="Calibri" w:hint="default"/>
                <w:sz w:val="18"/>
                <w:szCs w:val="18"/>
              </w:rPr>
              <w:t>/</w:t>
            </w:r>
            <w:r>
              <w:rPr>
                <w:rFonts w:ascii="宋体" w:hAnsi="宋体" w:cs="宋体" w:eastAsia="宋体" w:hint="default"/>
                <w:sz w:val="18"/>
                <w:szCs w:val="18"/>
              </w:rPr>
              <w:t>与收 益相关</w:t>
            </w:r>
          </w:p>
        </w:tc>
      </w:tr>
    </w:tbl>
    <w:p>
      <w:pPr>
        <w:spacing w:after="0" w:line="304" w:lineRule="auto"/>
        <w:jc w:val="both"/>
        <w:rPr>
          <w:rFonts w:ascii="宋体" w:hAnsi="宋体" w:cs="宋体" w:eastAsia="宋体" w:hint="default"/>
          <w:sz w:val="18"/>
          <w:szCs w:val="18"/>
        </w:rPr>
        <w:sectPr>
          <w:type w:val="continuous"/>
          <w:pgSz w:w="11910" w:h="16840"/>
          <w:pgMar w:top="1100" w:bottom="1280" w:left="1080" w:right="840"/>
        </w:sectPr>
      </w:pPr>
    </w:p>
    <w:p>
      <w:pPr>
        <w:spacing w:line="240" w:lineRule="auto" w:before="10"/>
        <w:rPr>
          <w:rFonts w:ascii="Times New Roman" w:hAnsi="Times New Roman" w:cs="Times New Roman" w:eastAsia="Times New Roman" w:hint="default"/>
          <w:sz w:val="10"/>
          <w:szCs w:val="10"/>
        </w:rPr>
      </w:pPr>
    </w:p>
    <w:tbl>
      <w:tblPr>
        <w:tblW w:w="0" w:type="auto"/>
        <w:jc w:val="left"/>
        <w:tblInd w:w="622" w:type="dxa"/>
        <w:tblLayout w:type="fixed"/>
        <w:tblCellMar>
          <w:top w:w="0" w:type="dxa"/>
          <w:left w:w="0" w:type="dxa"/>
          <w:bottom w:w="0" w:type="dxa"/>
          <w:right w:w="0" w:type="dxa"/>
        </w:tblCellMar>
        <w:tblLook w:val="01E0"/>
      </w:tblPr>
      <w:tblGrid>
        <w:gridCol w:w="1337"/>
        <w:gridCol w:w="1198"/>
        <w:gridCol w:w="586"/>
        <w:gridCol w:w="1272"/>
        <w:gridCol w:w="590"/>
        <w:gridCol w:w="456"/>
        <w:gridCol w:w="1541"/>
        <w:gridCol w:w="1433"/>
        <w:gridCol w:w="792"/>
      </w:tblGrid>
      <w:tr>
        <w:trPr>
          <w:trHeight w:val="634"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08" w:right="110"/>
              <w:jc w:val="left"/>
              <w:rPr>
                <w:rFonts w:ascii="宋体" w:hAnsi="宋体" w:cs="宋体" w:eastAsia="宋体" w:hint="default"/>
                <w:sz w:val="18"/>
                <w:szCs w:val="18"/>
              </w:rPr>
            </w:pPr>
            <w:r>
              <w:rPr>
                <w:rFonts w:ascii="宋体" w:hAnsi="宋体" w:cs="宋体" w:eastAsia="宋体" w:hint="default"/>
                <w:sz w:val="18"/>
                <w:szCs w:val="18"/>
              </w:rPr>
              <w:t>当年 盈亏</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479" w:right="33" w:hanging="449"/>
              <w:jc w:val="left"/>
              <w:rPr>
                <w:rFonts w:ascii="宋体" w:hAnsi="宋体" w:cs="宋体" w:eastAsia="宋体" w:hint="default"/>
                <w:sz w:val="18"/>
                <w:szCs w:val="18"/>
              </w:rPr>
            </w:pPr>
            <w:r>
              <w:rPr>
                <w:rFonts w:ascii="宋体" w:hAnsi="宋体" w:cs="宋体" w:eastAsia="宋体" w:hint="default"/>
                <w:sz w:val="18"/>
                <w:szCs w:val="18"/>
              </w:rPr>
              <w:t>软件销售增值税 退税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北京市财政局</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8" w:right="93" w:hanging="3"/>
              <w:jc w:val="center"/>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16,933,383.52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14,727,190.07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基于云计算的位 置服务公共平台 及在物流领域的 应用示范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中关村管委会</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93" w:firstLine="156"/>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1,730,769.23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61"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99" w:right="33" w:hanging="269"/>
              <w:jc w:val="left"/>
              <w:rPr>
                <w:rFonts w:ascii="宋体" w:hAnsi="宋体" w:cs="宋体" w:eastAsia="宋体" w:hint="default"/>
                <w:sz w:val="18"/>
                <w:szCs w:val="18"/>
              </w:rPr>
            </w:pPr>
            <w:r>
              <w:rPr>
                <w:rFonts w:ascii="宋体" w:hAnsi="宋体" w:cs="宋体" w:eastAsia="宋体" w:hint="default"/>
                <w:sz w:val="18"/>
                <w:szCs w:val="18"/>
              </w:rPr>
              <w:t>卫星及应用产业 发展专项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国家发改委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600,000.00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1,200,000.00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智慧园区关键技 术研发及在电子 城园区的示范应 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朝阳区政府</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Calibri" w:hAnsi="Calibri" w:cs="Calibri" w:eastAsia="Calibri" w:hint="default"/>
                <w:sz w:val="18"/>
                <w:szCs w:val="18"/>
              </w:rPr>
            </w:pPr>
            <w:r>
              <w:rPr>
                <w:rFonts w:ascii="Calibri"/>
                <w:sz w:val="18"/>
              </w:rPr>
              <w:t>1,043,478.26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面向交通状况感 知的物联网中间 件技术研究及实 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交通部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958,578.70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4" w:lineRule="auto"/>
              <w:ind w:left="31" w:right="33" w:hanging="2"/>
              <w:jc w:val="center"/>
              <w:rPr>
                <w:rFonts w:ascii="宋体" w:hAnsi="宋体" w:cs="宋体" w:eastAsia="宋体" w:hint="default"/>
                <w:sz w:val="18"/>
                <w:szCs w:val="18"/>
              </w:rPr>
            </w:pPr>
            <w:r>
              <w:rPr>
                <w:rFonts w:ascii="宋体" w:hAnsi="宋体" w:cs="宋体" w:eastAsia="宋体" w:hint="default"/>
                <w:sz w:val="18"/>
                <w:szCs w:val="18"/>
              </w:rPr>
              <w:t>三维真空间</w:t>
            </w:r>
            <w:r>
              <w:rPr>
                <w:rFonts w:ascii="宋体" w:hAnsi="宋体" w:cs="宋体" w:eastAsia="宋体" w:hint="default"/>
                <w:spacing w:val="-46"/>
                <w:sz w:val="18"/>
                <w:szCs w:val="18"/>
              </w:rPr>
              <w:t> </w:t>
            </w:r>
            <w:r>
              <w:rPr>
                <w:rFonts w:ascii="Calibri" w:hAnsi="Calibri" w:cs="Calibri" w:eastAsia="Calibri" w:hint="default"/>
                <w:sz w:val="18"/>
                <w:szCs w:val="18"/>
              </w:rPr>
              <w:t>GIS </w:t>
            </w:r>
            <w:r>
              <w:rPr>
                <w:rFonts w:ascii="宋体" w:hAnsi="宋体" w:cs="宋体" w:eastAsia="宋体" w:hint="default"/>
                <w:sz w:val="18"/>
                <w:szCs w:val="18"/>
              </w:rPr>
              <w:t>平台关键技术研 发及产业化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朝阳区科委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833,333.33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57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31" w:right="33" w:hanging="3"/>
              <w:jc w:val="center"/>
              <w:rPr>
                <w:rFonts w:ascii="宋体" w:hAnsi="宋体" w:cs="宋体" w:eastAsia="宋体" w:hint="default"/>
                <w:sz w:val="18"/>
                <w:szCs w:val="18"/>
              </w:rPr>
            </w:pPr>
            <w:r>
              <w:rPr>
                <w:rFonts w:ascii="Calibri" w:hAnsi="Calibri" w:cs="Calibri" w:eastAsia="Calibri" w:hint="default"/>
                <w:sz w:val="18"/>
                <w:szCs w:val="18"/>
              </w:rPr>
              <w:t>GIS</w:t>
            </w:r>
            <w:r>
              <w:rPr>
                <w:rFonts w:ascii="Calibri" w:hAnsi="Calibri" w:cs="Calibri" w:eastAsia="Calibri" w:hint="default"/>
                <w:spacing w:val="2"/>
                <w:sz w:val="18"/>
                <w:szCs w:val="18"/>
              </w:rPr>
              <w:t> </w:t>
            </w:r>
            <w:r>
              <w:rPr>
                <w:rFonts w:ascii="宋体" w:hAnsi="宋体" w:cs="宋体" w:eastAsia="宋体" w:hint="default"/>
                <w:sz w:val="18"/>
                <w:szCs w:val="18"/>
              </w:rPr>
              <w:t>云计算服务 平台关键技术北 京市工程实验室 创新能力建设项 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北京市科委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18"/>
                <w:szCs w:val="18"/>
              </w:rPr>
            </w:pPr>
            <w:r>
              <w:rPr>
                <w:rFonts w:ascii="Calibri"/>
                <w:sz w:val="18"/>
              </w:rPr>
              <w:t>570,924.00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18"/>
                <w:szCs w:val="18"/>
              </w:rPr>
            </w:pPr>
            <w:r>
              <w:rPr>
                <w:rFonts w:ascii="Calibri"/>
                <w:sz w:val="18"/>
              </w:rPr>
              <w:t>570,924.00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302" w:right="29" w:hanging="272"/>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31" w:right="33"/>
              <w:jc w:val="left"/>
              <w:rPr>
                <w:rFonts w:ascii="宋体" w:hAnsi="宋体" w:cs="宋体" w:eastAsia="宋体" w:hint="default"/>
                <w:sz w:val="18"/>
                <w:szCs w:val="18"/>
              </w:rPr>
            </w:pPr>
            <w:r>
              <w:rPr>
                <w:rFonts w:ascii="宋体" w:hAnsi="宋体" w:cs="宋体" w:eastAsia="宋体" w:hint="default"/>
                <w:sz w:val="18"/>
                <w:szCs w:val="18"/>
              </w:rPr>
              <w:t>科学技术部重点 新产品研究奖励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科技部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500,000.00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6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0" w:lineRule="auto" w:before="115"/>
              <w:ind w:left="211" w:right="48" w:hanging="166"/>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6"/>
                <w:sz w:val="18"/>
                <w:szCs w:val="18"/>
              </w:rPr>
              <w:t> </w:t>
            </w:r>
            <w:r>
              <w:rPr>
                <w:rFonts w:ascii="Calibri" w:hAnsi="Calibri" w:cs="Calibri" w:eastAsia="Calibri" w:hint="default"/>
                <w:sz w:val="18"/>
                <w:szCs w:val="18"/>
              </w:rPr>
              <w:t>GIS</w:t>
            </w:r>
            <w:r>
              <w:rPr>
                <w:rFonts w:ascii="Calibri" w:hAnsi="Calibri" w:cs="Calibri" w:eastAsia="Calibri" w:hint="default"/>
                <w:spacing w:val="3"/>
                <w:sz w:val="18"/>
                <w:szCs w:val="18"/>
              </w:rPr>
              <w:t> </w:t>
            </w:r>
            <w:r>
              <w:rPr>
                <w:rFonts w:ascii="宋体" w:hAnsi="宋体" w:cs="宋体" w:eastAsia="宋体" w:hint="default"/>
                <w:sz w:val="18"/>
                <w:szCs w:val="18"/>
              </w:rPr>
              <w:t>的综 合应用示范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中国科学院</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388,140.16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388,140.16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1" w:right="33"/>
              <w:jc w:val="center"/>
              <w:rPr>
                <w:rFonts w:ascii="宋体" w:hAnsi="宋体" w:cs="宋体" w:eastAsia="宋体" w:hint="default"/>
                <w:sz w:val="18"/>
                <w:szCs w:val="18"/>
              </w:rPr>
            </w:pPr>
            <w:r>
              <w:rPr>
                <w:rFonts w:ascii="宋体" w:hAnsi="宋体" w:cs="宋体" w:eastAsia="宋体" w:hint="default"/>
                <w:sz w:val="18"/>
                <w:szCs w:val="18"/>
              </w:rPr>
              <w:t>地理信息拓扑与 网络分析工具集 研发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科技部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Calibri" w:hAnsi="Calibri" w:cs="Calibri" w:eastAsia="Calibri" w:hint="default"/>
                <w:sz w:val="18"/>
                <w:szCs w:val="18"/>
              </w:rPr>
            </w:pPr>
            <w:r>
              <w:rPr>
                <w:rFonts w:ascii="Calibri"/>
                <w:sz w:val="18"/>
              </w:rPr>
              <w:t>371,428.67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2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沿海重点保障区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国家气象局</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391,068.20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362,863.65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884" w:footer="1085" w:top="1300" w:bottom="1280" w:left="1080" w:right="840"/>
        </w:sectPr>
      </w:pPr>
    </w:p>
    <w:p>
      <w:pPr>
        <w:spacing w:line="240" w:lineRule="auto" w:before="10"/>
        <w:rPr>
          <w:rFonts w:ascii="Times New Roman" w:hAnsi="Times New Roman" w:cs="Times New Roman" w:eastAsia="Times New Roman" w:hint="default"/>
          <w:sz w:val="10"/>
          <w:szCs w:val="10"/>
        </w:rPr>
      </w:pPr>
    </w:p>
    <w:tbl>
      <w:tblPr>
        <w:tblW w:w="0" w:type="auto"/>
        <w:jc w:val="left"/>
        <w:tblInd w:w="622" w:type="dxa"/>
        <w:tblLayout w:type="fixed"/>
        <w:tblCellMar>
          <w:top w:w="0" w:type="dxa"/>
          <w:left w:w="0" w:type="dxa"/>
          <w:bottom w:w="0" w:type="dxa"/>
          <w:right w:w="0" w:type="dxa"/>
        </w:tblCellMar>
        <w:tblLook w:val="01E0"/>
      </w:tblPr>
      <w:tblGrid>
        <w:gridCol w:w="1337"/>
        <w:gridCol w:w="1198"/>
        <w:gridCol w:w="586"/>
        <w:gridCol w:w="1272"/>
        <w:gridCol w:w="590"/>
        <w:gridCol w:w="456"/>
        <w:gridCol w:w="1541"/>
        <w:gridCol w:w="1433"/>
        <w:gridCol w:w="792"/>
      </w:tblGrid>
      <w:tr>
        <w:trPr>
          <w:trHeight w:val="946"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域精细化综合预 报系统研制与应 用</w:t>
            </w:r>
          </w:p>
        </w:tc>
        <w:tc>
          <w:tcPr>
            <w:tcW w:w="119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1" w:right="33"/>
              <w:jc w:val="both"/>
              <w:rPr>
                <w:rFonts w:ascii="宋体" w:hAnsi="宋体" w:cs="宋体" w:eastAsia="宋体" w:hint="default"/>
                <w:sz w:val="18"/>
                <w:szCs w:val="18"/>
              </w:rPr>
            </w:pPr>
            <w:r>
              <w:rPr>
                <w:rFonts w:ascii="宋体" w:hAnsi="宋体" w:cs="宋体" w:eastAsia="宋体" w:hint="default"/>
                <w:sz w:val="18"/>
                <w:szCs w:val="18"/>
              </w:rPr>
              <w:t>多尺度生态系统 演变与未来情景 模型模拟技术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1,114,319.39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320,000.00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1" w:right="33"/>
              <w:jc w:val="center"/>
              <w:rPr>
                <w:rFonts w:ascii="宋体" w:hAnsi="宋体" w:cs="宋体" w:eastAsia="宋体" w:hint="default"/>
                <w:sz w:val="18"/>
                <w:szCs w:val="18"/>
              </w:rPr>
            </w:pPr>
            <w:r>
              <w:rPr>
                <w:rFonts w:ascii="宋体" w:hAnsi="宋体" w:cs="宋体" w:eastAsia="宋体" w:hint="default"/>
                <w:sz w:val="18"/>
                <w:szCs w:val="18"/>
              </w:rPr>
              <w:t>扶贫空间信息系 统关键技术及其 应用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民政部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313,621.15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61"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31" w:right="33"/>
              <w:jc w:val="center"/>
              <w:rPr>
                <w:rFonts w:ascii="宋体" w:hAnsi="宋体" w:cs="宋体" w:eastAsia="宋体" w:hint="default"/>
                <w:sz w:val="18"/>
                <w:szCs w:val="18"/>
              </w:rPr>
            </w:pPr>
            <w:r>
              <w:rPr>
                <w:rFonts w:ascii="宋体" w:hAnsi="宋体" w:cs="宋体" w:eastAsia="宋体" w:hint="default"/>
                <w:sz w:val="18"/>
                <w:szCs w:val="18"/>
              </w:rPr>
              <w:t>面向交通行业的 北斗多模导航终 端研制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交通部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276,923.08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面向时空大数据 的开放脚本引擎 关键技术研究项 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交通部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269,230.76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230,769.24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1" w:right="33"/>
              <w:jc w:val="center"/>
              <w:rPr>
                <w:rFonts w:ascii="宋体" w:hAnsi="宋体" w:cs="宋体" w:eastAsia="宋体" w:hint="default"/>
                <w:sz w:val="18"/>
                <w:szCs w:val="18"/>
              </w:rPr>
            </w:pPr>
            <w:r>
              <w:rPr>
                <w:rFonts w:ascii="宋体" w:hAnsi="宋体" w:cs="宋体" w:eastAsia="宋体" w:hint="default"/>
                <w:sz w:val="18"/>
                <w:szCs w:val="18"/>
              </w:rPr>
              <w:t>科技北京百名领 军人物人才培养 工程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北京市科委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奖励</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200,000.00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基于分布层次集 群的云服务软件 产品研制及产业 化项目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北京市科委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400,000.00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面向时空大数据 的高性能</w:t>
            </w:r>
            <w:r>
              <w:rPr>
                <w:rFonts w:ascii="宋体" w:hAnsi="宋体" w:cs="宋体" w:eastAsia="宋体" w:hint="default"/>
                <w:spacing w:val="-46"/>
                <w:sz w:val="18"/>
                <w:szCs w:val="18"/>
              </w:rPr>
              <w:t> </w:t>
            </w:r>
            <w:r>
              <w:rPr>
                <w:rFonts w:ascii="Calibri" w:hAnsi="Calibri" w:cs="Calibri" w:eastAsia="Calibri" w:hint="default"/>
                <w:sz w:val="18"/>
                <w:szCs w:val="18"/>
              </w:rPr>
              <w:t>GIS</w:t>
            </w:r>
            <w:r>
              <w:rPr>
                <w:rFonts w:ascii="Calibri" w:hAnsi="Calibri" w:cs="Calibri" w:eastAsia="Calibri" w:hint="default"/>
                <w:spacing w:val="3"/>
                <w:sz w:val="18"/>
                <w:szCs w:val="18"/>
              </w:rPr>
              <w:t> </w:t>
            </w:r>
            <w:r>
              <w:rPr>
                <w:rFonts w:ascii="宋体" w:hAnsi="宋体" w:cs="宋体" w:eastAsia="宋体" w:hint="default"/>
                <w:sz w:val="18"/>
                <w:szCs w:val="18"/>
              </w:rPr>
              <w:t>关 键技术研发与平 台产品研制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600,000.00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57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面向海量地理信 息数据存储和并 行空间分析的高 性能</w:t>
            </w:r>
            <w:r>
              <w:rPr>
                <w:rFonts w:ascii="宋体" w:hAnsi="宋体" w:cs="宋体" w:eastAsia="宋体" w:hint="default"/>
                <w:spacing w:val="-46"/>
                <w:sz w:val="18"/>
                <w:szCs w:val="18"/>
              </w:rPr>
              <w:t> </w:t>
            </w:r>
            <w:r>
              <w:rPr>
                <w:rFonts w:ascii="Calibri" w:hAnsi="Calibri" w:cs="Calibri" w:eastAsia="Calibri" w:hint="default"/>
                <w:sz w:val="18"/>
                <w:szCs w:val="18"/>
              </w:rPr>
              <w:t>GIS</w:t>
            </w:r>
            <w:r>
              <w:rPr>
                <w:rFonts w:ascii="Calibri" w:hAnsi="Calibri" w:cs="Calibri" w:eastAsia="Calibri" w:hint="default"/>
                <w:spacing w:val="3"/>
                <w:sz w:val="18"/>
                <w:szCs w:val="18"/>
              </w:rPr>
              <w:t> </w:t>
            </w:r>
            <w:r>
              <w:rPr>
                <w:rFonts w:ascii="宋体" w:hAnsi="宋体" w:cs="宋体" w:eastAsia="宋体" w:hint="default"/>
                <w:sz w:val="18"/>
                <w:szCs w:val="18"/>
              </w:rPr>
              <w:t>系统研 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国家测绘局</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Calibri" w:hAnsi="Calibri" w:cs="Calibri" w:eastAsia="Calibri" w:hint="default"/>
                <w:sz w:val="18"/>
                <w:szCs w:val="18"/>
              </w:rPr>
            </w:pPr>
            <w:r>
              <w:rPr>
                <w:rFonts w:ascii="Calibri"/>
                <w:sz w:val="18"/>
              </w:rPr>
              <w:t>666,666.66</w:t>
            </w:r>
          </w:p>
        </w:tc>
        <w:tc>
          <w:tcPr>
            <w:tcW w:w="143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60"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31" w:right="33"/>
              <w:jc w:val="left"/>
              <w:rPr>
                <w:rFonts w:ascii="宋体" w:hAnsi="宋体" w:cs="宋体" w:eastAsia="宋体" w:hint="default"/>
                <w:sz w:val="18"/>
                <w:szCs w:val="18"/>
              </w:rPr>
            </w:pPr>
            <w:r>
              <w:rPr>
                <w:rFonts w:ascii="宋体" w:hAnsi="宋体" w:cs="宋体" w:eastAsia="宋体" w:hint="default"/>
                <w:sz w:val="18"/>
                <w:szCs w:val="18"/>
              </w:rPr>
              <w:t>空间数据存储标 准格式检查软件</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502" w:right="53" w:hanging="450"/>
              <w:jc w:val="left"/>
              <w:rPr>
                <w:rFonts w:ascii="宋体" w:hAnsi="宋体" w:cs="宋体" w:eastAsia="宋体" w:hint="default"/>
                <w:sz w:val="18"/>
                <w:szCs w:val="18"/>
              </w:rPr>
            </w:pPr>
            <w:r>
              <w:rPr>
                <w:rFonts w:ascii="宋体" w:hAnsi="宋体" w:cs="宋体" w:eastAsia="宋体" w:hint="default"/>
                <w:sz w:val="18"/>
                <w:szCs w:val="18"/>
              </w:rPr>
              <w:t>国家质量监督 局</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 w:right="161" w:hanging="24"/>
              <w:jc w:val="both"/>
              <w:rPr>
                <w:rFonts w:ascii="宋体" w:hAnsi="宋体" w:cs="宋体" w:eastAsia="宋体" w:hint="default"/>
                <w:sz w:val="18"/>
                <w:szCs w:val="18"/>
              </w:rPr>
            </w:pPr>
            <w:r>
              <w:rPr>
                <w:rFonts w:ascii="宋体" w:hAnsi="宋体" w:cs="宋体" w:eastAsia="宋体" w:hint="default"/>
                <w:sz w:val="18"/>
                <w:szCs w:val="18"/>
              </w:rPr>
              <w:t>因研究开发、 技术更新和改 造而获得的补 助</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60,000.00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 w:right="33"/>
              <w:jc w:val="center"/>
              <w:rPr>
                <w:rFonts w:ascii="宋体" w:hAnsi="宋体" w:cs="宋体" w:eastAsia="宋体" w:hint="default"/>
                <w:sz w:val="18"/>
                <w:szCs w:val="18"/>
              </w:rPr>
            </w:pPr>
            <w:r>
              <w:rPr>
                <w:rFonts w:ascii="宋体" w:hAnsi="宋体" w:cs="宋体" w:eastAsia="宋体" w:hint="default"/>
                <w:sz w:val="18"/>
                <w:szCs w:val="18"/>
              </w:rPr>
              <w:t>其他一次性计入 当期损益的各种 补贴、奖励、扶 持资金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补助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 w:right="93" w:firstLine="182"/>
              <w:jc w:val="left"/>
              <w:rPr>
                <w:rFonts w:ascii="宋体" w:hAnsi="宋体" w:cs="宋体" w:eastAsia="宋体" w:hint="default"/>
                <w:sz w:val="18"/>
                <w:szCs w:val="18"/>
              </w:rPr>
            </w:pPr>
            <w:r>
              <w:rPr>
                <w:rFonts w:ascii="宋体" w:hAnsi="宋体" w:cs="宋体" w:eastAsia="宋体" w:hint="default"/>
                <w:sz w:val="18"/>
                <w:szCs w:val="18"/>
              </w:rPr>
              <w:t>因从事国家 鼓励和扶持 特定行业、产 业而获得的</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905,047.51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177,594.96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302" w:right="29" w:hanging="272"/>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84" w:footer="1085" w:top="1300" w:bottom="1280" w:left="1080" w:right="840"/>
        </w:sectPr>
      </w:pPr>
    </w:p>
    <w:p>
      <w:pPr>
        <w:spacing w:line="240" w:lineRule="auto" w:before="10"/>
        <w:rPr>
          <w:rFonts w:ascii="Times New Roman" w:hAnsi="Times New Roman" w:cs="Times New Roman" w:eastAsia="Times New Roman" w:hint="default"/>
          <w:sz w:val="10"/>
          <w:szCs w:val="10"/>
        </w:rPr>
      </w:pPr>
    </w:p>
    <w:tbl>
      <w:tblPr>
        <w:tblW w:w="0" w:type="auto"/>
        <w:jc w:val="left"/>
        <w:tblInd w:w="622" w:type="dxa"/>
        <w:tblLayout w:type="fixed"/>
        <w:tblCellMar>
          <w:top w:w="0" w:type="dxa"/>
          <w:left w:w="0" w:type="dxa"/>
          <w:bottom w:w="0" w:type="dxa"/>
          <w:right w:w="0" w:type="dxa"/>
        </w:tblCellMar>
        <w:tblLook w:val="01E0"/>
      </w:tblPr>
      <w:tblGrid>
        <w:gridCol w:w="1337"/>
        <w:gridCol w:w="1198"/>
        <w:gridCol w:w="586"/>
        <w:gridCol w:w="1272"/>
        <w:gridCol w:w="590"/>
        <w:gridCol w:w="456"/>
        <w:gridCol w:w="1541"/>
        <w:gridCol w:w="1433"/>
        <w:gridCol w:w="792"/>
      </w:tblGrid>
      <w:tr>
        <w:trPr>
          <w:trHeight w:val="32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Calibri" w:hAnsi="Calibri" w:cs="Calibri" w:eastAsia="Calibri" w:hint="default"/>
                <w:sz w:val="18"/>
                <w:szCs w:val="18"/>
              </w:rPr>
            </w:pPr>
            <w:r>
              <w:rPr>
                <w:rFonts w:ascii="Calibri"/>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2"/>
              <w:jc w:val="center"/>
              <w:rPr>
                <w:rFonts w:ascii="Calibri" w:hAnsi="Calibri" w:cs="Calibri" w:eastAsia="Calibri" w:hint="default"/>
                <w:sz w:val="18"/>
                <w:szCs w:val="18"/>
              </w:rPr>
            </w:pPr>
            <w:r>
              <w:rPr>
                <w:rFonts w:ascii="Calibri"/>
                <w:sz w:val="18"/>
              </w:rPr>
              <w:t>--</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3"/>
              <w:jc w:val="center"/>
              <w:rPr>
                <w:rFonts w:ascii="Calibri" w:hAnsi="Calibri" w:cs="Calibri" w:eastAsia="Calibri" w:hint="default"/>
                <w:sz w:val="18"/>
                <w:szCs w:val="18"/>
              </w:rPr>
            </w:pPr>
            <w:r>
              <w:rPr>
                <w:rFonts w:ascii="Calibri"/>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2"/>
              <w:jc w:val="center"/>
              <w:rPr>
                <w:rFonts w:ascii="Calibri" w:hAnsi="Calibri" w:cs="Calibri" w:eastAsia="Calibri" w:hint="default"/>
                <w:sz w:val="18"/>
                <w:szCs w:val="18"/>
              </w:rPr>
            </w:pPr>
            <w:r>
              <w:rPr>
                <w:rFonts w:ascii="Calibri"/>
                <w:sz w:val="18"/>
              </w:rPr>
              <w:t>--</w:t>
            </w:r>
          </w:p>
        </w:tc>
        <w:tc>
          <w:tcPr>
            <w:tcW w:w="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Calibri" w:hAnsi="Calibri" w:cs="Calibri" w:eastAsia="Calibri" w:hint="default"/>
                <w:sz w:val="18"/>
                <w:szCs w:val="18"/>
              </w:rPr>
            </w:pPr>
            <w:r>
              <w:rPr>
                <w:rFonts w:ascii="Calibri"/>
                <w:sz w:val="18"/>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8" w:right="0"/>
              <w:jc w:val="left"/>
              <w:rPr>
                <w:rFonts w:ascii="Calibri" w:hAnsi="Calibri" w:cs="Calibri" w:eastAsia="Calibri" w:hint="default"/>
                <w:sz w:val="18"/>
                <w:szCs w:val="18"/>
              </w:rPr>
            </w:pPr>
            <w:r>
              <w:rPr>
                <w:rFonts w:ascii="Calibri"/>
                <w:sz w:val="18"/>
              </w:rPr>
              <w:t>23,098,780.20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50" w:right="0"/>
              <w:jc w:val="left"/>
              <w:rPr>
                <w:rFonts w:ascii="Calibri" w:hAnsi="Calibri" w:cs="Calibri" w:eastAsia="Calibri" w:hint="default"/>
                <w:sz w:val="18"/>
                <w:szCs w:val="18"/>
              </w:rPr>
            </w:pPr>
            <w:r>
              <w:rPr>
                <w:rFonts w:ascii="Calibri"/>
                <w:sz w:val="18"/>
              </w:rPr>
              <w:t>24,105,614.50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Calibri" w:hAnsi="Calibri" w:cs="Calibri" w:eastAsia="Calibri" w:hint="default"/>
                <w:sz w:val="18"/>
                <w:szCs w:val="18"/>
              </w:rPr>
            </w:pPr>
            <w:r>
              <w:rPr>
                <w:rFonts w:ascii="Calibri"/>
                <w:sz w:val="18"/>
              </w:rPr>
              <w:t>--</w:t>
            </w:r>
          </w:p>
        </w:tc>
      </w:tr>
    </w:tbl>
    <w:p>
      <w:pPr>
        <w:pStyle w:val="Heading2"/>
        <w:spacing w:line="380" w:lineRule="exact"/>
        <w:ind w:right="225"/>
        <w:jc w:val="left"/>
        <w:rPr>
          <w:b w:val="0"/>
          <w:bCs w:val="0"/>
        </w:rPr>
      </w:pPr>
      <w:r>
        <w:rPr>
          <w:rFonts w:ascii="Times New Roman" w:hAnsi="Times New Roman" w:cs="Times New Roman" w:eastAsia="Times New Roman" w:hint="default"/>
        </w:rPr>
        <w:t>70</w:t>
      </w:r>
      <w:r>
        <w:rPr/>
        <w:t>、营业外支出</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297"/>
        <w:gridCol w:w="2307"/>
        <w:gridCol w:w="2300"/>
        <w:gridCol w:w="2302"/>
      </w:tblGrid>
      <w:tr>
        <w:trPr>
          <w:trHeight w:val="634"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计入当期非经常性损益</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的金额</w:t>
            </w:r>
            <w:r>
              <w:rPr>
                <w:rFonts w:ascii="Microsoft JhengHei" w:hAnsi="Microsoft JhengHei" w:cs="Microsoft JhengHei" w:eastAsia="Microsoft JhengHei" w:hint="default"/>
                <w:sz w:val="21"/>
                <w:szCs w:val="21"/>
              </w:rPr>
            </w:r>
          </w:p>
        </w:tc>
      </w:tr>
      <w:tr>
        <w:trPr>
          <w:trHeight w:val="636"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6" w:right="91" w:hanging="946"/>
              <w:jc w:val="left"/>
              <w:rPr>
                <w:rFonts w:ascii="宋体" w:hAnsi="宋体" w:cs="宋体" w:eastAsia="宋体" w:hint="default"/>
                <w:sz w:val="21"/>
                <w:szCs w:val="21"/>
              </w:rPr>
            </w:pPr>
            <w:r>
              <w:rPr>
                <w:rFonts w:ascii="宋体" w:hAnsi="宋体" w:cs="宋体" w:eastAsia="宋体" w:hint="default"/>
                <w:spacing w:val="-2"/>
                <w:sz w:val="21"/>
                <w:szCs w:val="21"/>
              </w:rPr>
              <w:t>非流动资产处置损失合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394,640.10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227,725.04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394,640.10</w:t>
            </w:r>
          </w:p>
        </w:tc>
      </w:tr>
      <w:tr>
        <w:trPr>
          <w:trHeight w:val="634"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36" w:right="91" w:hanging="946"/>
              <w:jc w:val="left"/>
              <w:rPr>
                <w:rFonts w:ascii="宋体" w:hAnsi="宋体" w:cs="宋体" w:eastAsia="宋体" w:hint="default"/>
                <w:sz w:val="21"/>
                <w:szCs w:val="21"/>
              </w:rPr>
            </w:pPr>
            <w:r>
              <w:rPr>
                <w:rFonts w:ascii="宋体" w:hAnsi="宋体" w:cs="宋体" w:eastAsia="宋体" w:hint="default"/>
                <w:spacing w:val="-2"/>
                <w:sz w:val="21"/>
                <w:szCs w:val="21"/>
              </w:rPr>
              <w:t>其中：固定资产处置损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失</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394,640.10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227,725.04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394,640.10</w:t>
            </w:r>
          </w:p>
        </w:tc>
      </w:tr>
      <w:tr>
        <w:trPr>
          <w:trHeight w:val="322"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对外捐赠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25,000.00</w:t>
            </w:r>
          </w:p>
        </w:tc>
        <w:tc>
          <w:tcPr>
            <w:tcW w:w="23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罚没支出</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34,540.30</w:t>
            </w:r>
          </w:p>
        </w:tc>
        <w:tc>
          <w:tcPr>
            <w:tcW w:w="23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其他支出</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51,972.75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34,688.01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51,972.75</w:t>
            </w:r>
          </w:p>
        </w:tc>
      </w:tr>
      <w:tr>
        <w:trPr>
          <w:trHeight w:val="324" w:hRule="exact"/>
        </w:trPr>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446,612.85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321,953.35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446,612.85</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840"/>
        </w:sectPr>
      </w:pPr>
    </w:p>
    <w:p>
      <w:pPr>
        <w:pStyle w:val="Heading2"/>
        <w:spacing w:line="380" w:lineRule="exact"/>
        <w:ind w:right="-13"/>
        <w:jc w:val="left"/>
        <w:rPr>
          <w:b w:val="0"/>
          <w:bCs w:val="0"/>
        </w:rPr>
      </w:pPr>
      <w:r>
        <w:rPr>
          <w:rFonts w:ascii="Times New Roman" w:hAnsi="Times New Roman" w:cs="Times New Roman" w:eastAsia="Times New Roman" w:hint="default"/>
        </w:rPr>
        <w:t>71</w:t>
      </w:r>
      <w:r>
        <w:rPr/>
        <w:t>、所得税费用</w:t>
      </w:r>
      <w:r>
        <w:rPr>
          <w:b w:val="0"/>
          <w:bCs w:val="0"/>
        </w:rPr>
      </w:r>
    </w:p>
    <w:p>
      <w:pPr>
        <w:spacing w:before="50"/>
        <w:ind w:left="1101" w:right="-1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）所得税费用表</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32"/>
          <w:szCs w:val="32"/>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149" w:space="4506"/>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当期所得税费用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7,600,455.85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6,439,983.84</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递延所得税费用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-2,715,981.72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-431,582.50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4,884,474.13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6,008,401.34</w:t>
            </w:r>
          </w:p>
        </w:tc>
      </w:tr>
    </w:tbl>
    <w:p>
      <w:pPr>
        <w:spacing w:line="240" w:lineRule="auto" w:before="12"/>
        <w:rPr>
          <w:rFonts w:ascii="宋体" w:hAnsi="宋体" w:cs="宋体" w:eastAsia="宋体" w:hint="default"/>
          <w:sz w:val="23"/>
          <w:szCs w:val="23"/>
        </w:rPr>
      </w:pPr>
    </w:p>
    <w:p>
      <w:pPr>
        <w:pStyle w:val="Heading2"/>
        <w:spacing w:line="367" w:lineRule="exact"/>
        <w:ind w:right="22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before="26"/>
        <w:ind w:left="0" w:right="147"/>
        <w:jc w:val="right"/>
      </w:pPr>
      <w:r>
        <w:rPr/>
        <w:t>单位： 元</w:t>
      </w: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4597"/>
        <w:gridCol w:w="4609"/>
      </w:tblGrid>
      <w:tr>
        <w:trPr>
          <w:trHeight w:val="318"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4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r>
      <w:tr>
        <w:trPr>
          <w:trHeight w:val="326"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63,197,685.28</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9,479,652.79</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-147,023.64</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-483,678.53</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3,468,254.18</w:t>
            </w:r>
          </w:p>
        </w:tc>
      </w:tr>
      <w:tr>
        <w:trPr>
          <w:trHeight w:val="635"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81" w:right="84" w:hanging="1995"/>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影响</w:t>
            </w:r>
          </w:p>
        </w:tc>
        <w:tc>
          <w:tcPr>
            <w:tcW w:w="46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-309.83</w:t>
            </w:r>
          </w:p>
        </w:tc>
      </w:tr>
      <w:tr>
        <w:trPr>
          <w:trHeight w:val="634"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46" w:right="84" w:hanging="1260"/>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或可抵扣亏损的影响</w:t>
            </w:r>
          </w:p>
        </w:tc>
        <w:tc>
          <w:tcPr>
            <w:tcW w:w="46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-353,517.33</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-7,046.32</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-2,569,240.41</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填列）</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-4,502,616.79</w:t>
            </w:r>
          </w:p>
        </w:tc>
      </w:tr>
      <w:tr>
        <w:trPr>
          <w:trHeight w:val="324"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4,884,474.13</w:t>
            </w:r>
          </w:p>
        </w:tc>
      </w:tr>
    </w:tbl>
    <w:p>
      <w:pPr>
        <w:spacing w:after="0" w:line="240" w:lineRule="auto"/>
        <w:jc w:val="right"/>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4" w:footer="1085" w:top="1300" w:bottom="1280" w:left="1080" w:right="840"/>
        </w:sectPr>
      </w:pPr>
    </w:p>
    <w:p>
      <w:pPr>
        <w:pStyle w:val="Heading2"/>
        <w:spacing w:line="367" w:lineRule="exact"/>
        <w:ind w:left="1582" w:right="-4" w:hanging="480"/>
        <w:jc w:val="left"/>
        <w:rPr>
          <w:b w:val="0"/>
          <w:bCs w:val="0"/>
        </w:rPr>
      </w:pPr>
      <w:r>
        <w:rPr>
          <w:rFonts w:ascii="Times New Roman" w:hAnsi="Times New Roman" w:cs="Times New Roman" w:eastAsia="Times New Roman" w:hint="default"/>
        </w:rPr>
        <w:t>72</w:t>
      </w:r>
      <w:r>
        <w:rPr/>
        <w:t>、其他综合收益</w:t>
      </w:r>
      <w:r>
        <w:rPr>
          <w:b w:val="0"/>
          <w:bCs w:val="0"/>
        </w:rPr>
      </w:r>
    </w:p>
    <w:p>
      <w:pPr>
        <w:pStyle w:val="BodyText"/>
        <w:spacing w:line="240" w:lineRule="auto" w:before="126"/>
        <w:ind w:left="1582" w:right="-4"/>
        <w:jc w:val="left"/>
      </w:pPr>
      <w:r>
        <w:rPr/>
        <w:t>详见附注</w:t>
      </w:r>
      <w:r>
        <w:rPr>
          <w:spacing w:val="-60"/>
        </w:rPr>
        <w:t> </w:t>
      </w:r>
      <w:r>
        <w:rPr>
          <w:rFonts w:ascii="Calibri" w:hAnsi="Calibri" w:cs="Calibri" w:eastAsia="Calibri" w:hint="default"/>
        </w:rPr>
        <w:t>57</w:t>
      </w:r>
      <w:r>
        <w:rPr/>
        <w:t>。</w:t>
      </w:r>
    </w:p>
    <w:p>
      <w:pPr>
        <w:pStyle w:val="Heading2"/>
        <w:spacing w:line="240" w:lineRule="auto" w:before="47"/>
        <w:ind w:right="-4"/>
        <w:jc w:val="left"/>
        <w:rPr>
          <w:b w:val="0"/>
          <w:bCs w:val="0"/>
        </w:rPr>
      </w:pPr>
      <w:r>
        <w:rPr>
          <w:rFonts w:ascii="Times New Roman" w:hAnsi="Times New Roman" w:cs="Times New Roman" w:eastAsia="Times New Roman" w:hint="default"/>
        </w:rPr>
        <w:t>73</w:t>
      </w:r>
      <w:r>
        <w:rPr/>
        <w:t>、现金流量表项目</w:t>
      </w:r>
      <w:r>
        <w:rPr>
          <w:b w:val="0"/>
          <w:bCs w:val="0"/>
        </w:rPr>
      </w:r>
    </w:p>
    <w:p>
      <w:pPr>
        <w:spacing w:before="50"/>
        <w:ind w:left="1101" w:right="-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）收到的其他与经营活动有关的现金</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
        <w:rPr>
          <w:rFonts w:ascii="Microsoft JhengHei" w:hAnsi="Microsoft JhengHei" w:cs="Microsoft JhengHei" w:eastAsia="Microsoft JhengHei" w:hint="default"/>
          <w:b/>
          <w:bCs/>
          <w:sz w:val="13"/>
          <w:szCs w:val="13"/>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5318" w:space="2337"/>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6"/>
        <w:gridCol w:w="3071"/>
        <w:gridCol w:w="3068"/>
      </w:tblGrid>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收政府补助资金</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9,165,880.84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3,122,839.62</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收回备用金及保证金</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9,746,782.23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4,864,125.68</w:t>
            </w:r>
          </w:p>
        </w:tc>
      </w:tr>
      <w:tr>
        <w:trPr>
          <w:trHeight w:val="324"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收其他各项往来款</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2,838,083.58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235,644.01</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利息收入及其他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737,490.24</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22,488,236.89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8,222,609.31</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6"/>
        <w:gridCol w:w="3071"/>
        <w:gridCol w:w="3068"/>
      </w:tblGrid>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付办公费用</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39,744,882.67</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36,065,875.37</w:t>
            </w:r>
          </w:p>
        </w:tc>
      </w:tr>
      <w:tr>
        <w:trPr>
          <w:trHeight w:val="324"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付销售费用</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42,606,090.85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34,663,474.18</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付备用金及保证金</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16,960,692.17</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21,061,062.88</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银行手续费</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633,615.88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206,736.74</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99,945,281.57</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91,997,149.17</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6"/>
        <w:gridCol w:w="3071"/>
        <w:gridCol w:w="3068"/>
      </w:tblGrid>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2,542,010.49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2,515,448.99</w:t>
            </w: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受限资金收回</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125,641,255.25</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128,183,265.74</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2,515,448.99</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期末未到期定期存款</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136,000,000.00</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支付收购子公司费用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69" w:right="0"/>
              <w:jc w:val="left"/>
              <w:rPr>
                <w:rFonts w:ascii="Calibri" w:hAnsi="Calibri" w:cs="Calibri" w:eastAsia="Calibri" w:hint="default"/>
                <w:sz w:val="21"/>
                <w:szCs w:val="21"/>
              </w:rPr>
            </w:pPr>
            <w:r>
              <w:rPr>
                <w:rFonts w:ascii="Calibri"/>
                <w:sz w:val="21"/>
              </w:rPr>
              <w:t>1,055,019.00</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9" w:right="0"/>
              <w:jc w:val="left"/>
              <w:rPr>
                <w:rFonts w:ascii="Calibri" w:hAnsi="Calibri" w:cs="Calibri" w:eastAsia="Calibri" w:hint="default"/>
                <w:sz w:val="21"/>
                <w:szCs w:val="21"/>
              </w:rPr>
            </w:pPr>
            <w:r>
              <w:rPr>
                <w:rFonts w:ascii="Calibri"/>
                <w:sz w:val="21"/>
              </w:rPr>
              <w:t>1,055,019.00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136,000,000.00</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收拟发行股份的保证金</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9" w:right="0"/>
              <w:jc w:val="left"/>
              <w:rPr>
                <w:rFonts w:ascii="Calibri" w:hAnsi="Calibri" w:cs="Calibri" w:eastAsia="Calibri" w:hint="default"/>
                <w:sz w:val="21"/>
                <w:szCs w:val="21"/>
              </w:rPr>
            </w:pPr>
            <w:r>
              <w:rPr>
                <w:rFonts w:ascii="Calibri"/>
                <w:sz w:val="21"/>
              </w:rPr>
              <w:t>8,802,511.59</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9" w:right="0"/>
              <w:jc w:val="left"/>
              <w:rPr>
                <w:rFonts w:ascii="Calibri" w:hAnsi="Calibri" w:cs="Calibri" w:eastAsia="Calibri" w:hint="default"/>
                <w:sz w:val="21"/>
                <w:szCs w:val="21"/>
              </w:rPr>
            </w:pPr>
            <w:r>
              <w:rPr>
                <w:rFonts w:ascii="Calibri"/>
                <w:sz w:val="21"/>
              </w:rPr>
              <w:t>8,802,511.59</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pStyle w:val="BodyText"/>
        <w:spacing w:line="240" w:lineRule="auto" w:before="126"/>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回购限制性股票</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8" w:right="0"/>
              <w:jc w:val="left"/>
              <w:rPr>
                <w:rFonts w:ascii="Calibri" w:hAnsi="Calibri" w:cs="Calibri" w:eastAsia="Calibri" w:hint="default"/>
                <w:sz w:val="21"/>
                <w:szCs w:val="21"/>
              </w:rPr>
            </w:pPr>
            <w:r>
              <w:rPr>
                <w:rFonts w:ascii="Calibri"/>
                <w:sz w:val="21"/>
              </w:rPr>
              <w:t>394,286.08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868,550.00</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8" w:right="0"/>
              <w:jc w:val="left"/>
              <w:rPr>
                <w:rFonts w:ascii="Calibri" w:hAnsi="Calibri" w:cs="Calibri" w:eastAsia="Calibri" w:hint="default"/>
                <w:sz w:val="21"/>
                <w:szCs w:val="21"/>
              </w:rPr>
            </w:pPr>
            <w:r>
              <w:rPr>
                <w:rFonts w:ascii="Calibri"/>
                <w:sz w:val="21"/>
              </w:rPr>
              <w:t>394,286.08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868,550.00</w:t>
            </w:r>
          </w:p>
        </w:tc>
      </w:tr>
    </w:tbl>
    <w:p>
      <w:pPr>
        <w:spacing w:after="0" w:line="240" w:lineRule="auto"/>
        <w:jc w:val="center"/>
        <w:rPr>
          <w:rFonts w:ascii="Calibri" w:hAnsi="Calibri" w:cs="Calibri" w:eastAsia="Calibri" w:hint="default"/>
          <w:sz w:val="21"/>
          <w:szCs w:val="21"/>
        </w:rPr>
        <w:sectPr>
          <w:pgSz w:w="11910" w:h="16840"/>
          <w:pgMar w:header="884" w:footer="1085" w:top="1300" w:bottom="1280" w:left="1080" w:right="840"/>
        </w:sectPr>
      </w:pPr>
    </w:p>
    <w:p>
      <w:pPr>
        <w:pStyle w:val="Heading2"/>
        <w:spacing w:line="380" w:lineRule="exact"/>
        <w:ind w:right="-8"/>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before="50"/>
        <w:ind w:left="1101" w:right="-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）现金流量表补充资料</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32"/>
          <w:szCs w:val="32"/>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874" w:space="3782"/>
            <w:col w:w="2334"/>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202"/>
        <w:gridCol w:w="2943"/>
        <w:gridCol w:w="3061"/>
      </w:tblGrid>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61" w:hRule="exact"/>
        </w:trPr>
        <w:tc>
          <w:tcPr>
            <w:tcW w:w="3202" w:type="dxa"/>
            <w:vMerge w:val="restart"/>
            <w:tcBorders>
              <w:top w:val="single" w:sz="4" w:space="0" w:color="000000"/>
              <w:left w:val="single" w:sz="4" w:space="0" w:color="000000"/>
              <w:right w:val="single" w:sz="4" w:space="0" w:color="000000"/>
            </w:tcBorders>
            <w:shd w:val="clear" w:color="auto" w:fill="D2D2D2"/>
          </w:tcPr>
          <w:p>
            <w:pPr>
              <w:pStyle w:val="TableParagraph"/>
              <w:spacing w:line="247" w:lineRule="auto"/>
              <w:ind w:left="21" w:right="118"/>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．将净利润调节为经营活动现金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流量：</w:t>
            </w:r>
          </w:p>
        </w:tc>
        <w:tc>
          <w:tcPr>
            <w:tcW w:w="2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02" w:type="dxa"/>
            <w:vMerge/>
            <w:tcBorders>
              <w:left w:val="single" w:sz="4" w:space="0" w:color="000000"/>
              <w:right w:val="single" w:sz="4" w:space="0" w:color="000000"/>
            </w:tcBorders>
            <w:shd w:val="clear" w:color="auto" w:fill="D2D2D2"/>
          </w:tcPr>
          <w:p>
            <w:pPr/>
          </w:p>
        </w:tc>
        <w:tc>
          <w:tcPr>
            <w:tcW w:w="2943" w:type="dxa"/>
            <w:tcBorders>
              <w:top w:val="nil" w:sz="6" w:space="0" w:color="auto"/>
              <w:left w:val="single" w:sz="13" w:space="0" w:color="D2D2D2"/>
              <w:bottom w:val="nil" w:sz="6" w:space="0" w:color="auto"/>
              <w:right w:val="single" w:sz="4" w:space="0" w:color="000000"/>
            </w:tcBorders>
          </w:tcPr>
          <w:p>
            <w:pPr>
              <w:pStyle w:val="TableParagraph"/>
              <w:tabs>
                <w:tab w:pos="2757" w:val="left" w:leader="none"/>
              </w:tabs>
              <w:spacing w:line="240" w:lineRule="auto" w:before="28"/>
              <w:ind w:right="12"/>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r>
            <w:r>
              <w:rPr>
                <w:rFonts w:ascii="Calibri"/>
                <w:sz w:val="21"/>
              </w:rPr>
            </w:r>
          </w:p>
        </w:tc>
        <w:tc>
          <w:tcPr>
            <w:tcW w:w="3061" w:type="dxa"/>
            <w:tcBorders>
              <w:top w:val="nil" w:sz="6" w:space="0" w:color="auto"/>
              <w:left w:val="single" w:sz="4" w:space="0" w:color="000000"/>
              <w:bottom w:val="nil" w:sz="6" w:space="0" w:color="auto"/>
              <w:right w:val="single" w:sz="4" w:space="0" w:color="000000"/>
            </w:tcBorders>
          </w:tcPr>
          <w:p>
            <w:pPr>
              <w:pStyle w:val="TableParagraph"/>
              <w:tabs>
                <w:tab w:pos="2875" w:val="left" w:leader="none"/>
              </w:tabs>
              <w:spacing w:line="240" w:lineRule="auto" w:before="28"/>
              <w:ind w:right="0"/>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r>
            <w:r>
              <w:rPr>
                <w:rFonts w:ascii="Calibri"/>
                <w:sz w:val="21"/>
              </w:rPr>
            </w:r>
          </w:p>
        </w:tc>
      </w:tr>
      <w:tr>
        <w:trPr>
          <w:trHeight w:val="161" w:hRule="exact"/>
        </w:trPr>
        <w:tc>
          <w:tcPr>
            <w:tcW w:w="3202" w:type="dxa"/>
            <w:vMerge/>
            <w:tcBorders>
              <w:left w:val="single" w:sz="4" w:space="0" w:color="000000"/>
              <w:bottom w:val="single" w:sz="4" w:space="0" w:color="000000"/>
              <w:right w:val="single" w:sz="4" w:space="0" w:color="000000"/>
            </w:tcBorders>
            <w:shd w:val="clear" w:color="auto" w:fill="D2D2D2"/>
          </w:tcPr>
          <w:p>
            <w:pPr/>
          </w:p>
        </w:tc>
        <w:tc>
          <w:tcPr>
            <w:tcW w:w="2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58,313,211.15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45,719,757.94</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4,423,157.62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6,825,930.47</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223"/>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生产性生物资产折旧</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center"/>
              <w:rPr>
                <w:rFonts w:ascii="Calibri" w:hAnsi="Calibri" w:cs="Calibri" w:eastAsia="Calibri" w:hint="default"/>
                <w:sz w:val="21"/>
                <w:szCs w:val="21"/>
              </w:rPr>
            </w:pPr>
            <w:r>
              <w:rPr>
                <w:rFonts w:ascii="Calibri"/>
                <w:sz w:val="21"/>
              </w:rPr>
              <w:t>13,981,155.92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12,939,524.82</w:t>
            </w:r>
          </w:p>
        </w:tc>
      </w:tr>
      <w:tr>
        <w:trPr>
          <w:trHeight w:val="32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9,951,491.77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Calibri" w:hAnsi="Calibri" w:cs="Calibri" w:eastAsia="Calibri" w:hint="default"/>
                <w:sz w:val="21"/>
                <w:szCs w:val="21"/>
              </w:rPr>
            </w:pPr>
            <w:r>
              <w:rPr>
                <w:rFonts w:ascii="Calibri"/>
                <w:sz w:val="21"/>
              </w:rPr>
              <w:t>8,436,749.68</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19,108.05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184,938.76</w:t>
            </w:r>
          </w:p>
        </w:tc>
      </w:tr>
      <w:tr>
        <w:trPr>
          <w:trHeight w:val="946"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ind w:left="21" w:right="53"/>
              <w:jc w:val="left"/>
              <w:rPr>
                <w:rFonts w:ascii="宋体" w:hAnsi="宋体" w:cs="宋体" w:eastAsia="宋体" w:hint="default"/>
                <w:sz w:val="21"/>
                <w:szCs w:val="21"/>
              </w:rPr>
            </w:pPr>
            <w:r>
              <w:rPr>
                <w:rFonts w:ascii="宋体" w:hAnsi="宋体" w:cs="宋体" w:eastAsia="宋体" w:hint="default"/>
                <w:sz w:val="21"/>
                <w:szCs w:val="21"/>
              </w:rPr>
              <w:t>处置固定资产、无形资产和其他</w:t>
            </w:r>
            <w:r>
              <w:rPr>
                <w:rFonts w:ascii="宋体" w:hAnsi="宋体" w:cs="宋体" w:eastAsia="宋体" w:hint="default"/>
                <w:w w:val="100"/>
                <w:sz w:val="21"/>
                <w:szCs w:val="21"/>
              </w:rPr>
              <w:t> </w:t>
            </w:r>
            <w:r>
              <w:rPr>
                <w:rFonts w:ascii="宋体" w:hAnsi="宋体" w:cs="宋体" w:eastAsia="宋体" w:hint="default"/>
                <w:spacing w:val="-2"/>
                <w:sz w:val="21"/>
                <w:szCs w:val="21"/>
              </w:rPr>
              <w:t>长期资产的损失（收益以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2"/>
              <w:jc w:val="center"/>
              <w:rPr>
                <w:rFonts w:ascii="Calibri" w:hAnsi="Calibri" w:cs="Calibri" w:eastAsia="Calibri" w:hint="default"/>
                <w:sz w:val="21"/>
                <w:szCs w:val="21"/>
              </w:rPr>
            </w:pPr>
            <w:r>
              <w:rPr>
                <w:rFonts w:ascii="Calibri"/>
                <w:sz w:val="21"/>
              </w:rPr>
              <w:t>394,369.55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220,160.93</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-3,067,216.11</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-3,691,153.57</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-125,766.08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637,802.98</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号填列）</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
              <w:jc w:val="center"/>
              <w:rPr>
                <w:rFonts w:ascii="Calibri" w:hAnsi="Calibri" w:cs="Calibri" w:eastAsia="Calibri" w:hint="default"/>
                <w:sz w:val="21"/>
                <w:szCs w:val="21"/>
              </w:rPr>
            </w:pPr>
            <w:r>
              <w:rPr>
                <w:rFonts w:ascii="Calibri"/>
                <w:sz w:val="21"/>
              </w:rPr>
              <w:t>-2,477,232.59</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-439,128.37</w:t>
            </w:r>
          </w:p>
        </w:tc>
      </w:tr>
      <w:tr>
        <w:trPr>
          <w:trHeight w:val="636"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1" w:right="48"/>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Calibri" w:hAnsi="Calibri" w:cs="Calibri" w:eastAsia="Calibri" w:hint="default"/>
                <w:spacing w:val="-15"/>
                <w:sz w:val="21"/>
                <w:szCs w:val="21"/>
              </w:rPr>
              <w:t> </w:t>
            </w:r>
            <w:r>
              <w:rPr>
                <w:rFonts w:ascii="宋体" w:hAnsi="宋体" w:cs="宋体" w:eastAsia="宋体" w:hint="default"/>
                <w:sz w:val="21"/>
                <w:szCs w:val="21"/>
              </w:rPr>
              <w:t>号填列）</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
              <w:jc w:val="center"/>
              <w:rPr>
                <w:rFonts w:ascii="Calibri" w:hAnsi="Calibri" w:cs="Calibri" w:eastAsia="Calibri" w:hint="default"/>
                <w:sz w:val="21"/>
                <w:szCs w:val="21"/>
              </w:rPr>
            </w:pPr>
            <w:r>
              <w:rPr>
                <w:rFonts w:ascii="Calibri"/>
                <w:sz w:val="21"/>
              </w:rPr>
              <w:t>-60,188.61</w:t>
            </w:r>
          </w:p>
        </w:tc>
        <w:tc>
          <w:tcPr>
            <w:tcW w:w="30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-275,791.74</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1,481,873.28</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40" w:lineRule="auto" w:before="37"/>
              <w:ind w:left="21"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
              <w:jc w:val="center"/>
              <w:rPr>
                <w:rFonts w:ascii="Calibri" w:hAnsi="Calibri" w:cs="Calibri" w:eastAsia="Calibri" w:hint="default"/>
                <w:sz w:val="21"/>
                <w:szCs w:val="21"/>
              </w:rPr>
            </w:pPr>
            <w:r>
              <w:rPr>
                <w:rFonts w:ascii="Calibri"/>
                <w:sz w:val="21"/>
              </w:rPr>
              <w:t>-8,058,327.25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-15,480,061.97</w:t>
            </w:r>
          </w:p>
        </w:tc>
      </w:tr>
      <w:tr>
        <w:trPr>
          <w:trHeight w:val="63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40" w:lineRule="auto" w:before="37"/>
              <w:ind w:right="3"/>
              <w:jc w:val="center"/>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center"/>
              <w:rPr>
                <w:rFonts w:ascii="Calibri" w:hAnsi="Calibri" w:cs="Calibri" w:eastAsia="Calibri" w:hint="default"/>
                <w:sz w:val="21"/>
                <w:szCs w:val="21"/>
              </w:rPr>
            </w:pPr>
            <w:r>
              <w:rPr>
                <w:rFonts w:ascii="Calibri"/>
                <w:sz w:val="21"/>
              </w:rPr>
              <w:t>56,028,908.52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21,975,812.15</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129,046,880.20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78,812,207.10</w:t>
            </w:r>
          </w:p>
        </w:tc>
      </w:tr>
      <w:tr>
        <w:trPr>
          <w:trHeight w:val="161" w:hRule="exact"/>
        </w:trPr>
        <w:tc>
          <w:tcPr>
            <w:tcW w:w="3202" w:type="dxa"/>
            <w:vMerge w:val="restart"/>
            <w:tcBorders>
              <w:top w:val="single" w:sz="4" w:space="0" w:color="000000"/>
              <w:left w:val="single" w:sz="4" w:space="0" w:color="000000"/>
              <w:right w:val="single" w:sz="4" w:space="0" w:color="000000"/>
            </w:tcBorders>
            <w:shd w:val="clear" w:color="auto" w:fill="D2D2D2"/>
          </w:tcPr>
          <w:p>
            <w:pPr>
              <w:pStyle w:val="TableParagraph"/>
              <w:spacing w:line="247" w:lineRule="auto"/>
              <w:ind w:left="21" w:right="118"/>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．不涉及现金收支的重大投资和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筹资活动：</w:t>
            </w:r>
          </w:p>
        </w:tc>
        <w:tc>
          <w:tcPr>
            <w:tcW w:w="2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02" w:type="dxa"/>
            <w:vMerge/>
            <w:tcBorders>
              <w:left w:val="single" w:sz="4" w:space="0" w:color="000000"/>
              <w:right w:val="single" w:sz="4" w:space="0" w:color="000000"/>
            </w:tcBorders>
            <w:shd w:val="clear" w:color="auto" w:fill="D2D2D2"/>
          </w:tcPr>
          <w:p>
            <w:pPr/>
          </w:p>
        </w:tc>
        <w:tc>
          <w:tcPr>
            <w:tcW w:w="2943" w:type="dxa"/>
            <w:tcBorders>
              <w:top w:val="nil" w:sz="6" w:space="0" w:color="auto"/>
              <w:left w:val="single" w:sz="13" w:space="0" w:color="D2D2D2"/>
              <w:bottom w:val="nil" w:sz="6" w:space="0" w:color="auto"/>
              <w:right w:val="single" w:sz="4" w:space="0" w:color="000000"/>
            </w:tcBorders>
          </w:tcPr>
          <w:p>
            <w:pPr>
              <w:pStyle w:val="TableParagraph"/>
              <w:tabs>
                <w:tab w:pos="1377" w:val="left" w:leader="none"/>
                <w:tab w:pos="2887" w:val="left" w:leader="none"/>
              </w:tabs>
              <w:spacing w:line="240" w:lineRule="auto" w:before="28"/>
              <w:ind w:right="12"/>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tab/>
            </w:r>
            <w:r>
              <w:rPr>
                <w:rFonts w:ascii="Calibri"/>
                <w:sz w:val="21"/>
              </w:rPr>
            </w:r>
          </w:p>
        </w:tc>
        <w:tc>
          <w:tcPr>
            <w:tcW w:w="3061" w:type="dxa"/>
            <w:tcBorders>
              <w:top w:val="nil" w:sz="6" w:space="0" w:color="auto"/>
              <w:left w:val="single" w:sz="4" w:space="0" w:color="000000"/>
              <w:bottom w:val="nil" w:sz="6" w:space="0" w:color="auto"/>
              <w:right w:val="single" w:sz="4" w:space="0" w:color="000000"/>
            </w:tcBorders>
          </w:tcPr>
          <w:p>
            <w:pPr>
              <w:pStyle w:val="TableParagraph"/>
              <w:tabs>
                <w:tab w:pos="1438" w:val="left" w:leader="none"/>
                <w:tab w:pos="3005" w:val="left" w:leader="none"/>
              </w:tabs>
              <w:spacing w:line="240" w:lineRule="auto" w:before="28"/>
              <w:ind w:right="0"/>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tab/>
            </w:r>
            <w:r>
              <w:rPr>
                <w:rFonts w:ascii="Calibri"/>
                <w:sz w:val="21"/>
              </w:rPr>
            </w:r>
          </w:p>
        </w:tc>
      </w:tr>
      <w:tr>
        <w:trPr>
          <w:trHeight w:val="162" w:hRule="exact"/>
        </w:trPr>
        <w:tc>
          <w:tcPr>
            <w:tcW w:w="3202" w:type="dxa"/>
            <w:vMerge/>
            <w:tcBorders>
              <w:left w:val="single" w:sz="4" w:space="0" w:color="000000"/>
              <w:bottom w:val="single" w:sz="4" w:space="0" w:color="000000"/>
              <w:right w:val="single" w:sz="4" w:space="0" w:color="000000"/>
            </w:tcBorders>
            <w:shd w:val="clear" w:color="auto" w:fill="D2D2D2"/>
          </w:tcPr>
          <w:p>
            <w:pPr/>
          </w:p>
        </w:tc>
        <w:tc>
          <w:tcPr>
            <w:tcW w:w="2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3202" w:type="dxa"/>
            <w:vMerge w:val="restart"/>
            <w:tcBorders>
              <w:top w:val="single" w:sz="4" w:space="0" w:color="000000"/>
              <w:left w:val="single" w:sz="4" w:space="0" w:color="000000"/>
              <w:right w:val="single" w:sz="4" w:space="0" w:color="000000"/>
            </w:tcBorders>
            <w:shd w:val="clear" w:color="auto" w:fill="D2D2D2"/>
          </w:tcPr>
          <w:p>
            <w:pPr>
              <w:pStyle w:val="TableParagraph"/>
              <w:spacing w:line="247" w:lineRule="auto"/>
              <w:ind w:left="21" w:right="329"/>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．现金及现金等价物净变动情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w:t>
            </w:r>
          </w:p>
        </w:tc>
        <w:tc>
          <w:tcPr>
            <w:tcW w:w="2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02" w:type="dxa"/>
            <w:vMerge/>
            <w:tcBorders>
              <w:left w:val="single" w:sz="4" w:space="0" w:color="000000"/>
              <w:right w:val="single" w:sz="4" w:space="0" w:color="000000"/>
            </w:tcBorders>
            <w:shd w:val="clear" w:color="auto" w:fill="D2D2D2"/>
          </w:tcPr>
          <w:p>
            <w:pPr/>
          </w:p>
        </w:tc>
        <w:tc>
          <w:tcPr>
            <w:tcW w:w="2943" w:type="dxa"/>
            <w:tcBorders>
              <w:top w:val="nil" w:sz="6" w:space="0" w:color="auto"/>
              <w:left w:val="single" w:sz="13" w:space="0" w:color="D2D2D2"/>
              <w:bottom w:val="nil" w:sz="6" w:space="0" w:color="auto"/>
              <w:right w:val="single" w:sz="4" w:space="0" w:color="000000"/>
            </w:tcBorders>
          </w:tcPr>
          <w:p>
            <w:pPr>
              <w:pStyle w:val="TableParagraph"/>
              <w:tabs>
                <w:tab w:pos="1377" w:val="left" w:leader="none"/>
                <w:tab w:pos="2887" w:val="left" w:leader="none"/>
              </w:tabs>
              <w:spacing w:line="240" w:lineRule="auto" w:before="28"/>
              <w:ind w:right="12"/>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tab/>
            </w:r>
            <w:r>
              <w:rPr>
                <w:rFonts w:ascii="Calibri"/>
                <w:sz w:val="21"/>
              </w:rPr>
            </w:r>
          </w:p>
        </w:tc>
        <w:tc>
          <w:tcPr>
            <w:tcW w:w="3061" w:type="dxa"/>
            <w:tcBorders>
              <w:top w:val="nil" w:sz="6" w:space="0" w:color="auto"/>
              <w:left w:val="single" w:sz="4" w:space="0" w:color="000000"/>
              <w:bottom w:val="nil" w:sz="6" w:space="0" w:color="auto"/>
              <w:right w:val="single" w:sz="4" w:space="0" w:color="000000"/>
            </w:tcBorders>
          </w:tcPr>
          <w:p>
            <w:pPr>
              <w:pStyle w:val="TableParagraph"/>
              <w:tabs>
                <w:tab w:pos="1438" w:val="left" w:leader="none"/>
                <w:tab w:pos="3005" w:val="left" w:leader="none"/>
              </w:tabs>
              <w:spacing w:line="240" w:lineRule="auto" w:before="28"/>
              <w:ind w:right="0"/>
              <w:jc w:val="center"/>
              <w:rPr>
                <w:rFonts w:ascii="Calibri" w:hAnsi="Calibri" w:cs="Calibri" w:eastAsia="Calibri" w:hint="default"/>
                <w:sz w:val="21"/>
                <w:szCs w:val="21"/>
              </w:rPr>
            </w:pPr>
            <w:r>
              <w:rPr>
                <w:rFonts w:ascii="Calibri"/>
                <w:w w:val="100"/>
                <w:sz w:val="21"/>
              </w:rPr>
            </w:r>
            <w:r>
              <w:rPr>
                <w:rFonts w:ascii="Calibri"/>
                <w:w w:val="100"/>
                <w:sz w:val="21"/>
                <w:shd w:fill="D2D2D2" w:color="auto" w:val="clear"/>
              </w:rPr>
              <w:t> </w:t>
            </w:r>
            <w:r>
              <w:rPr>
                <w:rFonts w:ascii="Calibri"/>
                <w:sz w:val="21"/>
                <w:shd w:fill="D2D2D2" w:color="auto" w:val="clear"/>
              </w:rPr>
              <w:tab/>
              <w:t>--</w:t>
              <w:tab/>
            </w:r>
            <w:r>
              <w:rPr>
                <w:rFonts w:ascii="Calibri"/>
                <w:sz w:val="21"/>
              </w:rPr>
            </w:r>
          </w:p>
        </w:tc>
      </w:tr>
      <w:tr>
        <w:trPr>
          <w:trHeight w:val="161" w:hRule="exact"/>
        </w:trPr>
        <w:tc>
          <w:tcPr>
            <w:tcW w:w="3202" w:type="dxa"/>
            <w:vMerge/>
            <w:tcBorders>
              <w:left w:val="single" w:sz="4" w:space="0" w:color="000000"/>
              <w:bottom w:val="single" w:sz="4" w:space="0" w:color="000000"/>
              <w:right w:val="single" w:sz="4" w:space="0" w:color="000000"/>
            </w:tcBorders>
            <w:shd w:val="clear" w:color="auto" w:fill="D2D2D2"/>
          </w:tcPr>
          <w:p>
            <w:pPr/>
          </w:p>
        </w:tc>
        <w:tc>
          <w:tcPr>
            <w:tcW w:w="2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349,830,434.47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165,564,161.57</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165,564,161.57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273,615,991.66</w:t>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184,266,272.90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-108,051,830.09</w:t>
            </w:r>
          </w:p>
        </w:tc>
      </w:tr>
    </w:tbl>
    <w:p>
      <w:pPr>
        <w:spacing w:after="0" w:line="240" w:lineRule="auto"/>
        <w:jc w:val="center"/>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2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Microsoft JhengHei" w:hAnsi="Microsoft JhengHei" w:cs="Microsoft JhengHei" w:eastAsia="Microsoft JhengHei" w:hint="default"/>
          <w:b/>
          <w:bCs/>
          <w:sz w:val="6"/>
          <w:szCs w:val="6"/>
        </w:rPr>
      </w:pPr>
    </w:p>
    <w:p>
      <w:pPr>
        <w:spacing w:before="36"/>
        <w:ind w:left="0" w:right="147" w:firstLine="0"/>
        <w:jc w:val="right"/>
        <w:rPr>
          <w:rFonts w:ascii="宋体" w:hAnsi="宋体" w:cs="宋体" w:eastAsia="宋体" w:hint="default"/>
          <w:sz w:val="21"/>
          <w:szCs w:val="21"/>
        </w:rPr>
      </w:pPr>
      <w:r>
        <w:rPr>
          <w:rFonts w:ascii="宋体" w:hAnsi="宋体" w:cs="宋体" w:eastAsia="宋体" w:hint="default"/>
          <w:spacing w:val="-2"/>
          <w:sz w:val="21"/>
          <w:szCs w:val="21"/>
        </w:rPr>
        <w:t>单位：元</w:t>
      </w:r>
      <w:r>
        <w:rPr>
          <w:rFonts w:ascii="宋体" w:hAnsi="宋体" w:cs="宋体" w:eastAsia="宋体" w:hint="default"/>
          <w:sz w:val="21"/>
          <w:szCs w:val="21"/>
        </w:rPr>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6854"/>
        <w:gridCol w:w="2352"/>
      </w:tblGrid>
      <w:tr>
        <w:trPr>
          <w:trHeight w:val="478" w:hRule="exact"/>
        </w:trPr>
        <w:tc>
          <w:tcPr>
            <w:tcW w:w="685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金额</w:t>
            </w:r>
          </w:p>
        </w:tc>
      </w:tr>
      <w:tr>
        <w:trPr>
          <w:trHeight w:val="478" w:hRule="exact"/>
        </w:trPr>
        <w:tc>
          <w:tcPr>
            <w:tcW w:w="6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本期发生的企业合并于本期支付的现金或现金等价物</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Calibri" w:hAnsi="Calibri" w:cs="Calibri" w:eastAsia="Calibri" w:hint="default"/>
                <w:sz w:val="24"/>
                <w:szCs w:val="24"/>
              </w:rPr>
            </w:pPr>
            <w:r>
              <w:rPr>
                <w:rFonts w:ascii="Calibri"/>
                <w:sz w:val="24"/>
              </w:rPr>
              <w:t>23,117,035.45</w:t>
            </w:r>
          </w:p>
        </w:tc>
      </w:tr>
      <w:tr>
        <w:trPr>
          <w:trHeight w:val="479" w:hRule="exact"/>
        </w:trPr>
        <w:tc>
          <w:tcPr>
            <w:tcW w:w="6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减：购买日子公司持有的现金及现金等价物</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6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0"/>
              <w:ind w:left="103" w:right="0"/>
              <w:jc w:val="left"/>
              <w:rPr>
                <w:rFonts w:ascii="宋体" w:hAnsi="宋体" w:cs="宋体" w:eastAsia="宋体" w:hint="default"/>
                <w:sz w:val="24"/>
                <w:szCs w:val="24"/>
              </w:rPr>
            </w:pPr>
            <w:r>
              <w:rPr>
                <w:rFonts w:ascii="宋体" w:hAnsi="宋体" w:cs="宋体" w:eastAsia="宋体" w:hint="default"/>
                <w:sz w:val="24"/>
                <w:szCs w:val="24"/>
              </w:rPr>
              <w:t>加：以前期间发生的企业合并于本期支付的现金或现金等价物</w:t>
            </w:r>
          </w:p>
        </w:tc>
        <w:tc>
          <w:tcPr>
            <w:tcW w:w="23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Calibri" w:hAnsi="Calibri" w:cs="Calibri" w:eastAsia="Calibri" w:hint="default"/>
                <w:sz w:val="24"/>
                <w:szCs w:val="24"/>
              </w:rPr>
            </w:pPr>
            <w:r>
              <w:rPr>
                <w:rFonts w:ascii="Calibri"/>
                <w:sz w:val="24"/>
              </w:rPr>
              <w:t>23,117,035.45</w:t>
            </w:r>
          </w:p>
        </w:tc>
      </w:tr>
    </w:tbl>
    <w:p>
      <w:pPr>
        <w:spacing w:after="0" w:line="240" w:lineRule="auto"/>
        <w:jc w:val="left"/>
        <w:rPr>
          <w:rFonts w:ascii="Calibri" w:hAnsi="Calibri" w:cs="Calibri" w:eastAsia="Calibri" w:hint="default"/>
          <w:sz w:val="24"/>
          <w:szCs w:val="24"/>
        </w:rPr>
        <w:sectPr>
          <w:footerReference w:type="default" r:id="rId56"/>
          <w:pgSz w:w="11910" w:h="16840"/>
          <w:pgMar w:footer="1085" w:header="884" w:top="1300" w:bottom="1280" w:left="1080" w:right="840"/>
        </w:sectPr>
      </w:pPr>
    </w:p>
    <w:p>
      <w:pPr>
        <w:pStyle w:val="Heading2"/>
        <w:spacing w:line="381" w:lineRule="exact"/>
        <w:ind w:right="-4"/>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pStyle w:val="BodyText"/>
        <w:spacing w:line="240" w:lineRule="auto" w:before="126"/>
        <w:ind w:left="1101" w:right="-4"/>
        <w:jc w:val="left"/>
      </w:pPr>
      <w:r>
        <w:rPr/>
        <w:t>无</w:t>
      </w:r>
    </w:p>
    <w:p>
      <w:pPr>
        <w:pStyle w:val="Heading2"/>
        <w:spacing w:line="240" w:lineRule="auto" w:before="77"/>
        <w:ind w:right="-4"/>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34"/>
          <w:szCs w:val="3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5318" w:space="2337"/>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430"/>
        <w:gridCol w:w="3149"/>
        <w:gridCol w:w="2627"/>
      </w:tblGrid>
      <w:tr>
        <w:trPr>
          <w:trHeight w:val="32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349,830,434.47</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165,564,161.57</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28,387.72</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33,939.70</w:t>
            </w:r>
          </w:p>
        </w:tc>
      </w:tr>
      <w:tr>
        <w:trPr>
          <w:trHeight w:val="324"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349,802,046.75</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165,530,221.87</w:t>
            </w:r>
          </w:p>
        </w:tc>
      </w:tr>
      <w:tr>
        <w:trPr>
          <w:trHeight w:val="32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349,830,434.47</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165,564,161.57</w:t>
            </w:r>
          </w:p>
        </w:tc>
      </w:tr>
    </w:tbl>
    <w:p>
      <w:pPr>
        <w:spacing w:after="0" w:line="240" w:lineRule="auto"/>
        <w:jc w:val="right"/>
        <w:rPr>
          <w:rFonts w:ascii="Calibri" w:hAnsi="Calibri" w:cs="Calibri" w:eastAsia="Calibri" w:hint="default"/>
          <w:sz w:val="21"/>
          <w:szCs w:val="21"/>
        </w:rPr>
        <w:sectPr>
          <w:type w:val="continuous"/>
          <w:pgSz w:w="11910" w:h="16840"/>
          <w:pgMar w:top="1100" w:bottom="1280" w:left="1080" w:right="840"/>
        </w:sectPr>
      </w:pPr>
    </w:p>
    <w:p>
      <w:pPr>
        <w:pStyle w:val="Heading2"/>
        <w:spacing w:line="381" w:lineRule="exact"/>
        <w:ind w:right="-7"/>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pStyle w:val="BodyText"/>
        <w:spacing w:line="240" w:lineRule="auto" w:before="126"/>
        <w:ind w:left="1101" w:right="-7"/>
        <w:jc w:val="left"/>
      </w:pPr>
      <w:r>
        <w:rPr/>
        <w:t>无</w:t>
      </w:r>
    </w:p>
    <w:p>
      <w:pPr>
        <w:pStyle w:val="Heading2"/>
        <w:spacing w:line="240" w:lineRule="auto" w:before="77"/>
        <w:ind w:right="-7"/>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34"/>
          <w:szCs w:val="34"/>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4955" w:space="2700"/>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202"/>
        <w:gridCol w:w="2943"/>
        <w:gridCol w:w="3061"/>
      </w:tblGrid>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期末账面价值</w:t>
            </w:r>
            <w:r>
              <w:rPr>
                <w:rFonts w:ascii="Microsoft JhengHei" w:hAnsi="Microsoft JhengHei" w:cs="Microsoft JhengHei" w:eastAsia="Microsoft JhengHei" w:hint="default"/>
                <w:sz w:val="21"/>
                <w:szCs w:val="21"/>
              </w:rPr>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受限原因</w:t>
            </w:r>
            <w:r>
              <w:rPr>
                <w:rFonts w:ascii="Microsoft JhengHei" w:hAnsi="Microsoft JhengHei" w:cs="Microsoft JhengHei" w:eastAsia="Microsoft JhengHei" w:hint="default"/>
                <w:sz w:val="21"/>
                <w:szCs w:val="21"/>
              </w:rPr>
            </w:r>
          </w:p>
        </w:tc>
      </w:tr>
      <w:tr>
        <w:trPr>
          <w:trHeight w:val="322"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87" w:right="0"/>
              <w:jc w:val="left"/>
              <w:rPr>
                <w:rFonts w:ascii="Calibri" w:hAnsi="Calibri" w:cs="Calibri" w:eastAsia="Calibri" w:hint="default"/>
                <w:sz w:val="21"/>
                <w:szCs w:val="21"/>
              </w:rPr>
            </w:pPr>
            <w:r>
              <w:rPr>
                <w:rFonts w:ascii="Calibri"/>
                <w:sz w:val="21"/>
              </w:rPr>
              <w:t>24,146,123.65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信用保证金和定期存款</w:t>
            </w:r>
          </w:p>
        </w:tc>
      </w:tr>
    </w:tbl>
    <w:p>
      <w:pPr>
        <w:spacing w:after="0" w:line="262" w:lineRule="exact"/>
        <w:jc w:val="left"/>
        <w:rPr>
          <w:rFonts w:ascii="宋体" w:hAnsi="宋体" w:cs="宋体" w:eastAsia="宋体" w:hint="default"/>
          <w:sz w:val="21"/>
          <w:szCs w:val="21"/>
        </w:rPr>
        <w:sectPr>
          <w:type w:val="continuous"/>
          <w:pgSz w:w="11910" w:h="16840"/>
          <w:pgMar w:top="1100" w:bottom="1280" w:left="1080" w:right="840"/>
        </w:sectPr>
      </w:pPr>
    </w:p>
    <w:p>
      <w:pPr>
        <w:pStyle w:val="Heading2"/>
        <w:spacing w:line="380" w:lineRule="exact"/>
        <w:ind w:right="-11"/>
        <w:jc w:val="left"/>
        <w:rPr>
          <w:b w:val="0"/>
          <w:bCs w:val="0"/>
        </w:rPr>
      </w:pPr>
      <w:r>
        <w:rPr>
          <w:rFonts w:ascii="Times New Roman" w:hAnsi="Times New Roman" w:cs="Times New Roman" w:eastAsia="Times New Roman" w:hint="default"/>
        </w:rPr>
        <w:t>77</w:t>
      </w:r>
      <w:r>
        <w:rPr/>
        <w:t>、外币货币性项目</w:t>
      </w:r>
      <w:r>
        <w:rPr>
          <w:b w:val="0"/>
          <w:bCs w:val="0"/>
        </w:rPr>
      </w:r>
    </w:p>
    <w:p>
      <w:pPr>
        <w:spacing w:before="50"/>
        <w:ind w:left="1101" w:right="-1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）外币货币性项目</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1"/>
        <w:rPr>
          <w:rFonts w:ascii="Microsoft JhengHei" w:hAnsi="Microsoft JhengHei" w:cs="Microsoft JhengHei" w:eastAsia="Microsoft JhengHei" w:hint="default"/>
          <w:b/>
          <w:bCs/>
          <w:sz w:val="32"/>
          <w:szCs w:val="32"/>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391" w:space="4264"/>
            <w:col w:w="2335"/>
          </w:cols>
        </w:sectPr>
      </w:pP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402"/>
        <w:gridCol w:w="2205"/>
        <w:gridCol w:w="2300"/>
        <w:gridCol w:w="2300"/>
      </w:tblGrid>
      <w:tr>
        <w:trPr>
          <w:trHeight w:val="32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期末外币余额</w:t>
            </w:r>
            <w:r>
              <w:rPr>
                <w:rFonts w:ascii="Microsoft JhengHei" w:hAnsi="Microsoft JhengHei" w:cs="Microsoft JhengHei" w:eastAsia="Microsoft JhengHei" w:hint="default"/>
                <w:sz w:val="21"/>
                <w:szCs w:val="21"/>
              </w:rPr>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折算汇率</w:t>
            </w:r>
            <w:r>
              <w:rPr>
                <w:rFonts w:ascii="Microsoft JhengHei" w:hAnsi="Microsoft JhengHei" w:cs="Microsoft JhengHei" w:eastAsia="Microsoft JhengHei" w:hint="default"/>
                <w:sz w:val="21"/>
                <w:szCs w:val="21"/>
              </w:rPr>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期末折算人民币余额</w:t>
            </w:r>
            <w:r>
              <w:rPr>
                <w:rFonts w:ascii="Microsoft JhengHei" w:hAnsi="Microsoft JhengHei" w:cs="Microsoft JhengHei" w:eastAsia="Microsoft JhengHei" w:hint="default"/>
                <w:sz w:val="21"/>
                <w:szCs w:val="21"/>
              </w:rPr>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8,794,020.91</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1,269,901.51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6.4936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8,246,232.44</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26,895.03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7.0952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190,825.63</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53,730.43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0.8378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45,015.35</w:t>
            </w:r>
          </w:p>
        </w:tc>
      </w:tr>
      <w:tr>
        <w:trPr>
          <w:trHeight w:val="323"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5,790,208.57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311,947.49</w:t>
            </w:r>
          </w:p>
        </w:tc>
      </w:tr>
      <w:tr>
        <w:trPr>
          <w:trHeight w:val="323"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1,915,061.50</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667,620.00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0.8378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559,332.04</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25,164,351.93</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1,355,729.46</w:t>
            </w:r>
          </w:p>
        </w:tc>
      </w:tr>
    </w:tbl>
    <w:p>
      <w:pPr>
        <w:spacing w:after="0" w:line="240" w:lineRule="auto"/>
        <w:jc w:val="right"/>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2402"/>
        <w:gridCol w:w="2205"/>
        <w:gridCol w:w="2300"/>
        <w:gridCol w:w="2300"/>
      </w:tblGrid>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5,655,934.34</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5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104,982,540.00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5,655,934.34</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05"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3,243,867.63</w:t>
            </w:r>
          </w:p>
        </w:tc>
      </w:tr>
      <w:tr>
        <w:trPr>
          <w:trHeight w:val="324"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60,211,000.09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3,243,867.63</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05"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4,823,428.75</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89,530,000.00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4,823,428.75</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05"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238,147.67</w:t>
            </w:r>
          </w:p>
        </w:tc>
      </w:tr>
      <w:tr>
        <w:trPr>
          <w:trHeight w:val="322"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3,953,850.02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0.0539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213,013.67</w:t>
            </w:r>
          </w:p>
        </w:tc>
      </w:tr>
      <w:tr>
        <w:trPr>
          <w:trHeight w:val="324" w:hRule="exact"/>
        </w:trPr>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75"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30,000.00</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0.8378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25,134.00</w:t>
            </w:r>
          </w:p>
        </w:tc>
      </w:tr>
    </w:tbl>
    <w:p>
      <w:pPr>
        <w:pStyle w:val="Heading2"/>
        <w:spacing w:line="380" w:lineRule="exact"/>
        <w:ind w:right="0"/>
        <w:jc w:val="left"/>
        <w:rPr>
          <w:b w:val="0"/>
          <w:bCs w:val="0"/>
        </w:rPr>
      </w:pPr>
      <w:r>
        <w:rPr>
          <w:spacing w:val="2"/>
        </w:rPr>
        <w:t>（</w:t>
      </w:r>
      <w:r>
        <w:rPr>
          <w:rFonts w:ascii="Times New Roman" w:hAnsi="Times New Roman" w:cs="Times New Roman" w:eastAsia="Times New Roman" w:hint="default"/>
        </w:rPr>
        <w:t>2</w:t>
      </w:r>
      <w:r>
        <w:rPr>
          <w:spacing w:val="-101"/>
        </w:rPr>
        <w:t>）</w:t>
      </w:r>
      <w:r>
        <w:rPr>
          <w:spacing w:val="2"/>
        </w:rPr>
        <w:t>境</w:t>
      </w:r>
      <w:r>
        <w:rPr/>
        <w:t>外</w:t>
      </w:r>
      <w:r>
        <w:rPr>
          <w:spacing w:val="2"/>
        </w:rPr>
        <w:t>经</w:t>
      </w:r>
      <w:r>
        <w:rPr/>
        <w:t>营实</w:t>
      </w:r>
      <w:r>
        <w:rPr>
          <w:spacing w:val="2"/>
        </w:rPr>
        <w:t>体</w:t>
      </w:r>
      <w:r>
        <w:rPr/>
        <w:t>说明</w:t>
      </w:r>
      <w:r>
        <w:rPr>
          <w:spacing w:val="-99"/>
        </w:rPr>
        <w:t>，</w:t>
      </w:r>
      <w:r>
        <w:rPr/>
        <w:t>包</w:t>
      </w:r>
      <w:r>
        <w:rPr>
          <w:spacing w:val="2"/>
        </w:rPr>
        <w:t>括</w:t>
      </w:r>
      <w:r>
        <w:rPr/>
        <w:t>对</w:t>
      </w:r>
      <w:r>
        <w:rPr>
          <w:spacing w:val="2"/>
        </w:rPr>
        <w:t>于</w:t>
      </w:r>
      <w:r>
        <w:rPr/>
        <w:t>重要</w:t>
      </w:r>
      <w:r>
        <w:rPr>
          <w:spacing w:val="2"/>
        </w:rPr>
        <w:t>的</w:t>
      </w:r>
      <w:r>
        <w:rPr/>
        <w:t>境外</w:t>
      </w:r>
      <w:r>
        <w:rPr>
          <w:spacing w:val="2"/>
        </w:rPr>
        <w:t>经</w:t>
      </w:r>
      <w:r>
        <w:rPr/>
        <w:t>营</w:t>
      </w:r>
      <w:r>
        <w:rPr>
          <w:spacing w:val="2"/>
        </w:rPr>
        <w:t>实</w:t>
      </w:r>
      <w:r>
        <w:rPr/>
        <w:t>体</w:t>
      </w:r>
      <w:r>
        <w:rPr>
          <w:spacing w:val="-99"/>
        </w:rPr>
        <w:t>，</w:t>
      </w:r>
      <w:r>
        <w:rPr/>
        <w:t>应披</w:t>
      </w:r>
      <w:r>
        <w:rPr>
          <w:spacing w:val="2"/>
        </w:rPr>
        <w:t>露</w:t>
      </w:r>
      <w:r>
        <w:rPr/>
        <w:t>其境</w:t>
      </w:r>
      <w:r>
        <w:rPr>
          <w:spacing w:val="2"/>
        </w:rPr>
        <w:t>外</w:t>
      </w:r>
      <w:r>
        <w:rPr/>
        <w:t>主</w:t>
      </w:r>
      <w:r>
        <w:rPr>
          <w:spacing w:val="2"/>
        </w:rPr>
        <w:t>要</w:t>
      </w:r>
      <w:r>
        <w:rPr/>
        <w:t>经营</w:t>
      </w:r>
      <w:r>
        <w:rPr>
          <w:spacing w:val="2"/>
        </w:rPr>
        <w:t>地</w:t>
      </w:r>
      <w:r>
        <w:rPr/>
        <w:t>、</w:t>
      </w:r>
      <w:r>
        <w:rPr>
          <w:b w:val="0"/>
          <w:bCs w:val="0"/>
        </w:rPr>
      </w:r>
    </w:p>
    <w:p>
      <w:pPr>
        <w:spacing w:before="51"/>
        <w:ind w:left="622"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记账本位币及选择依据，记账本位币发生变化的还应披露原因。</w:t>
      </w:r>
      <w:r>
        <w:rPr>
          <w:rFonts w:ascii="Microsoft JhengHei" w:hAnsi="Microsoft JhengHei" w:cs="Microsoft JhengHei" w:eastAsia="Microsoft JhengHei" w:hint="default"/>
          <w:sz w:val="24"/>
          <w:szCs w:val="24"/>
        </w:rPr>
      </w:r>
    </w:p>
    <w:p>
      <w:pPr>
        <w:pStyle w:val="BodyText"/>
        <w:spacing w:line="240" w:lineRule="auto" w:before="126"/>
        <w:ind w:left="1582"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pStyle w:val="BodyText"/>
        <w:spacing w:line="357" w:lineRule="auto" w:before="123"/>
        <w:ind w:left="1101" w:right="225" w:firstLine="480"/>
        <w:jc w:val="left"/>
      </w:pPr>
      <w:r>
        <w:rPr/>
        <w:t>①本公司之子公司日本超图株式会社主要经营地为日本。根据其经营所处的主 要经济环境中的货币确定日元为其记账本位币。</w:t>
      </w:r>
    </w:p>
    <w:p>
      <w:pPr>
        <w:pStyle w:val="BodyText"/>
        <w:spacing w:line="357" w:lineRule="auto"/>
        <w:ind w:left="1101" w:right="225" w:firstLine="480"/>
        <w:jc w:val="left"/>
      </w:pPr>
      <w:r>
        <w:rPr/>
        <w:t>②本公司之子公司超图国际有限公司主要经营地为中国香港。根据其经营所处 的主要经济环境中的货币确定港币为其记账本位币。</w:t>
      </w:r>
    </w:p>
    <w:p>
      <w:pPr>
        <w:pStyle w:val="Heading2"/>
        <w:spacing w:line="284" w:lineRule="exact"/>
        <w:ind w:right="225"/>
        <w:jc w:val="left"/>
        <w:rPr>
          <w:b w:val="0"/>
          <w:bCs w:val="0"/>
        </w:rPr>
      </w:pPr>
      <w:r>
        <w:rPr>
          <w:rFonts w:ascii="Times New Roman" w:hAnsi="Times New Roman" w:cs="Times New Roman" w:eastAsia="Times New Roman" w:hint="default"/>
        </w:rPr>
        <w:t>78</w:t>
      </w:r>
      <w:r>
        <w:rPr/>
        <w:t>、套期</w:t>
      </w:r>
      <w:r>
        <w:rPr>
          <w:b w:val="0"/>
          <w:bCs w:val="0"/>
        </w:rPr>
      </w:r>
    </w:p>
    <w:p>
      <w:pPr>
        <w:spacing w:line="403" w:lineRule="auto" w:before="0"/>
        <w:ind w:left="1101" w:right="7905" w:firstLine="480"/>
        <w:jc w:val="left"/>
        <w:rPr>
          <w:rFonts w:ascii="宋体" w:hAnsi="宋体" w:cs="宋体" w:eastAsia="宋体" w:hint="default"/>
          <w:sz w:val="24"/>
          <w:szCs w:val="24"/>
        </w:rPr>
      </w:pP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79</w:t>
      </w:r>
      <w:r>
        <w:rPr>
          <w:rFonts w:ascii="Microsoft JhengHei" w:hAnsi="Microsoft JhengHei" w:cs="Microsoft JhengHei" w:eastAsia="Microsoft JhengHei" w:hint="default"/>
          <w:b/>
          <w:bCs/>
          <w:sz w:val="24"/>
          <w:szCs w:val="24"/>
        </w:rPr>
        <w:t>、其他 </w:t>
      </w:r>
      <w:r>
        <w:rPr>
          <w:rFonts w:ascii="宋体" w:hAnsi="宋体" w:cs="宋体" w:eastAsia="宋体" w:hint="default"/>
          <w:sz w:val="24"/>
          <w:szCs w:val="24"/>
        </w:rPr>
        <w:t>无</w:t>
      </w:r>
    </w:p>
    <w:p>
      <w:pPr>
        <w:pStyle w:val="Heading2"/>
        <w:spacing w:line="240" w:lineRule="auto" w:before="58"/>
        <w:ind w:right="225"/>
        <w:jc w:val="left"/>
        <w:rPr>
          <w:b w:val="0"/>
          <w:bCs w:val="0"/>
        </w:rPr>
      </w:pPr>
      <w:bookmarkStart w:name="_bookmark76" w:id="77"/>
      <w:bookmarkEnd w:id="77"/>
      <w:r>
        <w:rPr>
          <w:b w:val="0"/>
          <w:bCs w:val="0"/>
        </w:rPr>
      </w:r>
      <w:r>
        <w:rPr/>
        <w:t>八、合并范围的变更</w:t>
      </w:r>
      <w:r>
        <w:rPr>
          <w:b w:val="0"/>
          <w:bCs w:val="0"/>
        </w:rPr>
      </w:r>
    </w:p>
    <w:p>
      <w:pPr>
        <w:spacing w:before="194"/>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、非同一控制下企业合并</w:t>
      </w:r>
      <w:r>
        <w:rPr>
          <w:rFonts w:ascii="Microsoft JhengHei" w:hAnsi="Microsoft JhengHei" w:cs="Microsoft JhengHei" w:eastAsia="Microsoft JhengHei" w:hint="default"/>
          <w:sz w:val="24"/>
          <w:szCs w:val="24"/>
        </w:rPr>
      </w:r>
    </w:p>
    <w:p>
      <w:pPr>
        <w:spacing w:before="194"/>
        <w:ind w:left="1101"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）本期发生的非同一控制下企业合并</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0" w:right="147"/>
        <w:jc w:val="right"/>
      </w:pPr>
      <w:r>
        <w:rPr/>
        <w:t>单位： 元</w:t>
      </w:r>
    </w:p>
    <w:p>
      <w:pPr>
        <w:spacing w:line="240" w:lineRule="auto" w:before="11"/>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893"/>
        <w:gridCol w:w="895"/>
        <w:gridCol w:w="1280"/>
        <w:gridCol w:w="895"/>
        <w:gridCol w:w="896"/>
        <w:gridCol w:w="895"/>
        <w:gridCol w:w="893"/>
        <w:gridCol w:w="1280"/>
        <w:gridCol w:w="1280"/>
      </w:tblGrid>
      <w:tr>
        <w:trPr>
          <w:trHeight w:val="1214" w:hRule="exact"/>
        </w:trPr>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2" w:lineRule="exact"/>
              <w:ind w:left="122" w:right="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被购买</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方名称</w:t>
            </w:r>
            <w:r>
              <w:rPr>
                <w:rFonts w:ascii="Microsoft JhengHei" w:hAnsi="Microsoft JhengHei" w:cs="Microsoft JhengHei" w:eastAsia="Microsoft JhengHei"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2" w:lineRule="exact"/>
              <w:ind w:left="127" w:right="12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股权取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得时点</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2" w:lineRule="exact"/>
              <w:ind w:left="528" w:right="107"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股权取得成</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本</w:t>
            </w:r>
            <w:r>
              <w:rPr>
                <w:rFonts w:ascii="Microsoft JhengHei" w:hAnsi="Microsoft JhengHei" w:cs="Microsoft JhengHei" w:eastAsia="Microsoft JhengHei"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2" w:lineRule="exact"/>
              <w:ind w:left="124" w:right="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股权取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得比例</w:t>
            </w:r>
            <w:r>
              <w:rPr>
                <w:rFonts w:ascii="Microsoft JhengHei" w:hAnsi="Microsoft JhengHei" w:cs="Microsoft JhengHei" w:eastAsia="Microsoft JhengHei" w:hint="default"/>
                <w:sz w:val="21"/>
                <w:szCs w:val="21"/>
              </w:rPr>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312" w:lineRule="exact"/>
              <w:ind w:left="124" w:right="12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股权取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得方式</w:t>
            </w:r>
            <w:r>
              <w:rPr>
                <w:rFonts w:ascii="Microsoft JhengHei" w:hAnsi="Microsoft JhengHei" w:cs="Microsoft JhengHei" w:eastAsia="Microsoft JhengHei" w:hint="default"/>
                <w:sz w:val="21"/>
                <w:szCs w:val="21"/>
              </w:rPr>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w:t>
            </w:r>
            <w:r>
              <w:rPr>
                <w:rFonts w:ascii="Microsoft JhengHei" w:hAnsi="Microsoft JhengHei" w:cs="Microsoft JhengHei" w:eastAsia="Microsoft JhengHei" w:hint="default"/>
                <w:sz w:val="21"/>
                <w:szCs w:val="21"/>
              </w:rPr>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17"/>
              <w:ind w:left="122" w:right="12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的确定</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依据</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17"/>
              <w:ind w:left="108" w:right="10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购买日至期</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末被购买方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的收入</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17"/>
              <w:ind w:left="108" w:right="10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购买日至期</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末被购买方</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的净利润</w:t>
            </w:r>
            <w:r>
              <w:rPr>
                <w:rFonts w:ascii="Microsoft JhengHei" w:hAnsi="Microsoft JhengHei" w:cs="Microsoft JhengHei" w:eastAsia="Microsoft JhengHei" w:hint="default"/>
                <w:sz w:val="21"/>
                <w:szCs w:val="21"/>
              </w:rPr>
            </w:r>
          </w:p>
        </w:tc>
      </w:tr>
      <w:tr>
        <w:trPr>
          <w:trHeight w:val="1442" w:hRule="exac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1"/>
              <w:ind w:left="124" w:right="122"/>
              <w:jc w:val="center"/>
              <w:rPr>
                <w:rFonts w:ascii="宋体" w:hAnsi="宋体" w:cs="宋体" w:eastAsia="宋体" w:hint="default"/>
                <w:sz w:val="21"/>
                <w:szCs w:val="21"/>
              </w:rPr>
            </w:pPr>
            <w:r>
              <w:rPr>
                <w:rFonts w:ascii="宋体" w:hAnsi="宋体" w:cs="宋体" w:eastAsia="宋体" w:hint="default"/>
                <w:sz w:val="21"/>
                <w:szCs w:val="21"/>
              </w:rPr>
              <w:t>上海南</w:t>
            </w:r>
            <w:r>
              <w:rPr>
                <w:rFonts w:ascii="宋体" w:hAnsi="宋体" w:cs="宋体" w:eastAsia="宋体" w:hint="default"/>
                <w:w w:val="100"/>
                <w:sz w:val="21"/>
                <w:szCs w:val="21"/>
              </w:rPr>
              <w:t> </w:t>
            </w:r>
            <w:r>
              <w:rPr>
                <w:rFonts w:ascii="宋体" w:hAnsi="宋体" w:cs="宋体" w:eastAsia="宋体" w:hint="default"/>
                <w:sz w:val="21"/>
                <w:szCs w:val="21"/>
              </w:rPr>
              <w:t>康科技</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0"/>
              <w:ind w:left="1" w:right="0"/>
              <w:jc w:val="center"/>
              <w:rPr>
                <w:rFonts w:ascii="Calibri" w:hAnsi="Calibri" w:cs="Calibri" w:eastAsia="Calibri" w:hint="default"/>
                <w:sz w:val="21"/>
                <w:szCs w:val="21"/>
              </w:rPr>
            </w:pPr>
            <w:r>
              <w:rPr>
                <w:rFonts w:ascii="Calibri" w:hAnsi="Calibri" w:cs="Calibri" w:eastAsia="Calibri" w:hint="default"/>
                <w:sz w:val="21"/>
                <w:szCs w:val="21"/>
              </w:rPr>
              <w:t>07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Calibri" w:hAnsi="Calibri" w:cs="Calibri" w:eastAsia="Calibri" w:hint="default"/>
                <w:sz w:val="21"/>
                <w:szCs w:val="21"/>
              </w:rPr>
              <w:t>02</w:t>
            </w:r>
          </w:p>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1" w:right="0"/>
              <w:jc w:val="left"/>
              <w:rPr>
                <w:rFonts w:ascii="Calibri" w:hAnsi="Calibri" w:cs="Calibri" w:eastAsia="Calibri" w:hint="default"/>
                <w:sz w:val="21"/>
                <w:szCs w:val="21"/>
              </w:rPr>
            </w:pPr>
            <w:r>
              <w:rPr>
                <w:rFonts w:ascii="Calibri"/>
                <w:sz w:val="21"/>
              </w:rPr>
              <w:t>92,000,000.00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4" w:right="0"/>
              <w:jc w:val="left"/>
              <w:rPr>
                <w:rFonts w:ascii="Calibri" w:hAnsi="Calibri" w:cs="Calibri" w:eastAsia="Calibri" w:hint="default"/>
                <w:sz w:val="21"/>
                <w:szCs w:val="21"/>
              </w:rPr>
            </w:pPr>
            <w:r>
              <w:rPr>
                <w:rFonts w:ascii="Calibri"/>
                <w:sz w:val="21"/>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336" w:right="125" w:hanging="212"/>
              <w:jc w:val="left"/>
              <w:rPr>
                <w:rFonts w:ascii="宋体" w:hAnsi="宋体" w:cs="宋体" w:eastAsia="宋体" w:hint="default"/>
                <w:sz w:val="21"/>
                <w:szCs w:val="21"/>
              </w:rPr>
            </w:pPr>
            <w:r>
              <w:rPr>
                <w:rFonts w:ascii="宋体" w:hAnsi="宋体" w:cs="宋体" w:eastAsia="宋体" w:hint="default"/>
                <w:sz w:val="21"/>
                <w:szCs w:val="21"/>
              </w:rPr>
              <w:t>现金收</w:t>
            </w:r>
            <w:r>
              <w:rPr>
                <w:rFonts w:ascii="宋体" w:hAnsi="宋体" w:cs="宋体" w:eastAsia="宋体" w:hint="default"/>
                <w:spacing w:val="-102"/>
                <w:sz w:val="21"/>
                <w:szCs w:val="21"/>
              </w:rPr>
              <w:t> </w:t>
            </w:r>
            <w:r>
              <w:rPr>
                <w:rFonts w:ascii="宋体" w:hAnsi="宋体" w:cs="宋体" w:eastAsia="宋体" w:hint="default"/>
                <w:sz w:val="21"/>
                <w:szCs w:val="21"/>
              </w:rPr>
              <w:t>购</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96"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w:t>
            </w:r>
          </w:p>
          <w:p>
            <w:pPr>
              <w:pStyle w:val="TableParagraph"/>
              <w:spacing w:line="240" w:lineRule="auto" w:before="10"/>
              <w:ind w:left="45" w:right="0"/>
              <w:jc w:val="left"/>
              <w:rPr>
                <w:rFonts w:ascii="宋体" w:hAnsi="宋体" w:cs="宋体" w:eastAsia="宋体" w:hint="default"/>
                <w:sz w:val="21"/>
                <w:szCs w:val="21"/>
              </w:rPr>
            </w:pPr>
            <w:r>
              <w:rPr>
                <w:rFonts w:ascii="Calibri" w:hAnsi="Calibri" w:cs="Calibri" w:eastAsia="Calibri" w:hint="default"/>
                <w:sz w:val="21"/>
                <w:szCs w:val="21"/>
              </w:rPr>
              <w:t>7</w:t>
            </w:r>
            <w:r>
              <w:rPr>
                <w:rFonts w:ascii="Calibri" w:hAnsi="Calibri" w:cs="Calibri" w:eastAsia="Calibri"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24" w:right="122"/>
              <w:jc w:val="both"/>
              <w:rPr>
                <w:rFonts w:ascii="宋体" w:hAnsi="宋体" w:cs="宋体" w:eastAsia="宋体" w:hint="default"/>
                <w:sz w:val="21"/>
                <w:szCs w:val="21"/>
              </w:rPr>
            </w:pPr>
            <w:r>
              <w:rPr>
                <w:rFonts w:ascii="宋体" w:hAnsi="宋体" w:cs="宋体" w:eastAsia="宋体" w:hint="default"/>
                <w:sz w:val="21"/>
                <w:szCs w:val="21"/>
              </w:rPr>
              <w:t>工商变</w:t>
            </w:r>
            <w:r>
              <w:rPr>
                <w:rFonts w:ascii="宋体" w:hAnsi="宋体" w:cs="宋体" w:eastAsia="宋体" w:hint="default"/>
                <w:spacing w:val="-102"/>
                <w:sz w:val="21"/>
                <w:szCs w:val="21"/>
              </w:rPr>
              <w:t> </w:t>
            </w:r>
            <w:r>
              <w:rPr>
                <w:rFonts w:ascii="宋体" w:hAnsi="宋体" w:cs="宋体" w:eastAsia="宋体" w:hint="default"/>
                <w:sz w:val="21"/>
                <w:szCs w:val="21"/>
              </w:rPr>
              <w:t>更登记</w:t>
            </w:r>
            <w:r>
              <w:rPr>
                <w:rFonts w:ascii="宋体" w:hAnsi="宋体" w:cs="宋体" w:eastAsia="宋体" w:hint="default"/>
                <w:spacing w:val="-102"/>
                <w:sz w:val="21"/>
                <w:szCs w:val="21"/>
              </w:rPr>
              <w:t> </w:t>
            </w:r>
            <w:r>
              <w:rPr>
                <w:rFonts w:ascii="宋体" w:hAnsi="宋体" w:cs="宋体" w:eastAsia="宋体" w:hint="default"/>
                <w:sz w:val="21"/>
                <w:szCs w:val="21"/>
              </w:rPr>
              <w:t>完成</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Calibri" w:hAnsi="Calibri" w:cs="Calibri" w:eastAsia="Calibri" w:hint="default"/>
                <w:sz w:val="21"/>
                <w:szCs w:val="21"/>
              </w:rPr>
            </w:pPr>
            <w:r>
              <w:rPr>
                <w:rFonts w:ascii="Calibri"/>
                <w:sz w:val="21"/>
              </w:rPr>
              <w:t>37,769,970.66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Calibri" w:hAnsi="Calibri" w:cs="Calibri" w:eastAsia="Calibri" w:hint="default"/>
                <w:sz w:val="21"/>
                <w:szCs w:val="21"/>
              </w:rPr>
            </w:pPr>
            <w:r>
              <w:rPr>
                <w:rFonts w:ascii="Calibri"/>
                <w:sz w:val="21"/>
              </w:rPr>
              <w:t>11,967,313.85</w:t>
            </w:r>
          </w:p>
        </w:tc>
      </w:tr>
    </w:tbl>
    <w:p>
      <w:pPr>
        <w:pStyle w:val="BodyText"/>
        <w:spacing w:line="240" w:lineRule="auto" w:before="39"/>
        <w:ind w:left="1582" w:right="225"/>
        <w:jc w:val="left"/>
      </w:pPr>
      <w:r>
        <w:rPr/>
        <w:t>其他说明：</w:t>
      </w:r>
    </w:p>
    <w:p>
      <w:pPr>
        <w:spacing w:after="0" w:line="240" w:lineRule="auto"/>
        <w:jc w:val="left"/>
        <w:sectPr>
          <w:footerReference w:type="default" r:id="rId57"/>
          <w:pgSz w:w="11910" w:h="16840"/>
          <w:pgMar w:footer="1085" w:header="884" w:top="1300" w:bottom="1280" w:left="1080" w:right="840"/>
          <w:pgNumType w:start="171"/>
        </w:sectPr>
      </w:pPr>
    </w:p>
    <w:p>
      <w:pPr>
        <w:spacing w:line="240" w:lineRule="auto" w:before="7"/>
        <w:rPr>
          <w:rFonts w:ascii="宋体" w:hAnsi="宋体" w:cs="宋体" w:eastAsia="宋体" w:hint="default"/>
          <w:sz w:val="10"/>
          <w:szCs w:val="10"/>
        </w:rPr>
      </w:pPr>
    </w:p>
    <w:p>
      <w:pPr>
        <w:pStyle w:val="BodyText"/>
        <w:spacing w:line="338" w:lineRule="auto" w:before="26"/>
        <w:ind w:left="1101" w:right="225" w:firstLine="480"/>
        <w:jc w:val="left"/>
      </w:pPr>
      <w:r>
        <w:rPr/>
        <w:t>本公司</w:t>
      </w:r>
      <w:r>
        <w:rPr>
          <w:rFonts w:ascii="Calibri" w:hAnsi="Calibri" w:cs="Calibri" w:eastAsia="Calibri" w:hint="default"/>
        </w:rPr>
        <w:t>2015</w:t>
      </w:r>
      <w:r>
        <w:rPr/>
        <w:t>年通过非同一控制下企业合并的方式取得上海南康科技有限公司 </w:t>
      </w:r>
      <w:r>
        <w:rPr>
          <w:rFonts w:ascii="Calibri" w:hAnsi="Calibri" w:cs="Calibri" w:eastAsia="Calibri" w:hint="default"/>
        </w:rPr>
        <w:t>100%</w:t>
      </w:r>
      <w:r>
        <w:rPr/>
        <w:t>股权，收购价款为人民币</w:t>
      </w:r>
      <w:r>
        <w:rPr>
          <w:rFonts w:ascii="Calibri" w:hAnsi="Calibri" w:cs="Calibri" w:eastAsia="Calibri" w:hint="default"/>
        </w:rPr>
        <w:t>9,200</w:t>
      </w:r>
      <w:r>
        <w:rPr/>
        <w:t>万元，转让价款分六期支付。</w:t>
      </w:r>
      <w:r>
        <w:rPr>
          <w:rFonts w:ascii="Calibri" w:hAnsi="Calibri" w:cs="Calibri" w:eastAsia="Calibri" w:hint="default"/>
        </w:rPr>
        <w:t>2015</w:t>
      </w:r>
      <w:r>
        <w:rPr/>
        <w:t>年</w:t>
      </w:r>
      <w:r>
        <w:rPr>
          <w:rFonts w:ascii="Calibri" w:hAnsi="Calibri" w:cs="Calibri" w:eastAsia="Calibri" w:hint="default"/>
        </w:rPr>
        <w:t>7</w:t>
      </w:r>
      <w:r>
        <w:rPr/>
        <w:t>月</w:t>
      </w:r>
      <w:r>
        <w:rPr>
          <w:rFonts w:ascii="Calibri" w:hAnsi="Calibri" w:cs="Calibri" w:eastAsia="Calibri" w:hint="default"/>
        </w:rPr>
        <w:t>2</w:t>
      </w:r>
      <w:r>
        <w:rPr/>
        <w:t>日， 上海南康科技有限公司已完成了股东转让的工商变更登记手续，本公司按照协议的 约定支付了第一期和第二期转让款</w:t>
      </w:r>
      <w:r>
        <w:rPr>
          <w:rFonts w:ascii="Calibri" w:hAnsi="Calibri" w:cs="Calibri" w:eastAsia="Calibri" w:hint="default"/>
        </w:rPr>
        <w:t>3,200</w:t>
      </w:r>
      <w:r>
        <w:rPr/>
        <w:t>万元，剩余四期股权转让款每期</w:t>
      </w:r>
      <w:r>
        <w:rPr>
          <w:rFonts w:ascii="Calibri" w:hAnsi="Calibri" w:cs="Calibri" w:eastAsia="Calibri" w:hint="default"/>
        </w:rPr>
        <w:t>1,500</w:t>
      </w:r>
      <w:r>
        <w:rPr/>
        <w:t>万 元，分别于业绩承诺期内每个会计年度后支付。购买日折现后合并成本为 </w:t>
      </w:r>
      <w:r>
        <w:rPr>
          <w:rFonts w:ascii="Calibri" w:hAnsi="Calibri" w:cs="Calibri" w:eastAsia="Calibri" w:hint="default"/>
        </w:rPr>
        <w:t>87,836,360.26</w:t>
      </w:r>
      <w:r>
        <w:rPr/>
        <w:t>元。本期纳入合并财务报表范围。</w:t>
      </w:r>
    </w:p>
    <w:p>
      <w:pPr>
        <w:pStyle w:val="Heading2"/>
        <w:spacing w:line="240" w:lineRule="auto" w:before="226"/>
        <w:ind w:right="225"/>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Microsoft JhengHei" w:hAnsi="Microsoft JhengHei" w:cs="Microsoft JhengHei" w:eastAsia="Microsoft JhengHei" w:hint="default"/>
          <w:b/>
          <w:bCs/>
          <w:sz w:val="24"/>
          <w:szCs w:val="24"/>
        </w:rPr>
      </w:pPr>
    </w:p>
    <w:p>
      <w:pPr>
        <w:pStyle w:val="BodyText"/>
        <w:spacing w:line="240" w:lineRule="auto" w:before="0"/>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4603"/>
        <w:gridCol w:w="4603"/>
      </w:tblGrid>
      <w:tr>
        <w:trPr>
          <w:trHeight w:val="322"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合并成本</w:t>
            </w:r>
            <w:r>
              <w:rPr>
                <w:rFonts w:ascii="Microsoft JhengHei" w:hAnsi="Microsoft JhengHei" w:cs="Microsoft JhengHei" w:eastAsia="Microsoft JhengHei" w:hint="default"/>
                <w:sz w:val="21"/>
                <w:szCs w:val="21"/>
              </w:rPr>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上海南康科技有限公司</w:t>
            </w:r>
            <w:r>
              <w:rPr>
                <w:rFonts w:ascii="Microsoft JhengHei" w:hAnsi="Microsoft JhengHei" w:cs="Microsoft JhengHei" w:eastAsia="Microsoft JhengHei" w:hint="default"/>
                <w:sz w:val="21"/>
                <w:szCs w:val="21"/>
              </w:rPr>
            </w:r>
          </w:p>
        </w:tc>
      </w:tr>
      <w:tr>
        <w:trPr>
          <w:trHeight w:val="322"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现金</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87,836,360.26</w:t>
            </w:r>
          </w:p>
        </w:tc>
      </w:tr>
      <w:tr>
        <w:trPr>
          <w:trHeight w:val="323"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合并成本合计</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87,836,360.26</w:t>
            </w:r>
          </w:p>
        </w:tc>
      </w:tr>
      <w:tr>
        <w:trPr>
          <w:trHeight w:val="323"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Calibri" w:hAnsi="Calibri" w:cs="Calibri" w:eastAsia="Calibri" w:hint="default"/>
                <w:sz w:val="21"/>
                <w:szCs w:val="21"/>
              </w:rPr>
            </w:pPr>
            <w:r>
              <w:rPr>
                <w:rFonts w:ascii="Calibri"/>
                <w:sz w:val="21"/>
              </w:rPr>
              <w:t>26,644,277.88</w:t>
            </w:r>
          </w:p>
        </w:tc>
      </w:tr>
      <w:tr>
        <w:trPr>
          <w:trHeight w:val="634" w:hRule="exact"/>
        </w:trPr>
        <w:tc>
          <w:tcPr>
            <w:tcW w:w="4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768" w:right="49" w:hanging="1721"/>
              <w:jc w:val="left"/>
              <w:rPr>
                <w:rFonts w:ascii="宋体" w:hAnsi="宋体" w:cs="宋体" w:eastAsia="宋体" w:hint="default"/>
                <w:sz w:val="21"/>
                <w:szCs w:val="21"/>
              </w:rPr>
            </w:pPr>
            <w:r>
              <w:rPr>
                <w:rFonts w:ascii="宋体" w:hAnsi="宋体" w:cs="宋体" w:eastAsia="宋体" w:hint="default"/>
                <w:spacing w:val="-2"/>
                <w:sz w:val="21"/>
                <w:szCs w:val="21"/>
              </w:rPr>
              <w:t>商誉</w:t>
            </w:r>
            <w:r>
              <w:rPr>
                <w:rFonts w:ascii="Calibri" w:hAnsi="Calibri" w:cs="Calibri" w:eastAsia="Calibri" w:hint="default"/>
                <w:spacing w:val="-2"/>
                <w:sz w:val="21"/>
                <w:szCs w:val="21"/>
              </w:rPr>
              <w:t>/</w:t>
            </w:r>
            <w:r>
              <w:rPr>
                <w:rFonts w:ascii="宋体" w:hAnsi="宋体" w:cs="宋体" w:eastAsia="宋体" w:hint="default"/>
                <w:spacing w:val="-2"/>
                <w:sz w:val="21"/>
                <w:szCs w:val="21"/>
              </w:rPr>
              <w:t>合并成本小于取得的可辨认净资产公允价值</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份额的金额</w:t>
            </w:r>
          </w:p>
        </w:tc>
        <w:tc>
          <w:tcPr>
            <w:tcW w:w="4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61,192,082.38</w:t>
            </w:r>
          </w:p>
        </w:tc>
      </w:tr>
    </w:tbl>
    <w:p>
      <w:pPr>
        <w:pStyle w:val="BodyText"/>
        <w:spacing w:line="357" w:lineRule="auto" w:before="39"/>
        <w:ind w:left="1582" w:right="149"/>
        <w:jc w:val="left"/>
      </w:pPr>
      <w:r>
        <w:rPr/>
        <w:t>合并成本公允价值的确定方法、或有对价及其变动的说明：无 大额商誉形成的主要原因：本期收购南康科技产生商誉</w:t>
      </w:r>
      <w:r>
        <w:rPr>
          <w:spacing w:val="-61"/>
        </w:rPr>
        <w:t> </w:t>
      </w:r>
      <w:r>
        <w:rPr>
          <w:rFonts w:ascii="Calibri" w:hAnsi="Calibri" w:cs="Calibri" w:eastAsia="Calibri" w:hint="default"/>
        </w:rPr>
        <w:t>61,192,082.38</w:t>
      </w:r>
      <w:r>
        <w:rPr>
          <w:rFonts w:ascii="Calibri" w:hAnsi="Calibri" w:cs="Calibri" w:eastAsia="Calibri" w:hint="default"/>
          <w:spacing w:val="5"/>
        </w:rPr>
        <w:t> </w:t>
      </w:r>
      <w:r>
        <w:rPr/>
        <w:t>万元，造</w:t>
      </w:r>
    </w:p>
    <w:p>
      <w:pPr>
        <w:pStyle w:val="BodyText"/>
        <w:spacing w:line="294" w:lineRule="exact" w:before="0"/>
        <w:ind w:left="1101" w:right="225"/>
        <w:jc w:val="left"/>
      </w:pPr>
      <w:r>
        <w:rPr/>
        <w:t>成商誉余额大幅增加。</w:t>
      </w:r>
    </w:p>
    <w:p>
      <w:pPr>
        <w:spacing w:line="240" w:lineRule="auto" w:before="11"/>
        <w:rPr>
          <w:rFonts w:ascii="宋体" w:hAnsi="宋体" w:cs="宋体" w:eastAsia="宋体" w:hint="default"/>
          <w:sz w:val="28"/>
          <w:szCs w:val="28"/>
        </w:rPr>
      </w:pPr>
    </w:p>
    <w:p>
      <w:pPr>
        <w:pStyle w:val="Heading2"/>
        <w:spacing w:line="240" w:lineRule="auto"/>
        <w:ind w:right="225"/>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before="0"/>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13" w:right="0"/>
              <w:jc w:val="left"/>
              <w:rPr>
                <w:rFonts w:ascii="宋体" w:hAnsi="宋体" w:cs="宋体" w:eastAsia="宋体" w:hint="default"/>
                <w:sz w:val="21"/>
                <w:szCs w:val="21"/>
              </w:rPr>
            </w:pPr>
            <w:r>
              <w:rPr>
                <w:rFonts w:ascii="宋体" w:hAnsi="宋体" w:cs="宋体" w:eastAsia="宋体" w:hint="default"/>
                <w:sz w:val="21"/>
                <w:szCs w:val="21"/>
              </w:rPr>
              <w:t>上海南康科技有限公司</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购买日公允价值</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697,156.98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697,156.98</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28,269,170.83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28,269,170.83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非流动资产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2,360,968.10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2,360,968.10</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3,722,643.19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3,722,643.19</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非流动负债</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263,217.86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263,217.86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26,644,277.88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26,644,277.88</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取得的净资产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26,644,277.88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26,644,277.88</w:t>
            </w:r>
          </w:p>
        </w:tc>
      </w:tr>
    </w:tbl>
    <w:p>
      <w:pPr>
        <w:pStyle w:val="Heading2"/>
        <w:spacing w:line="380" w:lineRule="exact"/>
        <w:ind w:right="225"/>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126"/>
        <w:ind w:left="1582" w:right="225"/>
        <w:jc w:val="left"/>
      </w:pPr>
      <w:r>
        <w:rPr/>
        <w:t>是否存在通过多次交易分步实现企业合并且在报告期内取得控制权的交易</w:t>
      </w:r>
    </w:p>
    <w:p>
      <w:pPr>
        <w:pStyle w:val="BodyText"/>
        <w:spacing w:line="240" w:lineRule="auto" w:before="154"/>
        <w:ind w:left="1582" w:right="225"/>
        <w:jc w:val="left"/>
      </w:pPr>
      <w:r>
        <w:rPr>
          <w:rFonts w:ascii="Calibri" w:hAnsi="Calibri" w:cs="Calibri" w:eastAsia="Calibri" w:hint="default"/>
        </w:rPr>
        <w:t>□  </w:t>
      </w:r>
      <w:r>
        <w:rPr/>
        <w:t>是 </w:t>
      </w:r>
      <w:r>
        <w:rPr>
          <w:rFonts w:ascii="Calibri" w:hAnsi="Calibri" w:cs="Calibri" w:eastAsia="Calibri" w:hint="default"/>
        </w:rPr>
        <w:t>√ </w:t>
      </w:r>
      <w:r>
        <w:rPr>
          <w:rFonts w:ascii="Calibri" w:hAnsi="Calibri" w:cs="Calibri" w:eastAsia="Calibri" w:hint="default"/>
          <w:spacing w:val="21"/>
        </w:rPr>
        <w:t> </w:t>
      </w:r>
      <w:r>
        <w:rPr/>
        <w:t>否</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w:t>
      </w:r>
      <w:r>
        <w:rPr>
          <w:b w:val="0"/>
          <w:bCs w:val="0"/>
        </w:rPr>
      </w:r>
    </w:p>
    <w:p>
      <w:pPr>
        <w:spacing w:line="312" w:lineRule="auto" w:before="50"/>
        <w:ind w:left="1101" w:right="742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允价值的相关说明</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无</w:t>
      </w:r>
    </w:p>
    <w:p>
      <w:pPr>
        <w:spacing w:line="312" w:lineRule="auto" w:before="5"/>
        <w:ind w:left="1101" w:right="634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、同一控制下企业合并</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无</w:t>
      </w:r>
    </w:p>
    <w:p>
      <w:pPr>
        <w:spacing w:line="312" w:lineRule="auto" w:before="5"/>
        <w:ind w:left="1101" w:right="754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、反向购买</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w:t>
      </w:r>
    </w:p>
    <w:p>
      <w:pPr>
        <w:spacing w:line="312" w:lineRule="auto" w:before="5"/>
        <w:ind w:left="1101" w:right="730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、处置子公司</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w:t>
      </w:r>
    </w:p>
    <w:p>
      <w:pPr>
        <w:spacing w:line="312" w:lineRule="auto" w:before="5"/>
        <w:ind w:left="1582" w:right="2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、其他原因的合并范围变动</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说明其他原因导致的合并范围变动（如，新设子公司、清算子公司等）及其相</w:t>
      </w:r>
    </w:p>
    <w:p>
      <w:pPr>
        <w:pStyle w:val="BodyText"/>
        <w:spacing w:line="240" w:lineRule="auto" w:before="82"/>
        <w:ind w:left="1101" w:right="225"/>
        <w:jc w:val="left"/>
      </w:pPr>
      <w:r>
        <w:rPr/>
        <w:t>关情况：</w:t>
      </w:r>
    </w:p>
    <w:p>
      <w:pPr>
        <w:pStyle w:val="BodyText"/>
        <w:spacing w:line="326" w:lineRule="auto" w:before="154"/>
        <w:ind w:left="1101" w:right="205" w:firstLine="480"/>
        <w:jc w:val="left"/>
      </w:pPr>
      <w:r>
        <w:rPr/>
        <w:t>（</w:t>
      </w:r>
      <w:r>
        <w:rPr>
          <w:rFonts w:ascii="Calibri" w:hAnsi="Calibri" w:cs="Calibri" w:eastAsia="Calibri" w:hint="default"/>
        </w:rPr>
        <w:t>1</w:t>
      </w:r>
      <w:r>
        <w:rPr/>
        <w:t>）本公司</w:t>
      </w:r>
      <w:r>
        <w:rPr>
          <w:rFonts w:ascii="Calibri" w:hAnsi="Calibri" w:cs="Calibri" w:eastAsia="Calibri" w:hint="default"/>
        </w:rPr>
        <w:t>2014</w:t>
      </w:r>
      <w:r>
        <w:rPr/>
        <w:t>年新设立全资子公司－山东超图软件有限公司，截至</w:t>
      </w:r>
      <w:r>
        <w:rPr>
          <w:rFonts w:ascii="Calibri" w:hAnsi="Calibri" w:cs="Calibri" w:eastAsia="Calibri" w:hint="default"/>
        </w:rPr>
        <w:t>2014</w:t>
      </w:r>
      <w:r>
        <w:rPr/>
        <w:t>年 </w:t>
      </w:r>
      <w:r>
        <w:rPr>
          <w:rFonts w:ascii="Calibri" w:hAnsi="Calibri" w:cs="Calibri" w:eastAsia="Calibri" w:hint="default"/>
        </w:rPr>
        <w:t>12</w:t>
      </w:r>
      <w:r>
        <w:rPr/>
        <w:t>月</w:t>
      </w:r>
      <w:r>
        <w:rPr>
          <w:rFonts w:ascii="Calibri" w:hAnsi="Calibri" w:cs="Calibri" w:eastAsia="Calibri" w:hint="default"/>
        </w:rPr>
        <w:t>31</w:t>
      </w:r>
      <w:r>
        <w:rPr/>
        <w:t>日，该公司已完成工商登记，本公司尚未缴付认缴出资款，</w:t>
      </w:r>
      <w:r>
        <w:rPr>
          <w:rFonts w:ascii="Calibri" w:hAnsi="Calibri" w:cs="Calibri" w:eastAsia="Calibri" w:hint="default"/>
        </w:rPr>
        <w:t>2014</w:t>
      </w:r>
      <w:r>
        <w:rPr/>
        <w:t>年末未纳入 合并财务报表范围。截至</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日，本公司已缴足认缴出资款，</w:t>
      </w:r>
      <w:r>
        <w:rPr>
          <w:rFonts w:ascii="Calibri" w:hAnsi="Calibri" w:cs="Calibri" w:eastAsia="Calibri" w:hint="default"/>
        </w:rPr>
        <w:t>2015</w:t>
      </w:r>
      <w:r>
        <w:rPr/>
        <w:t>年开始 纳入合并财务报表范围。</w:t>
      </w:r>
    </w:p>
    <w:p>
      <w:pPr>
        <w:pStyle w:val="BodyText"/>
        <w:spacing w:line="326" w:lineRule="auto" w:before="67"/>
        <w:ind w:left="1101" w:right="212" w:firstLine="480"/>
        <w:jc w:val="left"/>
      </w:pPr>
      <w:r>
        <w:rPr/>
        <w:t>（</w:t>
      </w:r>
      <w:r>
        <w:rPr>
          <w:rFonts w:ascii="Calibri" w:hAnsi="Calibri" w:cs="Calibri" w:eastAsia="Calibri" w:hint="default"/>
        </w:rPr>
        <w:t>2</w:t>
      </w:r>
      <w:r>
        <w:rPr/>
        <w:t>）本公司所属子公司北京超图信息技术有限公司</w:t>
      </w:r>
      <w:r>
        <w:rPr>
          <w:rFonts w:ascii="Calibri" w:hAnsi="Calibri" w:cs="Calibri" w:eastAsia="Calibri" w:hint="default"/>
        </w:rPr>
        <w:t>2015</w:t>
      </w:r>
      <w:r>
        <w:rPr/>
        <w:t>年投资新设芜湖联智 信息技术有限公司，截至</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日，该公司已完成工商登记并部分缴付认缴 出资款，</w:t>
      </w:r>
      <w:r>
        <w:rPr>
          <w:rFonts w:ascii="Calibri" w:hAnsi="Calibri" w:cs="Calibri" w:eastAsia="Calibri" w:hint="default"/>
        </w:rPr>
        <w:t>2015</w:t>
      </w:r>
      <w:r>
        <w:rPr/>
        <w:t>年开始纳入合并财务报表范围。</w:t>
      </w:r>
    </w:p>
    <w:p>
      <w:pPr>
        <w:pStyle w:val="Heading2"/>
        <w:spacing w:line="359" w:lineRule="exact"/>
        <w:ind w:left="1104" w:right="225"/>
        <w:jc w:val="left"/>
        <w:rPr>
          <w:b w:val="0"/>
          <w:bCs w:val="0"/>
        </w:rPr>
      </w:pPr>
      <w:bookmarkStart w:name="_bookmark77" w:id="78"/>
      <w:bookmarkEnd w:id="78"/>
      <w:r>
        <w:rPr>
          <w:b w:val="0"/>
          <w:bCs w:val="0"/>
        </w:rPr>
      </w:r>
      <w:r>
        <w:rPr/>
        <w:t>九、在其他主体中的权益</w:t>
      </w:r>
      <w:r>
        <w:rPr>
          <w:b w:val="0"/>
          <w:bCs w:val="0"/>
        </w:rPr>
      </w:r>
    </w:p>
    <w:p>
      <w:pPr>
        <w:spacing w:before="50"/>
        <w:ind w:left="1104" w:right="225" w:firstLine="0"/>
        <w:jc w:val="left"/>
        <w:rPr>
          <w:rFonts w:ascii="Microsoft JhengHei" w:hAnsi="Microsoft JhengHei" w:cs="Microsoft JhengHei" w:eastAsia="Microsoft JhengHei" w:hint="default"/>
          <w:sz w:val="24"/>
          <w:szCs w:val="24"/>
        </w:rPr>
      </w:pP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、在子公司中的权益</w:t>
      </w:r>
      <w:r>
        <w:rPr>
          <w:rFonts w:ascii="Microsoft JhengHei" w:hAnsi="Microsoft JhengHei" w:cs="Microsoft JhengHei" w:eastAsia="Microsoft JhengHei" w:hint="default"/>
          <w:sz w:val="24"/>
          <w:szCs w:val="24"/>
        </w:rPr>
      </w:r>
    </w:p>
    <w:p>
      <w:pPr>
        <w:spacing w:before="47"/>
        <w:ind w:left="1104"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）企业集团的构成</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4"/>
          <w:szCs w:val="4"/>
        </w:rPr>
      </w:pPr>
    </w:p>
    <w:tbl>
      <w:tblPr>
        <w:tblW w:w="0" w:type="auto"/>
        <w:jc w:val="left"/>
        <w:tblInd w:w="622" w:type="dxa"/>
        <w:tblLayout w:type="fixed"/>
        <w:tblCellMar>
          <w:top w:w="0" w:type="dxa"/>
          <w:left w:w="0" w:type="dxa"/>
          <w:bottom w:w="0" w:type="dxa"/>
          <w:right w:w="0" w:type="dxa"/>
        </w:tblCellMar>
        <w:tblLook w:val="01E0"/>
      </w:tblPr>
      <w:tblGrid>
        <w:gridCol w:w="1320"/>
        <w:gridCol w:w="1316"/>
        <w:gridCol w:w="1313"/>
        <w:gridCol w:w="1316"/>
        <w:gridCol w:w="1313"/>
        <w:gridCol w:w="1316"/>
        <w:gridCol w:w="1313"/>
      </w:tblGrid>
      <w:tr>
        <w:trPr>
          <w:trHeight w:val="322" w:hRule="exact"/>
        </w:trPr>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2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1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主要经营地</w:t>
            </w:r>
            <w:r>
              <w:rPr>
                <w:rFonts w:ascii="Microsoft JhengHei" w:hAnsi="Microsoft JhengHei" w:cs="Microsoft JhengHei" w:eastAsia="Microsoft JhengHei" w:hint="default"/>
                <w:sz w:val="18"/>
                <w:szCs w:val="18"/>
              </w:rPr>
            </w:r>
          </w:p>
        </w:tc>
        <w:tc>
          <w:tcPr>
            <w:tcW w:w="13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55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4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13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4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取得方式</w:t>
            </w:r>
            <w:r>
              <w:rPr>
                <w:rFonts w:ascii="Microsoft JhengHei" w:hAnsi="Microsoft JhengHei" w:cs="Microsoft JhengHei" w:eastAsia="Microsoft JhengHei" w:hint="default"/>
                <w:sz w:val="18"/>
                <w:szCs w:val="18"/>
              </w:rPr>
            </w:r>
          </w:p>
        </w:tc>
      </w:tr>
      <w:tr>
        <w:trPr>
          <w:trHeight w:val="322" w:hRule="exact"/>
        </w:trPr>
        <w:tc>
          <w:tcPr>
            <w:tcW w:w="1320"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w:t>
            </w:r>
            <w:r>
              <w:rPr>
                <w:rFonts w:ascii="Microsoft JhengHei" w:hAnsi="Microsoft JhengHei" w:cs="Microsoft JhengHei" w:eastAsia="Microsoft JhengHei"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间接</w:t>
            </w:r>
            <w:r>
              <w:rPr>
                <w:rFonts w:ascii="Microsoft JhengHei" w:hAnsi="Microsoft JhengHei" w:cs="Microsoft JhengHei" w:eastAsia="Microsoft JhengHei" w:hint="default"/>
                <w:sz w:val="18"/>
                <w:szCs w:val="18"/>
              </w:rPr>
            </w:r>
          </w:p>
        </w:tc>
        <w:tc>
          <w:tcPr>
            <w:tcW w:w="1313"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1" w:right="26" w:hanging="180"/>
              <w:jc w:val="left"/>
              <w:rPr>
                <w:rFonts w:ascii="宋体" w:hAnsi="宋体" w:cs="宋体" w:eastAsia="宋体" w:hint="default"/>
                <w:sz w:val="18"/>
                <w:szCs w:val="18"/>
              </w:rPr>
            </w:pPr>
            <w:r>
              <w:rPr>
                <w:rFonts w:ascii="宋体" w:hAnsi="宋体" w:cs="宋体" w:eastAsia="宋体" w:hint="default"/>
                <w:sz w:val="18"/>
                <w:szCs w:val="18"/>
              </w:rPr>
              <w:t>北京超图信息技 术有限公司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北京</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357"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513" w:right="0"/>
              <w:jc w:val="lef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63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1" w:right="26" w:hanging="360"/>
              <w:jc w:val="left"/>
              <w:rPr>
                <w:rFonts w:ascii="宋体" w:hAnsi="宋体" w:cs="宋体" w:eastAsia="宋体" w:hint="default"/>
                <w:sz w:val="18"/>
                <w:szCs w:val="18"/>
              </w:rPr>
            </w:pPr>
            <w:r>
              <w:rPr>
                <w:rFonts w:ascii="宋体" w:hAnsi="宋体" w:cs="宋体" w:eastAsia="宋体" w:hint="default"/>
                <w:sz w:val="18"/>
                <w:szCs w:val="18"/>
              </w:rPr>
              <w:t>上海超途软件有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上海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57"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9" w:right="113" w:hanging="450"/>
              <w:jc w:val="left"/>
              <w:rPr>
                <w:rFonts w:ascii="宋体" w:hAnsi="宋体" w:cs="宋体" w:eastAsia="宋体" w:hint="default"/>
                <w:sz w:val="18"/>
                <w:szCs w:val="18"/>
              </w:rPr>
            </w:pPr>
            <w:r>
              <w:rPr>
                <w:rFonts w:ascii="宋体" w:hAnsi="宋体" w:cs="宋体" w:eastAsia="宋体" w:hint="default"/>
                <w:sz w:val="18"/>
                <w:szCs w:val="18"/>
              </w:rPr>
              <w:t>软硬件开发销 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513" w:right="0"/>
              <w:jc w:val="lef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1" w:right="26" w:hanging="360"/>
              <w:jc w:val="left"/>
              <w:rPr>
                <w:rFonts w:ascii="宋体" w:hAnsi="宋体" w:cs="宋体" w:eastAsia="宋体" w:hint="default"/>
                <w:sz w:val="18"/>
                <w:szCs w:val="18"/>
              </w:rPr>
            </w:pPr>
            <w:r>
              <w:rPr>
                <w:rFonts w:ascii="宋体" w:hAnsi="宋体" w:cs="宋体" w:eastAsia="宋体" w:hint="default"/>
                <w:sz w:val="18"/>
                <w:szCs w:val="18"/>
              </w:rPr>
              <w:t>山东超图软件有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山东</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357"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513" w:right="0"/>
              <w:jc w:val="lef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6"/>
              <w:jc w:val="left"/>
              <w:rPr>
                <w:rFonts w:ascii="宋体" w:hAnsi="宋体" w:cs="宋体" w:eastAsia="宋体" w:hint="default"/>
                <w:sz w:val="18"/>
                <w:szCs w:val="18"/>
              </w:rPr>
            </w:pPr>
            <w:r>
              <w:rPr>
                <w:rFonts w:ascii="宋体" w:hAnsi="宋体" w:cs="宋体" w:eastAsia="宋体" w:hint="default"/>
                <w:sz w:val="18"/>
                <w:szCs w:val="18"/>
              </w:rPr>
              <w:t>克拉玛依超图软 件技术有限公司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新疆</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357" w:right="0"/>
              <w:jc w:val="center"/>
              <w:rPr>
                <w:rFonts w:ascii="宋体" w:hAnsi="宋体" w:cs="宋体" w:eastAsia="宋体" w:hint="default"/>
                <w:sz w:val="18"/>
                <w:szCs w:val="18"/>
              </w:rPr>
            </w:pPr>
            <w:r>
              <w:rPr>
                <w:rFonts w:ascii="宋体" w:hAnsi="宋体" w:cs="宋体" w:eastAsia="宋体" w:hint="default"/>
                <w:sz w:val="18"/>
                <w:szCs w:val="18"/>
              </w:rPr>
              <w:t>克拉玛依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9" w:right="113" w:hanging="270"/>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513" w:right="0"/>
              <w:jc w:val="lef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2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超图国际有限公</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3"/>
              <w:jc w:val="right"/>
              <w:rPr>
                <w:rFonts w:ascii="宋体" w:hAnsi="宋体" w:cs="宋体" w:eastAsia="宋体" w:hint="default"/>
                <w:sz w:val="18"/>
                <w:szCs w:val="18"/>
              </w:rPr>
            </w:pPr>
            <w:r>
              <w:rPr>
                <w:rFonts w:ascii="宋体" w:hAnsi="宋体" w:cs="宋体" w:eastAsia="宋体" w:hint="default"/>
                <w:sz w:val="18"/>
                <w:szCs w:val="18"/>
              </w:rPr>
              <w:t>香港</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软件开发销售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13" w:right="0"/>
              <w:jc w:val="lef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1"/>
              <w:jc w:val="righ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right"/>
        <w:rPr>
          <w:rFonts w:ascii="宋体" w:hAnsi="宋体" w:cs="宋体" w:eastAsia="宋体" w:hint="default"/>
          <w:sz w:val="18"/>
          <w:szCs w:val="18"/>
        </w:rPr>
        <w:sectPr>
          <w:pgSz w:w="11910" w:h="16840"/>
          <w:pgMar w:header="884" w:footer="1085" w:top="1300" w:bottom="1280" w:left="1080" w:right="840"/>
        </w:sectPr>
      </w:pPr>
    </w:p>
    <w:p>
      <w:pPr>
        <w:spacing w:line="240" w:lineRule="auto" w:before="3"/>
        <w:rPr>
          <w:rFonts w:ascii="Microsoft JhengHei" w:hAnsi="Microsoft JhengHei" w:cs="Microsoft JhengHei" w:eastAsia="Microsoft JhengHei" w:hint="default"/>
          <w:b/>
          <w:bCs/>
          <w:sz w:val="7"/>
          <w:szCs w:val="7"/>
        </w:rPr>
      </w:pPr>
    </w:p>
    <w:tbl>
      <w:tblPr>
        <w:tblW w:w="0" w:type="auto"/>
        <w:jc w:val="left"/>
        <w:tblInd w:w="622" w:type="dxa"/>
        <w:tblLayout w:type="fixed"/>
        <w:tblCellMar>
          <w:top w:w="0" w:type="dxa"/>
          <w:left w:w="0" w:type="dxa"/>
          <w:bottom w:w="0" w:type="dxa"/>
          <w:right w:w="0" w:type="dxa"/>
        </w:tblCellMar>
        <w:tblLook w:val="01E0"/>
      </w:tblPr>
      <w:tblGrid>
        <w:gridCol w:w="1320"/>
        <w:gridCol w:w="1316"/>
        <w:gridCol w:w="1313"/>
        <w:gridCol w:w="1316"/>
        <w:gridCol w:w="1313"/>
        <w:gridCol w:w="1316"/>
        <w:gridCol w:w="1313"/>
      </w:tblGrid>
      <w:tr>
        <w:trPr>
          <w:trHeight w:val="32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司</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61" w:right="26" w:hanging="540"/>
              <w:jc w:val="left"/>
              <w:rPr>
                <w:rFonts w:ascii="宋体" w:hAnsi="宋体" w:cs="宋体" w:eastAsia="宋体" w:hint="default"/>
                <w:sz w:val="18"/>
                <w:szCs w:val="18"/>
              </w:rPr>
            </w:pPr>
            <w:r>
              <w:rPr>
                <w:rFonts w:ascii="宋体" w:hAnsi="宋体" w:cs="宋体" w:eastAsia="宋体" w:hint="default"/>
                <w:sz w:val="18"/>
                <w:szCs w:val="18"/>
              </w:rPr>
              <w:t>日本超图株式会 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日本</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东京</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9" w:right="113" w:hanging="450"/>
              <w:jc w:val="left"/>
              <w:rPr>
                <w:rFonts w:ascii="宋体" w:hAnsi="宋体" w:cs="宋体" w:eastAsia="宋体" w:hint="default"/>
                <w:sz w:val="18"/>
                <w:szCs w:val="18"/>
              </w:rPr>
            </w:pPr>
            <w:r>
              <w:rPr>
                <w:rFonts w:ascii="宋体" w:hAnsi="宋体" w:cs="宋体" w:eastAsia="宋体" w:hint="default"/>
                <w:sz w:val="18"/>
                <w:szCs w:val="18"/>
              </w:rPr>
              <w:t>软件研发、销 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202"/>
              <w:jc w:val="right"/>
              <w:rPr>
                <w:rFonts w:ascii="Calibri" w:hAnsi="Calibri" w:cs="Calibri" w:eastAsia="Calibri" w:hint="default"/>
                <w:sz w:val="18"/>
                <w:szCs w:val="18"/>
              </w:rPr>
            </w:pPr>
            <w:r>
              <w:rPr>
                <w:rFonts w:ascii="Calibri"/>
                <w:sz w:val="18"/>
              </w:rPr>
              <w:t>36.60%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562" w:right="0"/>
              <w:jc w:val="left"/>
              <w:rPr>
                <w:rFonts w:ascii="Calibri" w:hAnsi="Calibri" w:cs="Calibri" w:eastAsia="Calibri" w:hint="default"/>
                <w:sz w:val="18"/>
                <w:szCs w:val="18"/>
              </w:rPr>
            </w:pPr>
            <w:r>
              <w:rPr>
                <w:rFonts w:ascii="Calibri"/>
                <w:sz w:val="18"/>
              </w:rPr>
              <w:t>15.09%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11"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63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81" w:right="26" w:hanging="360"/>
              <w:jc w:val="left"/>
              <w:rPr>
                <w:rFonts w:ascii="宋体" w:hAnsi="宋体" w:cs="宋体" w:eastAsia="宋体" w:hint="default"/>
                <w:sz w:val="18"/>
                <w:szCs w:val="18"/>
              </w:rPr>
            </w:pPr>
            <w:r>
              <w:rPr>
                <w:rFonts w:ascii="宋体" w:hAnsi="宋体" w:cs="宋体" w:eastAsia="宋体" w:hint="default"/>
                <w:sz w:val="18"/>
                <w:szCs w:val="18"/>
              </w:rPr>
              <w:t>上海南康科技有 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上海</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上海</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57"/>
              <w:jc w:val="right"/>
              <w:rPr>
                <w:rFonts w:ascii="Calibri" w:hAnsi="Calibri" w:cs="Calibri" w:eastAsia="Calibri" w:hint="default"/>
                <w:sz w:val="18"/>
                <w:szCs w:val="18"/>
              </w:rPr>
            </w:pPr>
            <w:r>
              <w:rPr>
                <w:rFonts w:ascii="Calibri"/>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11" w:hanging="18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line="384" w:lineRule="exact" w:before="0"/>
        <w:ind w:left="1104"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2</w:t>
      </w:r>
      <w:r>
        <w:rPr>
          <w:rFonts w:ascii="Microsoft JhengHei" w:hAnsi="Microsoft JhengHei" w:cs="Microsoft JhengHei" w:eastAsia="Microsoft JhengHei" w:hint="default"/>
          <w:b/>
          <w:bCs/>
          <w:sz w:val="24"/>
          <w:szCs w:val="24"/>
        </w:rPr>
        <w:t>）重要的非全资子公司</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44"/>
        <w:gridCol w:w="1843"/>
        <w:gridCol w:w="1841"/>
        <w:gridCol w:w="1839"/>
        <w:gridCol w:w="1839"/>
      </w:tblGrid>
      <w:tr>
        <w:trPr>
          <w:trHeight w:val="95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少数股东持股比例</w:t>
            </w:r>
            <w:r>
              <w:rPr>
                <w:rFonts w:ascii="Microsoft JhengHei" w:hAnsi="Microsoft JhengHei" w:cs="Microsoft JhengHei" w:eastAsia="Microsoft JhengHei"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1" w:right="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本期归属于少数股东</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的损益</w:t>
            </w:r>
            <w:r>
              <w:rPr>
                <w:rFonts w:ascii="Microsoft JhengHei" w:hAnsi="Microsoft JhengHei" w:cs="Microsoft JhengHei" w:eastAsia="Microsoft JhengHei"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1" w:right="1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本期向少数股东宣告</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分派的股利</w:t>
            </w:r>
            <w:r>
              <w:rPr>
                <w:rFonts w:ascii="Microsoft JhengHei" w:hAnsi="Microsoft JhengHei" w:cs="Microsoft JhengHei" w:eastAsia="Microsoft JhengHei"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1"/>
              <w:ind w:left="21" w:right="17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期末少数股东权益余</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日本超图株式会社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Calibri" w:hAnsi="Calibri" w:cs="Calibri" w:eastAsia="Calibri" w:hint="default"/>
                <w:sz w:val="18"/>
                <w:szCs w:val="18"/>
              </w:rPr>
            </w:pPr>
            <w:r>
              <w:rPr>
                <w:rFonts w:ascii="Calibri"/>
                <w:sz w:val="18"/>
              </w:rPr>
              <w:t>48.31%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Calibri" w:hAnsi="Calibri" w:cs="Calibri" w:eastAsia="Calibri" w:hint="default"/>
                <w:sz w:val="18"/>
                <w:szCs w:val="18"/>
              </w:rPr>
            </w:pPr>
            <w:r>
              <w:rPr>
                <w:rFonts w:ascii="Calibri"/>
                <w:sz w:val="18"/>
              </w:rPr>
              <w:t>-465,681.35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Calibri" w:hAnsi="Calibri" w:cs="Calibri" w:eastAsia="Calibri" w:hint="default"/>
                <w:sz w:val="18"/>
                <w:szCs w:val="18"/>
              </w:rPr>
            </w:pPr>
            <w:r>
              <w:rPr>
                <w:rFonts w:ascii="Calibri"/>
                <w:sz w:val="18"/>
              </w:rPr>
              <w:t>0.00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8" w:right="0"/>
              <w:jc w:val="left"/>
              <w:rPr>
                <w:rFonts w:ascii="Calibri" w:hAnsi="Calibri" w:cs="Calibri" w:eastAsia="Calibri" w:hint="default"/>
                <w:sz w:val="18"/>
                <w:szCs w:val="18"/>
              </w:rPr>
            </w:pPr>
            <w:r>
              <w:rPr>
                <w:rFonts w:ascii="Calibri"/>
                <w:sz w:val="18"/>
              </w:rPr>
              <w:t>12,932,146.14</w:t>
            </w:r>
          </w:p>
        </w:tc>
      </w:tr>
    </w:tbl>
    <w:p>
      <w:pPr>
        <w:pStyle w:val="BodyText"/>
        <w:spacing w:line="357" w:lineRule="auto" w:before="39"/>
        <w:ind w:left="1101" w:right="2025"/>
        <w:jc w:val="left"/>
      </w:pPr>
      <w:r>
        <w:rPr/>
        <w:t>子公司少数股东的持股比例不同于表决权比例的说明：不存在此情况 其他说明：无</w:t>
      </w:r>
    </w:p>
    <w:p>
      <w:pPr>
        <w:pStyle w:val="Heading2"/>
        <w:spacing w:line="381" w:lineRule="exact"/>
        <w:ind w:left="1104" w:right="2025"/>
        <w:jc w:val="left"/>
        <w:rPr>
          <w:b w:val="0"/>
          <w:bCs w:val="0"/>
        </w:rPr>
      </w:pPr>
      <w:r>
        <w:rPr/>
        <w:t>（</w:t>
      </w:r>
      <w:r>
        <w:rPr>
          <w:rFonts w:ascii="Calibri" w:hAnsi="Calibri" w:cs="Calibri" w:eastAsia="Calibri" w:hint="default"/>
        </w:rPr>
        <w:t>3</w:t>
      </w:r>
      <w:r>
        <w:rPr/>
        <w:t>）重要非全资子公司的主要财务信息</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36"/>
        <w:ind w:left="0" w:right="504"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734"/>
        <w:gridCol w:w="737"/>
        <w:gridCol w:w="737"/>
        <w:gridCol w:w="734"/>
        <w:gridCol w:w="737"/>
        <w:gridCol w:w="735"/>
        <w:gridCol w:w="737"/>
        <w:gridCol w:w="734"/>
        <w:gridCol w:w="734"/>
        <w:gridCol w:w="735"/>
        <w:gridCol w:w="737"/>
        <w:gridCol w:w="737"/>
        <w:gridCol w:w="737"/>
      </w:tblGrid>
      <w:tr>
        <w:trPr>
          <w:trHeight w:val="323"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4"/>
              <w:ind w:left="180" w:right="91"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 名称</w:t>
            </w:r>
            <w:r>
              <w:rPr>
                <w:rFonts w:ascii="Microsoft JhengHei" w:hAnsi="Microsoft JhengHei" w:cs="Microsoft JhengHei" w:eastAsia="Microsoft JhengHei" w:hint="default"/>
                <w:sz w:val="18"/>
                <w:szCs w:val="18"/>
              </w:rPr>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r>
      <w:tr>
        <w:trPr>
          <w:trHeight w:val="63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80"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w:t>
            </w:r>
            <w:r>
              <w:rPr>
                <w:rFonts w:ascii="Microsoft JhengHei" w:hAnsi="Microsoft JhengHei" w:cs="Microsoft JhengHei" w:eastAsia="Microsoft JhengHei" w:hint="default"/>
                <w:sz w:val="18"/>
                <w:szCs w:val="18"/>
              </w:rPr>
            </w:r>
          </w:p>
          <w:p>
            <w:pPr>
              <w:pStyle w:val="TableParagraph"/>
              <w:spacing w:line="313" w:lineRule="exact"/>
              <w:ind w:left="1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资产合</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债</w:t>
            </w:r>
            <w:r>
              <w:rPr>
                <w:rFonts w:ascii="Microsoft JhengHei" w:hAnsi="Microsoft JhengHei" w:cs="Microsoft JhengHei" w:eastAsia="Microsoft JhengHei"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80"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w:t>
            </w:r>
            <w:r>
              <w:rPr>
                <w:rFonts w:ascii="Microsoft JhengHei" w:hAnsi="Microsoft JhengHei" w:cs="Microsoft JhengHei" w:eastAsia="Microsoft JhengHei" w:hint="default"/>
                <w:sz w:val="18"/>
                <w:szCs w:val="18"/>
              </w:rPr>
            </w:r>
          </w:p>
          <w:p>
            <w:pPr>
              <w:pStyle w:val="TableParagraph"/>
              <w:spacing w:line="313" w:lineRule="exact"/>
              <w:ind w:left="1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产</w:t>
            </w:r>
            <w:r>
              <w:rPr>
                <w:rFonts w:ascii="Microsoft JhengHei" w:hAnsi="Microsoft JhengHei" w:cs="Microsoft JhengHei" w:eastAsia="Microsoft JhengHei"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79"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w:t>
            </w:r>
            <w:r>
              <w:rPr>
                <w:rFonts w:ascii="Microsoft JhengHei" w:hAnsi="Microsoft JhengHei" w:cs="Microsoft JhengHei" w:eastAsia="Microsoft JhengHei" w:hint="default"/>
                <w:sz w:val="18"/>
                <w:szCs w:val="18"/>
              </w:rPr>
            </w:r>
          </w:p>
          <w:p>
            <w:pPr>
              <w:pStyle w:val="TableParagraph"/>
              <w:spacing w:line="313" w:lineRule="exact"/>
              <w:ind w:left="17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w:t>
            </w:r>
            <w:r>
              <w:rPr>
                <w:rFonts w:ascii="Microsoft JhengHei" w:hAnsi="Microsoft JhengHei" w:cs="Microsoft JhengHei" w:eastAsia="Microsoft JhengHei"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资产合</w:t>
            </w:r>
            <w:r>
              <w:rPr>
                <w:rFonts w:ascii="Microsoft JhengHei" w:hAnsi="Microsoft JhengHei" w:cs="Microsoft JhengHei" w:eastAsia="Microsoft JhengHei" w:hint="default"/>
                <w:sz w:val="18"/>
                <w:szCs w:val="18"/>
              </w:rPr>
            </w:r>
          </w:p>
          <w:p>
            <w:pPr>
              <w:pStyle w:val="TableParagraph"/>
              <w:spacing w:line="313"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债</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82"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w:t>
            </w:r>
            <w:r>
              <w:rPr>
                <w:rFonts w:ascii="Microsoft JhengHei" w:hAnsi="Microsoft JhengHei" w:cs="Microsoft JhengHei" w:eastAsia="Microsoft JhengHei" w:hint="default"/>
                <w:sz w:val="18"/>
                <w:szCs w:val="18"/>
              </w:rPr>
            </w:r>
          </w:p>
          <w:p>
            <w:pPr>
              <w:pStyle w:val="TableParagraph"/>
              <w:spacing w:line="313"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r>
      <w:tr>
        <w:trPr>
          <w:trHeight w:val="94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91" w:right="91"/>
              <w:jc w:val="both"/>
              <w:rPr>
                <w:rFonts w:ascii="宋体" w:hAnsi="宋体" w:cs="宋体" w:eastAsia="宋体" w:hint="default"/>
                <w:sz w:val="18"/>
                <w:szCs w:val="18"/>
              </w:rPr>
            </w:pPr>
            <w:r>
              <w:rPr>
                <w:rFonts w:ascii="宋体" w:hAnsi="宋体" w:cs="宋体" w:eastAsia="宋体" w:hint="default"/>
                <w:sz w:val="18"/>
                <w:szCs w:val="18"/>
              </w:rPr>
              <w:t>日本超 图株式 会社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4,673,00</w:t>
            </w:r>
          </w:p>
          <w:p>
            <w:pPr>
              <w:pStyle w:val="TableParagraph"/>
              <w:spacing w:line="240" w:lineRule="auto" w:before="92"/>
              <w:ind w:right="0"/>
              <w:jc w:val="center"/>
              <w:rPr>
                <w:rFonts w:ascii="Calibri" w:hAnsi="Calibri" w:cs="Calibri" w:eastAsia="Calibri" w:hint="default"/>
                <w:sz w:val="18"/>
                <w:szCs w:val="18"/>
              </w:rPr>
            </w:pPr>
            <w:r>
              <w:rPr>
                <w:rFonts w:ascii="Calibri"/>
                <w:sz w:val="18"/>
              </w:rPr>
              <w:t>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Calibri" w:hAnsi="Calibri" w:cs="Calibri" w:eastAsia="Calibri" w:hint="default"/>
                <w:sz w:val="18"/>
                <w:szCs w:val="18"/>
              </w:rPr>
            </w:pPr>
            <w:r>
              <w:rPr>
                <w:rFonts w:ascii="Calibri"/>
                <w:sz w:val="18"/>
              </w:rPr>
              <w:t>36,534,5</w:t>
            </w:r>
          </w:p>
          <w:p>
            <w:pPr>
              <w:pStyle w:val="TableParagraph"/>
              <w:spacing w:line="240" w:lineRule="auto" w:before="92"/>
              <w:ind w:right="3"/>
              <w:jc w:val="center"/>
              <w:rPr>
                <w:rFonts w:ascii="Calibri" w:hAnsi="Calibri" w:cs="Calibri" w:eastAsia="Calibri" w:hint="default"/>
                <w:sz w:val="18"/>
                <w:szCs w:val="18"/>
              </w:rPr>
            </w:pPr>
            <w:r>
              <w:rPr>
                <w:rFonts w:ascii="Calibri"/>
                <w:sz w:val="18"/>
              </w:rPr>
              <w:t>00.62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Calibri" w:hAnsi="Calibri" w:cs="Calibri" w:eastAsia="Calibri" w:hint="default"/>
                <w:sz w:val="18"/>
                <w:szCs w:val="18"/>
              </w:rPr>
            </w:pPr>
            <w:r>
              <w:rPr>
                <w:rFonts w:ascii="Calibri"/>
                <w:sz w:val="18"/>
              </w:rPr>
              <w:t>41,207,5</w:t>
            </w:r>
          </w:p>
          <w:p>
            <w:pPr>
              <w:pStyle w:val="TableParagraph"/>
              <w:spacing w:line="240" w:lineRule="auto" w:before="92"/>
              <w:ind w:right="0"/>
              <w:jc w:val="center"/>
              <w:rPr>
                <w:rFonts w:ascii="Calibri" w:hAnsi="Calibri" w:cs="Calibri" w:eastAsia="Calibri" w:hint="default"/>
                <w:sz w:val="18"/>
                <w:szCs w:val="18"/>
              </w:rPr>
            </w:pPr>
            <w:r>
              <w:rPr>
                <w:rFonts w:ascii="Calibri"/>
                <w:sz w:val="18"/>
              </w:rPr>
              <w:t>08.68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8,782,48</w:t>
            </w:r>
          </w:p>
          <w:p>
            <w:pPr>
              <w:pStyle w:val="TableParagraph"/>
              <w:spacing w:line="240" w:lineRule="auto" w:before="92"/>
              <w:ind w:right="0"/>
              <w:jc w:val="center"/>
              <w:rPr>
                <w:rFonts w:ascii="Calibri" w:hAnsi="Calibri" w:cs="Calibri" w:eastAsia="Calibri" w:hint="default"/>
                <w:sz w:val="18"/>
                <w:szCs w:val="18"/>
              </w:rPr>
            </w:pPr>
            <w:r>
              <w:rPr>
                <w:rFonts w:ascii="Calibri"/>
                <w:sz w:val="18"/>
              </w:rPr>
              <w:t>6.90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
              <w:jc w:val="center"/>
              <w:rPr>
                <w:rFonts w:ascii="Calibri" w:hAnsi="Calibri" w:cs="Calibri" w:eastAsia="Calibri" w:hint="default"/>
                <w:sz w:val="18"/>
                <w:szCs w:val="18"/>
              </w:rPr>
            </w:pPr>
            <w:r>
              <w:rPr>
                <w:rFonts w:ascii="Calibri"/>
                <w:sz w:val="18"/>
              </w:rPr>
              <w:t>5,655,93</w:t>
            </w:r>
          </w:p>
          <w:p>
            <w:pPr>
              <w:pStyle w:val="TableParagraph"/>
              <w:spacing w:line="240" w:lineRule="auto" w:before="92"/>
              <w:ind w:right="0"/>
              <w:jc w:val="center"/>
              <w:rPr>
                <w:rFonts w:ascii="Calibri" w:hAnsi="Calibri" w:cs="Calibri" w:eastAsia="Calibri" w:hint="default"/>
                <w:sz w:val="18"/>
                <w:szCs w:val="18"/>
              </w:rPr>
            </w:pPr>
            <w:r>
              <w:rPr>
                <w:rFonts w:ascii="Calibri"/>
                <w:sz w:val="18"/>
              </w:rPr>
              <w:t>4.34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14,438,4</w:t>
            </w:r>
          </w:p>
          <w:p>
            <w:pPr>
              <w:pStyle w:val="TableParagraph"/>
              <w:spacing w:line="240" w:lineRule="auto" w:before="92"/>
              <w:ind w:right="0"/>
              <w:jc w:val="center"/>
              <w:rPr>
                <w:rFonts w:ascii="Calibri" w:hAnsi="Calibri" w:cs="Calibri" w:eastAsia="Calibri" w:hint="default"/>
                <w:sz w:val="18"/>
                <w:szCs w:val="18"/>
              </w:rPr>
            </w:pPr>
            <w:r>
              <w:rPr>
                <w:rFonts w:ascii="Calibri"/>
                <w:sz w:val="18"/>
              </w:rPr>
              <w:t>21.24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Calibri" w:hAnsi="Calibri" w:cs="Calibri" w:eastAsia="Calibri" w:hint="default"/>
                <w:sz w:val="18"/>
                <w:szCs w:val="18"/>
              </w:rPr>
            </w:pPr>
            <w:r>
              <w:rPr>
                <w:rFonts w:ascii="Calibri"/>
                <w:sz w:val="18"/>
              </w:rPr>
              <w:t>28,849,4</w:t>
            </w:r>
          </w:p>
          <w:p>
            <w:pPr>
              <w:pStyle w:val="TableParagraph"/>
              <w:spacing w:line="240" w:lineRule="auto" w:before="92"/>
              <w:ind w:right="0"/>
              <w:jc w:val="center"/>
              <w:rPr>
                <w:rFonts w:ascii="Calibri" w:hAnsi="Calibri" w:cs="Calibri" w:eastAsia="Calibri" w:hint="default"/>
                <w:sz w:val="18"/>
                <w:szCs w:val="18"/>
              </w:rPr>
            </w:pPr>
            <w:r>
              <w:rPr>
                <w:rFonts w:ascii="Calibri"/>
                <w:sz w:val="18"/>
              </w:rPr>
              <w:t>26.55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Calibri" w:hAnsi="Calibri" w:cs="Calibri" w:eastAsia="Calibri" w:hint="default"/>
                <w:sz w:val="18"/>
                <w:szCs w:val="18"/>
              </w:rPr>
            </w:pPr>
            <w:r>
              <w:rPr>
                <w:rFonts w:ascii="Calibri"/>
                <w:sz w:val="18"/>
              </w:rPr>
              <w:t>12,040,6</w:t>
            </w:r>
          </w:p>
          <w:p>
            <w:pPr>
              <w:pStyle w:val="TableParagraph"/>
              <w:spacing w:line="240" w:lineRule="auto" w:before="92"/>
              <w:ind w:right="0"/>
              <w:jc w:val="center"/>
              <w:rPr>
                <w:rFonts w:ascii="Calibri" w:hAnsi="Calibri" w:cs="Calibri" w:eastAsia="Calibri" w:hint="default"/>
                <w:sz w:val="18"/>
                <w:szCs w:val="18"/>
              </w:rPr>
            </w:pPr>
            <w:r>
              <w:rPr>
                <w:rFonts w:ascii="Calibri"/>
                <w:sz w:val="18"/>
              </w:rPr>
              <w:t>71.10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Calibri" w:hAnsi="Calibri" w:cs="Calibri" w:eastAsia="Calibri" w:hint="default"/>
                <w:sz w:val="18"/>
                <w:szCs w:val="18"/>
              </w:rPr>
            </w:pPr>
            <w:r>
              <w:rPr>
                <w:rFonts w:ascii="Calibri"/>
                <w:sz w:val="18"/>
              </w:rPr>
              <w:t>40,890,0</w:t>
            </w:r>
          </w:p>
          <w:p>
            <w:pPr>
              <w:pStyle w:val="TableParagraph"/>
              <w:spacing w:line="240" w:lineRule="auto" w:before="92"/>
              <w:ind w:right="1"/>
              <w:jc w:val="center"/>
              <w:rPr>
                <w:rFonts w:ascii="Calibri" w:hAnsi="Calibri" w:cs="Calibri" w:eastAsia="Calibri" w:hint="default"/>
                <w:sz w:val="18"/>
                <w:szCs w:val="18"/>
              </w:rPr>
            </w:pPr>
            <w:r>
              <w:rPr>
                <w:rFonts w:ascii="Calibri"/>
                <w:sz w:val="18"/>
              </w:rPr>
              <w:t>97.65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8,388,71</w:t>
            </w:r>
          </w:p>
          <w:p>
            <w:pPr>
              <w:pStyle w:val="TableParagraph"/>
              <w:spacing w:line="240" w:lineRule="auto" w:before="92"/>
              <w:ind w:right="0"/>
              <w:jc w:val="center"/>
              <w:rPr>
                <w:rFonts w:ascii="Calibri" w:hAnsi="Calibri" w:cs="Calibri" w:eastAsia="Calibri" w:hint="default"/>
                <w:sz w:val="18"/>
                <w:szCs w:val="18"/>
              </w:rPr>
            </w:pPr>
            <w:r>
              <w:rPr>
                <w:rFonts w:ascii="Calibri"/>
                <w:sz w:val="18"/>
              </w:rPr>
              <w:t>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6,010,54</w:t>
            </w:r>
          </w:p>
          <w:p>
            <w:pPr>
              <w:pStyle w:val="TableParagraph"/>
              <w:spacing w:line="240" w:lineRule="auto" w:before="92"/>
              <w:ind w:right="0"/>
              <w:jc w:val="center"/>
              <w:rPr>
                <w:rFonts w:ascii="Calibri" w:hAnsi="Calibri" w:cs="Calibri" w:eastAsia="Calibri" w:hint="default"/>
                <w:sz w:val="18"/>
                <w:szCs w:val="18"/>
              </w:rPr>
            </w:pPr>
            <w:r>
              <w:rPr>
                <w:rFonts w:ascii="Calibri"/>
                <w:sz w:val="18"/>
              </w:rPr>
              <w:t>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14,399,2</w:t>
            </w:r>
          </w:p>
          <w:p>
            <w:pPr>
              <w:pStyle w:val="TableParagraph"/>
              <w:spacing w:line="240" w:lineRule="auto" w:before="92"/>
              <w:ind w:right="0"/>
              <w:jc w:val="center"/>
              <w:rPr>
                <w:rFonts w:ascii="Calibri" w:hAnsi="Calibri" w:cs="Calibri" w:eastAsia="Calibri" w:hint="default"/>
                <w:sz w:val="18"/>
                <w:szCs w:val="18"/>
              </w:rPr>
            </w:pPr>
            <w:r>
              <w:rPr>
                <w:rFonts w:ascii="Calibri"/>
                <w:sz w:val="18"/>
              </w:rPr>
              <w:t>58.54</w:t>
            </w:r>
          </w:p>
        </w:tc>
      </w:tr>
    </w:tbl>
    <w:p>
      <w:pPr>
        <w:spacing w:before="8"/>
        <w:ind w:left="0" w:right="50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622" w:type="dxa"/>
        <w:tblLayout w:type="fixed"/>
        <w:tblCellMar>
          <w:top w:w="0" w:type="dxa"/>
          <w:left w:w="0" w:type="dxa"/>
          <w:bottom w:w="0" w:type="dxa"/>
          <w:right w:w="0" w:type="dxa"/>
        </w:tblCellMar>
        <w:tblLook w:val="01E0"/>
      </w:tblPr>
      <w:tblGrid>
        <w:gridCol w:w="998"/>
        <w:gridCol w:w="1013"/>
        <w:gridCol w:w="1001"/>
        <w:gridCol w:w="1001"/>
        <w:gridCol w:w="1004"/>
        <w:gridCol w:w="1013"/>
        <w:gridCol w:w="1001"/>
        <w:gridCol w:w="1001"/>
        <w:gridCol w:w="1174"/>
      </w:tblGrid>
      <w:tr>
        <w:trPr>
          <w:trHeight w:val="322" w:hRule="exact"/>
        </w:trPr>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4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本期发生额</w:t>
            </w:r>
            <w:r>
              <w:rPr>
                <w:rFonts w:ascii="Microsoft JhengHei" w:hAnsi="Microsoft JhengHei" w:cs="Microsoft JhengHei" w:eastAsia="Microsoft JhengHei" w:hint="default"/>
                <w:sz w:val="18"/>
                <w:szCs w:val="18"/>
              </w:rPr>
            </w:r>
          </w:p>
        </w:tc>
        <w:tc>
          <w:tcPr>
            <w:tcW w:w="4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上期发生额</w:t>
            </w:r>
            <w:r>
              <w:rPr>
                <w:rFonts w:ascii="Microsoft JhengHei" w:hAnsi="Microsoft JhengHei" w:cs="Microsoft JhengHei" w:eastAsia="Microsoft JhengHei" w:hint="default"/>
                <w:sz w:val="18"/>
                <w:szCs w:val="18"/>
              </w:rPr>
            </w:r>
          </w:p>
        </w:tc>
      </w:tr>
      <w:tr>
        <w:trPr>
          <w:trHeight w:val="634" w:hRule="exact"/>
        </w:trPr>
        <w:tc>
          <w:tcPr>
            <w:tcW w:w="998" w:type="dxa"/>
            <w:vMerge/>
            <w:tcBorders>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5"/>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综合收益总</w:t>
            </w:r>
            <w:r>
              <w:rPr>
                <w:rFonts w:ascii="Microsoft JhengHei" w:hAnsi="Microsoft JhengHei" w:cs="Microsoft JhengHei" w:eastAsia="Microsoft JhengHei" w:hint="default"/>
                <w:sz w:val="18"/>
                <w:szCs w:val="18"/>
              </w:rPr>
            </w:r>
          </w:p>
          <w:p>
            <w:pPr>
              <w:pStyle w:val="TableParagraph"/>
              <w:spacing w:line="31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经营活动现</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金流量</w:t>
            </w:r>
            <w:r>
              <w:rPr>
                <w:rFonts w:ascii="Microsoft JhengHei" w:hAnsi="Microsoft JhengHei" w:cs="Microsoft JhengHei" w:eastAsia="Microsoft JhengHei" w:hint="default"/>
                <w:sz w:val="18"/>
                <w:szCs w:val="18"/>
              </w:rPr>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综合收益总</w:t>
            </w:r>
            <w:r>
              <w:rPr>
                <w:rFonts w:ascii="Microsoft JhengHei" w:hAnsi="Microsoft JhengHei" w:cs="Microsoft JhengHei" w:eastAsia="Microsoft JhengHei" w:hint="default"/>
                <w:sz w:val="18"/>
                <w:szCs w:val="18"/>
              </w:rPr>
            </w:r>
          </w:p>
          <w:p>
            <w:pPr>
              <w:pStyle w:val="TableParagraph"/>
              <w:spacing w:line="313"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经营活动现金</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流量</w:t>
            </w:r>
            <w:r>
              <w:rPr>
                <w:rFonts w:ascii="Microsoft JhengHei" w:hAnsi="Microsoft JhengHei" w:cs="Microsoft JhengHei" w:eastAsia="Microsoft JhengHei" w:hint="default"/>
                <w:sz w:val="18"/>
                <w:szCs w:val="18"/>
              </w:rPr>
            </w:r>
          </w:p>
        </w:tc>
      </w:tr>
      <w:tr>
        <w:trPr>
          <w:trHeight w:val="636"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3" w:right="43" w:hanging="180"/>
              <w:jc w:val="left"/>
              <w:rPr>
                <w:rFonts w:ascii="宋体" w:hAnsi="宋体" w:cs="宋体" w:eastAsia="宋体" w:hint="default"/>
                <w:sz w:val="18"/>
                <w:szCs w:val="18"/>
              </w:rPr>
            </w:pPr>
            <w:r>
              <w:rPr>
                <w:rFonts w:ascii="宋体" w:hAnsi="宋体" w:cs="宋体" w:eastAsia="宋体" w:hint="default"/>
                <w:sz w:val="18"/>
                <w:szCs w:val="18"/>
              </w:rPr>
              <w:t>日本超图株 式会社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Calibri" w:hAnsi="Calibri" w:cs="Calibri" w:eastAsia="Calibri" w:hint="default"/>
                <w:sz w:val="18"/>
                <w:szCs w:val="18"/>
              </w:rPr>
            </w:pPr>
            <w:r>
              <w:rPr>
                <w:rFonts w:ascii="Calibri"/>
                <w:sz w:val="18"/>
              </w:rPr>
              <w:t>6,123,685.33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
              <w:jc w:val="center"/>
              <w:rPr>
                <w:rFonts w:ascii="Calibri" w:hAnsi="Calibri" w:cs="Calibri" w:eastAsia="Calibri" w:hint="default"/>
                <w:sz w:val="18"/>
                <w:szCs w:val="18"/>
              </w:rPr>
            </w:pPr>
            <w:r>
              <w:rPr>
                <w:rFonts w:ascii="Calibri"/>
                <w:sz w:val="18"/>
              </w:rPr>
              <w:t>-963,944.00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 w:right="0"/>
              <w:jc w:val="left"/>
              <w:rPr>
                <w:rFonts w:ascii="Calibri" w:hAnsi="Calibri" w:cs="Calibri" w:eastAsia="Calibri" w:hint="default"/>
                <w:sz w:val="18"/>
                <w:szCs w:val="18"/>
              </w:rPr>
            </w:pPr>
            <w:r>
              <w:rPr>
                <w:rFonts w:ascii="Calibri"/>
                <w:sz w:val="18"/>
              </w:rPr>
              <w:t>-963,944.00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Calibri" w:hAnsi="Calibri" w:cs="Calibri" w:eastAsia="Calibri" w:hint="default"/>
                <w:sz w:val="18"/>
                <w:szCs w:val="18"/>
              </w:rPr>
            </w:pPr>
            <w:r>
              <w:rPr>
                <w:rFonts w:ascii="Calibri"/>
                <w:sz w:val="18"/>
              </w:rPr>
              <w:t>-646,520.70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6,998,244.87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
              <w:jc w:val="center"/>
              <w:rPr>
                <w:rFonts w:ascii="Calibri" w:hAnsi="Calibri" w:cs="Calibri" w:eastAsia="Calibri" w:hint="default"/>
                <w:sz w:val="18"/>
                <w:szCs w:val="18"/>
              </w:rPr>
            </w:pPr>
            <w:r>
              <w:rPr>
                <w:rFonts w:ascii="Calibri"/>
                <w:sz w:val="18"/>
              </w:rPr>
              <w:t>-361,586.98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 w:right="0"/>
              <w:jc w:val="left"/>
              <w:rPr>
                <w:rFonts w:ascii="Calibri" w:hAnsi="Calibri" w:cs="Calibri" w:eastAsia="Calibri" w:hint="default"/>
                <w:sz w:val="18"/>
                <w:szCs w:val="18"/>
              </w:rPr>
            </w:pPr>
            <w:r>
              <w:rPr>
                <w:rFonts w:ascii="Calibri"/>
                <w:sz w:val="18"/>
              </w:rPr>
              <w:t>-361,586.98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 w:right="0"/>
              <w:jc w:val="left"/>
              <w:rPr>
                <w:rFonts w:ascii="Calibri" w:hAnsi="Calibri" w:cs="Calibri" w:eastAsia="Calibri" w:hint="default"/>
                <w:sz w:val="18"/>
                <w:szCs w:val="18"/>
              </w:rPr>
            </w:pPr>
            <w:r>
              <w:rPr>
                <w:rFonts w:ascii="Calibri"/>
                <w:sz w:val="18"/>
              </w:rPr>
              <w:t>-25,611,437.06</w:t>
            </w:r>
          </w:p>
        </w:tc>
      </w:tr>
    </w:tbl>
    <w:p>
      <w:pPr>
        <w:pStyle w:val="Heading2"/>
        <w:spacing w:line="384" w:lineRule="exact"/>
        <w:ind w:left="1104" w:right="2025"/>
        <w:jc w:val="left"/>
        <w:rPr>
          <w:b w:val="0"/>
          <w:bCs w:val="0"/>
        </w:rPr>
      </w:pPr>
      <w:r>
        <w:rPr/>
        <w:t>（</w:t>
      </w:r>
      <w:r>
        <w:rPr>
          <w:rFonts w:ascii="Calibri" w:hAnsi="Calibri" w:cs="Calibri" w:eastAsia="Calibri" w:hint="default"/>
        </w:rPr>
        <w:t>4</w:t>
      </w:r>
      <w:r>
        <w:rPr/>
        <w:t>）使用企业集团资产和清偿企业集团债务的重大限制</w:t>
      </w:r>
      <w:r>
        <w:rPr>
          <w:b w:val="0"/>
          <w:bCs w:val="0"/>
        </w:rPr>
      </w:r>
    </w:p>
    <w:p>
      <w:pPr>
        <w:pStyle w:val="BodyText"/>
        <w:spacing w:line="240" w:lineRule="auto" w:before="123"/>
        <w:ind w:left="1101" w:right="2025"/>
        <w:jc w:val="left"/>
      </w:pPr>
      <w:r>
        <w:rPr/>
        <w:t>无</w:t>
      </w:r>
    </w:p>
    <w:p>
      <w:pPr>
        <w:pStyle w:val="Heading2"/>
        <w:spacing w:line="309" w:lineRule="auto" w:before="78"/>
        <w:ind w:right="1461" w:firstLine="2"/>
        <w:jc w:val="left"/>
        <w:rPr>
          <w:rFonts w:ascii="宋体" w:hAnsi="宋体" w:cs="宋体" w:eastAsia="宋体" w:hint="default"/>
          <w:b w:val="0"/>
          <w:bCs w:val="0"/>
        </w:rPr>
      </w:pPr>
      <w:r>
        <w:rPr/>
        <w:t>（</w:t>
      </w:r>
      <w:r>
        <w:rPr>
          <w:rFonts w:ascii="Calibri" w:hAnsi="Calibri" w:cs="Calibri" w:eastAsia="Calibri" w:hint="default"/>
        </w:rPr>
        <w:t>5</w:t>
      </w:r>
      <w:r>
        <w:rPr/>
        <w:t>）向纳入合并财务报表范围的结构化主体提供的财务支持或其他支持</w:t>
      </w:r>
      <w:r>
        <w:rPr>
          <w:spacing w:val="-38"/>
        </w:rPr>
        <w:t> </w:t>
      </w:r>
      <w:r>
        <w:rPr>
          <w:spacing w:val="-38"/>
        </w:rPr>
      </w:r>
      <w:r>
        <w:rPr>
          <w:rFonts w:ascii="宋体" w:hAnsi="宋体" w:cs="宋体" w:eastAsia="宋体" w:hint="default"/>
          <w:b w:val="0"/>
          <w:bCs w:val="0"/>
        </w:rPr>
        <w:t>无</w:t>
      </w:r>
    </w:p>
    <w:p>
      <w:pPr>
        <w:spacing w:line="309" w:lineRule="auto" w:before="8"/>
        <w:ind w:left="1101" w:right="2421" w:firstLine="2"/>
        <w:jc w:val="left"/>
        <w:rPr>
          <w:rFonts w:ascii="宋体" w:hAnsi="宋体" w:cs="宋体" w:eastAsia="宋体" w:hint="default"/>
          <w:sz w:val="24"/>
          <w:szCs w:val="24"/>
        </w:rPr>
      </w:pPr>
      <w:r>
        <w:rPr>
          <w:rFonts w:ascii="Calibri" w:hAnsi="Calibri" w:cs="Calibri" w:eastAsia="Calibri" w:hint="default"/>
          <w:b/>
          <w:bCs/>
          <w:sz w:val="24"/>
          <w:szCs w:val="24"/>
        </w:rPr>
        <w:t>2</w:t>
      </w:r>
      <w:r>
        <w:rPr>
          <w:rFonts w:ascii="Microsoft JhengHei" w:hAnsi="Microsoft JhengHei" w:cs="Microsoft JhengHei" w:eastAsia="Microsoft JhengHei" w:hint="default"/>
          <w:b/>
          <w:bCs/>
          <w:sz w:val="24"/>
          <w:szCs w:val="24"/>
        </w:rPr>
        <w:t>、在子公司的所有者权益份额发生变化且仍控制子公司的交易</w:t>
      </w:r>
      <w:r>
        <w:rPr>
          <w:rFonts w:ascii="Microsoft JhengHei" w:hAnsi="Microsoft JhengHei" w:cs="Microsoft JhengHei" w:eastAsia="Microsoft JhengHei" w:hint="default"/>
          <w:b/>
          <w:bCs/>
          <w:spacing w:val="-42"/>
          <w:sz w:val="24"/>
          <w:szCs w:val="24"/>
        </w:rPr>
        <w:t> </w:t>
      </w:r>
      <w:r>
        <w:rPr>
          <w:rFonts w:ascii="Microsoft JhengHei" w:hAnsi="Microsoft JhengHei" w:cs="Microsoft JhengHei" w:eastAsia="Microsoft JhengHei" w:hint="default"/>
          <w:b/>
          <w:bCs/>
          <w:spacing w:val="-42"/>
          <w:sz w:val="24"/>
          <w:szCs w:val="24"/>
        </w:rPr>
      </w:r>
      <w:r>
        <w:rPr>
          <w:rFonts w:ascii="宋体" w:hAnsi="宋体" w:cs="宋体" w:eastAsia="宋体" w:hint="default"/>
          <w:sz w:val="24"/>
          <w:szCs w:val="24"/>
        </w:rPr>
        <w:t>无</w:t>
      </w:r>
    </w:p>
    <w:p>
      <w:pPr>
        <w:spacing w:before="8"/>
        <w:ind w:left="1104" w:right="2025" w:firstLine="0"/>
        <w:jc w:val="left"/>
        <w:rPr>
          <w:rFonts w:ascii="Microsoft JhengHei" w:hAnsi="Microsoft JhengHei" w:cs="Microsoft JhengHei" w:eastAsia="Microsoft JhengHei" w:hint="default"/>
          <w:sz w:val="24"/>
          <w:szCs w:val="24"/>
        </w:rPr>
      </w:pPr>
      <w:r>
        <w:rPr>
          <w:rFonts w:ascii="Calibri" w:hAnsi="Calibri" w:cs="Calibri" w:eastAsia="Calibri" w:hint="default"/>
          <w:b/>
          <w:bCs/>
          <w:sz w:val="24"/>
          <w:szCs w:val="24"/>
        </w:rPr>
        <w:t>3</w:t>
      </w:r>
      <w:r>
        <w:rPr>
          <w:rFonts w:ascii="Microsoft JhengHei" w:hAnsi="Microsoft JhengHei" w:cs="Microsoft JhengHei" w:eastAsia="Microsoft JhengHei" w:hint="default"/>
          <w:b/>
          <w:bCs/>
          <w:sz w:val="24"/>
          <w:szCs w:val="24"/>
        </w:rPr>
        <w:t>、在合营安排或联营企业中的权益</w:t>
      </w:r>
      <w:r>
        <w:rPr>
          <w:rFonts w:ascii="Microsoft JhengHei" w:hAnsi="Microsoft JhengHei" w:cs="Microsoft JhengHei" w:eastAsia="Microsoft JhengHei" w:hint="default"/>
          <w:sz w:val="24"/>
          <w:szCs w:val="24"/>
        </w:rPr>
      </w:r>
    </w:p>
    <w:p>
      <w:pPr>
        <w:spacing w:before="47"/>
        <w:ind w:left="1104"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）重要的合营企业或联营企业</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4"/>
          <w:szCs w:val="4"/>
        </w:rPr>
      </w:pPr>
    </w:p>
    <w:tbl>
      <w:tblPr>
        <w:tblW w:w="0" w:type="auto"/>
        <w:jc w:val="left"/>
        <w:tblInd w:w="622" w:type="dxa"/>
        <w:tblLayout w:type="fixed"/>
        <w:tblCellMar>
          <w:top w:w="0" w:type="dxa"/>
          <w:left w:w="0" w:type="dxa"/>
          <w:bottom w:w="0" w:type="dxa"/>
          <w:right w:w="0" w:type="dxa"/>
        </w:tblCellMar>
        <w:tblLook w:val="01E0"/>
      </w:tblPr>
      <w:tblGrid>
        <w:gridCol w:w="1320"/>
        <w:gridCol w:w="1313"/>
        <w:gridCol w:w="1315"/>
        <w:gridCol w:w="1505"/>
        <w:gridCol w:w="1126"/>
        <w:gridCol w:w="1313"/>
        <w:gridCol w:w="1313"/>
      </w:tblGrid>
      <w:tr>
        <w:trPr>
          <w:trHeight w:val="322" w:hRule="exact"/>
        </w:trPr>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201" w:right="0" w:hanging="9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合营企业或联</w:t>
            </w:r>
            <w:r>
              <w:rPr>
                <w:rFonts w:ascii="Microsoft JhengHei" w:hAnsi="Microsoft JhengHei" w:cs="Microsoft JhengHei" w:eastAsia="Microsoft JhengHei" w:hint="default"/>
                <w:sz w:val="18"/>
                <w:szCs w:val="18"/>
              </w:rPr>
            </w:r>
          </w:p>
          <w:p>
            <w:pPr>
              <w:pStyle w:val="TableParagraph"/>
              <w:spacing w:line="313" w:lineRule="exact"/>
              <w:ind w:left="2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营企业名称</w:t>
            </w:r>
            <w:r>
              <w:rPr>
                <w:rFonts w:ascii="Microsoft JhengHei" w:hAnsi="Microsoft JhengHei" w:cs="Microsoft JhengHei" w:eastAsia="Microsoft JhengHei" w:hint="default"/>
                <w:sz w:val="18"/>
                <w:szCs w:val="18"/>
              </w:rPr>
            </w:r>
          </w:p>
        </w:tc>
        <w:tc>
          <w:tcPr>
            <w:tcW w:w="13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19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主要经营地</w:t>
            </w:r>
            <w:r>
              <w:rPr>
                <w:rFonts w:ascii="Microsoft JhengHei" w:hAnsi="Microsoft JhengHei" w:cs="Microsoft JhengHei" w:eastAsia="Microsoft JhengHei" w:hint="default"/>
                <w:sz w:val="18"/>
                <w:szCs w:val="18"/>
              </w:rPr>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1"/>
              <w:ind w:left="5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24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持股比例</w:t>
            </w:r>
            <w:r>
              <w:rPr>
                <w:rFonts w:ascii="Microsoft JhengHei" w:hAnsi="Microsoft JhengHei" w:cs="Microsoft JhengHei" w:eastAsia="Microsoft JhengHei" w:hint="default"/>
                <w:sz w:val="18"/>
                <w:szCs w:val="18"/>
              </w:rPr>
            </w:r>
          </w:p>
        </w:tc>
        <w:tc>
          <w:tcPr>
            <w:tcW w:w="1313"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对合营企业或</w:t>
            </w:r>
            <w:r>
              <w:rPr>
                <w:rFonts w:ascii="Microsoft JhengHei" w:hAnsi="Microsoft JhengHei" w:cs="Microsoft JhengHei" w:eastAsia="Microsoft JhengHei" w:hint="default"/>
                <w:sz w:val="18"/>
                <w:szCs w:val="18"/>
              </w:rPr>
            </w:r>
          </w:p>
          <w:p>
            <w:pPr>
              <w:pStyle w:val="TableParagraph"/>
              <w:spacing w:line="313"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联营企业投资</w:t>
            </w:r>
            <w:r>
              <w:rPr>
                <w:rFonts w:ascii="Microsoft JhengHei" w:hAnsi="Microsoft JhengHei" w:cs="Microsoft JhengHei" w:eastAsia="Microsoft JhengHei" w:hint="default"/>
                <w:sz w:val="18"/>
                <w:szCs w:val="18"/>
              </w:rPr>
            </w:r>
          </w:p>
        </w:tc>
      </w:tr>
      <w:tr>
        <w:trPr>
          <w:trHeight w:val="322" w:hRule="exact"/>
        </w:trPr>
        <w:tc>
          <w:tcPr>
            <w:tcW w:w="1320"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w:t>
            </w:r>
            <w:r>
              <w:rPr>
                <w:rFonts w:ascii="Microsoft JhengHei" w:hAnsi="Microsoft JhengHei" w:cs="Microsoft JhengHei" w:eastAsia="Microsoft JhengHei"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间接</w:t>
            </w:r>
            <w:r>
              <w:rPr>
                <w:rFonts w:ascii="Microsoft JhengHei" w:hAnsi="Microsoft JhengHei" w:cs="Microsoft JhengHei" w:eastAsia="Microsoft JhengHei" w:hint="default"/>
                <w:sz w:val="18"/>
                <w:szCs w:val="18"/>
              </w:rPr>
            </w:r>
          </w:p>
        </w:tc>
        <w:tc>
          <w:tcPr>
            <w:tcW w:w="131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4" w:footer="1085" w:top="1300" w:bottom="1280" w:left="1080" w:right="480"/>
        </w:sectPr>
      </w:pPr>
    </w:p>
    <w:p>
      <w:pPr>
        <w:spacing w:line="240" w:lineRule="auto" w:before="3"/>
        <w:rPr>
          <w:rFonts w:ascii="Microsoft JhengHei" w:hAnsi="Microsoft JhengHei" w:cs="Microsoft JhengHei" w:eastAsia="Microsoft JhengHei" w:hint="default"/>
          <w:b/>
          <w:bCs/>
          <w:sz w:val="7"/>
          <w:szCs w:val="7"/>
        </w:rPr>
      </w:pPr>
    </w:p>
    <w:tbl>
      <w:tblPr>
        <w:tblW w:w="0" w:type="auto"/>
        <w:jc w:val="left"/>
        <w:tblInd w:w="622" w:type="dxa"/>
        <w:tblLayout w:type="fixed"/>
        <w:tblCellMar>
          <w:top w:w="0" w:type="dxa"/>
          <w:left w:w="0" w:type="dxa"/>
          <w:bottom w:w="0" w:type="dxa"/>
          <w:right w:w="0" w:type="dxa"/>
        </w:tblCellMar>
        <w:tblLook w:val="01E0"/>
      </w:tblPr>
      <w:tblGrid>
        <w:gridCol w:w="1320"/>
        <w:gridCol w:w="1313"/>
        <w:gridCol w:w="1315"/>
        <w:gridCol w:w="1505"/>
        <w:gridCol w:w="1126"/>
        <w:gridCol w:w="1313"/>
        <w:gridCol w:w="1313"/>
      </w:tblGrid>
      <w:tr>
        <w:trPr>
          <w:trHeight w:val="634"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的会计处理方</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法</w:t>
            </w:r>
            <w:r>
              <w:rPr>
                <w:rFonts w:ascii="Microsoft JhengHei" w:hAnsi="Microsoft JhengHei" w:cs="Microsoft JhengHei" w:eastAsia="Microsoft JhengHei" w:hint="default"/>
                <w:sz w:val="18"/>
                <w:szCs w:val="18"/>
              </w:rPr>
            </w:r>
          </w:p>
        </w:tc>
      </w:tr>
      <w:tr>
        <w:trPr>
          <w:trHeight w:val="63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1" w:right="26" w:hanging="180"/>
              <w:jc w:val="left"/>
              <w:rPr>
                <w:rFonts w:ascii="宋体" w:hAnsi="宋体" w:cs="宋体" w:eastAsia="宋体" w:hint="default"/>
                <w:sz w:val="18"/>
                <w:szCs w:val="18"/>
              </w:rPr>
            </w:pPr>
            <w:r>
              <w:rPr>
                <w:rFonts w:ascii="宋体" w:hAnsi="宋体" w:cs="宋体" w:eastAsia="宋体" w:hint="default"/>
                <w:sz w:val="18"/>
                <w:szCs w:val="18"/>
              </w:rPr>
              <w:t>浙江中科数城软 件有限公司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67" w:right="0"/>
              <w:jc w:val="left"/>
              <w:rPr>
                <w:rFonts w:ascii="Calibri" w:hAnsi="Calibri" w:cs="Calibri" w:eastAsia="Calibri" w:hint="default"/>
                <w:sz w:val="18"/>
                <w:szCs w:val="18"/>
              </w:rPr>
            </w:pPr>
            <w:r>
              <w:rPr>
                <w:rFonts w:ascii="Calibri"/>
                <w:sz w:val="18"/>
              </w:rPr>
              <w:t>23.36%</w:t>
            </w: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84" w:footer="1085" w:top="1300" w:bottom="1280" w:left="1080" w:right="840"/>
        </w:sectPr>
      </w:pPr>
    </w:p>
    <w:p>
      <w:pPr>
        <w:pStyle w:val="BodyText"/>
        <w:spacing w:line="240" w:lineRule="auto" w:before="39"/>
        <w:ind w:left="1101" w:right="-18"/>
        <w:jc w:val="left"/>
      </w:pPr>
      <w:r>
        <w:rPr/>
        <w:t>在合营企业或联营企业的持股比例不同于表决权比例的说明：无</w:t>
      </w:r>
    </w:p>
    <w:p>
      <w:pPr>
        <w:pStyle w:val="Heading2"/>
        <w:spacing w:line="309" w:lineRule="auto" w:before="77"/>
        <w:ind w:left="1822" w:right="2977" w:hanging="718"/>
        <w:jc w:val="left"/>
        <w:rPr>
          <w:rFonts w:ascii="宋体" w:hAnsi="宋体" w:cs="宋体" w:eastAsia="宋体" w:hint="default"/>
          <w:b w:val="0"/>
          <w:bCs w:val="0"/>
        </w:rPr>
      </w:pPr>
      <w:r>
        <w:rPr/>
        <w:t>（</w:t>
      </w:r>
      <w:r>
        <w:rPr>
          <w:rFonts w:ascii="Calibri" w:hAnsi="Calibri" w:cs="Calibri" w:eastAsia="Calibri" w:hint="default"/>
        </w:rPr>
        <w:t>2</w:t>
      </w:r>
      <w:r>
        <w:rPr/>
        <w:t>）重要合营企业的主要财务信息</w:t>
      </w:r>
      <w:r>
        <w:rPr>
          <w:spacing w:val="-50"/>
        </w:rPr>
        <w:t> </w:t>
      </w:r>
      <w:r>
        <w:rPr>
          <w:spacing w:val="-50"/>
        </w:rPr>
      </w:r>
      <w:r>
        <w:rPr>
          <w:rFonts w:ascii="宋体" w:hAnsi="宋体" w:cs="宋体" w:eastAsia="宋体" w:hint="default"/>
          <w:b w:val="0"/>
          <w:bCs w:val="0"/>
        </w:rPr>
        <w:t>无</w:t>
      </w:r>
    </w:p>
    <w:p>
      <w:pPr>
        <w:spacing w:before="8"/>
        <w:ind w:left="1104" w:right="-1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）重要联营企业的主要财务信息</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4"/>
        <w:rPr>
          <w:rFonts w:ascii="Microsoft JhengHei" w:hAnsi="Microsoft JhengHei" w:cs="Microsoft JhengHei" w:eastAsia="Microsoft JhengHei" w:hint="default"/>
          <w:b/>
          <w:bCs/>
          <w:sz w:val="13"/>
          <w:szCs w:val="13"/>
        </w:rPr>
      </w:pPr>
    </w:p>
    <w:p>
      <w:pPr>
        <w:pStyle w:val="BodyText"/>
        <w:spacing w:line="240" w:lineRule="auto" w:before="0"/>
        <w:ind w:left="893" w:right="0"/>
        <w:jc w:val="left"/>
      </w:pPr>
      <w:r>
        <w:rPr/>
        <w:t>单位： 元</w:t>
      </w:r>
    </w:p>
    <w:p>
      <w:pPr>
        <w:spacing w:after="0" w:line="240" w:lineRule="auto"/>
        <w:jc w:val="left"/>
        <w:sectPr>
          <w:type w:val="continuous"/>
          <w:pgSz w:w="11910" w:h="16840"/>
          <w:pgMar w:top="1100" w:bottom="1280" w:left="1080" w:right="840"/>
          <w:cols w:num="2" w:equalWidth="0">
            <w:col w:w="7824" w:space="40"/>
            <w:col w:w="2126"/>
          </w:cols>
        </w:sectPr>
      </w:pP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70"/>
        <w:gridCol w:w="3068"/>
      </w:tblGrid>
      <w:tr>
        <w:trPr>
          <w:trHeight w:val="32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5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5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5,681,649.55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4,859,171.63</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非流动资产</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5,442,892.81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5,878,584.46</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11,124,542.36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10,737,756.09</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5,154,816.01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4,969,123.22</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5,154,816.01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4,969,123.22</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10,763,248.83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5,768,632.87</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1,394,528.08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1,347,552.64</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1,394,528.08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1,347,552.64</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4,893,663.29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6,457,645.01</w:t>
            </w:r>
          </w:p>
        </w:tc>
      </w:tr>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201,093.48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-1,797,892.37</w:t>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201,093.48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-1,797,892.37</w:t>
            </w:r>
          </w:p>
        </w:tc>
      </w:tr>
    </w:tbl>
    <w:p>
      <w:pPr>
        <w:pStyle w:val="Heading2"/>
        <w:spacing w:line="384" w:lineRule="exact"/>
        <w:ind w:left="1104" w:right="225"/>
        <w:jc w:val="left"/>
        <w:rPr>
          <w:b w:val="0"/>
          <w:bCs w:val="0"/>
        </w:rPr>
      </w:pPr>
      <w:r>
        <w:rPr/>
        <w:t>（</w:t>
      </w:r>
      <w:r>
        <w:rPr>
          <w:rFonts w:ascii="Calibri" w:hAnsi="Calibri" w:cs="Calibri" w:eastAsia="Calibri" w:hint="default"/>
        </w:rPr>
        <w:t>4</w:t>
      </w:r>
      <w:r>
        <w:rPr/>
        <w:t>）不重要的合营企业和联营企业的汇总财务信息</w:t>
      </w:r>
      <w:r>
        <w:rPr>
          <w:b w:val="0"/>
          <w:bCs w:val="0"/>
        </w:rPr>
      </w:r>
    </w:p>
    <w:p>
      <w:pPr>
        <w:pStyle w:val="BodyText"/>
        <w:spacing w:line="240" w:lineRule="auto" w:before="123"/>
        <w:ind w:left="1462" w:right="225"/>
        <w:jc w:val="left"/>
      </w:pPr>
      <w:r>
        <w:rPr/>
        <w:t>无</w:t>
      </w:r>
    </w:p>
    <w:p>
      <w:pPr>
        <w:pStyle w:val="Heading2"/>
        <w:spacing w:line="309" w:lineRule="auto" w:before="77"/>
        <w:ind w:left="1221" w:right="1101" w:hanging="118"/>
        <w:jc w:val="left"/>
        <w:rPr>
          <w:rFonts w:ascii="宋体" w:hAnsi="宋体" w:cs="宋体" w:eastAsia="宋体" w:hint="default"/>
          <w:b w:val="0"/>
          <w:bCs w:val="0"/>
        </w:rPr>
      </w:pPr>
      <w:r>
        <w:rPr/>
        <w:t>（</w:t>
      </w:r>
      <w:r>
        <w:rPr>
          <w:rFonts w:ascii="Calibri" w:hAnsi="Calibri" w:cs="Calibri" w:eastAsia="Calibri" w:hint="default"/>
        </w:rPr>
        <w:t>5</w:t>
      </w:r>
      <w:r>
        <w:rPr/>
        <w:t>）合营企业或联营企业向本公司转移资金的能力存在重大限制的说明</w:t>
      </w:r>
      <w:r>
        <w:rPr>
          <w:spacing w:val="-36"/>
        </w:rPr>
        <w:t> </w:t>
      </w:r>
      <w:r>
        <w:rPr>
          <w:spacing w:val="-36"/>
        </w:rPr>
      </w:r>
      <w:r>
        <w:rPr>
          <w:rFonts w:ascii="宋体" w:hAnsi="宋体" w:cs="宋体" w:eastAsia="宋体" w:hint="default"/>
          <w:b w:val="0"/>
          <w:bCs w:val="0"/>
        </w:rPr>
        <w:t>无</w:t>
      </w:r>
    </w:p>
    <w:p>
      <w:pPr>
        <w:spacing w:line="309" w:lineRule="auto" w:before="8"/>
        <w:ind w:left="1822" w:right="4420" w:hanging="71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6</w:t>
      </w:r>
      <w:r>
        <w:rPr>
          <w:rFonts w:ascii="Microsoft JhengHei" w:hAnsi="Microsoft JhengHei" w:cs="Microsoft JhengHei" w:eastAsia="Microsoft JhengHei" w:hint="default"/>
          <w:b/>
          <w:bCs/>
          <w:sz w:val="24"/>
          <w:szCs w:val="24"/>
        </w:rPr>
        <w:t>）合营企业或联营企业发生的超额亏损</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z w:val="24"/>
          <w:szCs w:val="24"/>
        </w:rPr>
        <w:t>无</w:t>
      </w:r>
    </w:p>
    <w:p>
      <w:pPr>
        <w:spacing w:line="309" w:lineRule="auto" w:before="8"/>
        <w:ind w:left="1822" w:right="4660" w:hanging="71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7</w:t>
      </w:r>
      <w:r>
        <w:rPr>
          <w:rFonts w:ascii="Microsoft JhengHei" w:hAnsi="Microsoft JhengHei" w:cs="Microsoft JhengHei" w:eastAsia="Microsoft JhengHei" w:hint="default"/>
          <w:b/>
          <w:bCs/>
          <w:sz w:val="24"/>
          <w:szCs w:val="24"/>
        </w:rPr>
        <w:t>）与合营企业投资相关的未确认承诺</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z w:val="24"/>
          <w:szCs w:val="24"/>
        </w:rPr>
        <w:t>无</w:t>
      </w:r>
    </w:p>
    <w:p>
      <w:pPr>
        <w:spacing w:line="309" w:lineRule="auto" w:before="8"/>
        <w:ind w:left="1822" w:right="3502" w:hanging="71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8</w:t>
      </w:r>
      <w:r>
        <w:rPr>
          <w:rFonts w:ascii="Microsoft JhengHei" w:hAnsi="Microsoft JhengHei" w:cs="Microsoft JhengHei" w:eastAsia="Microsoft JhengHei" w:hint="default"/>
          <w:b/>
          <w:bCs/>
          <w:sz w:val="24"/>
          <w:szCs w:val="24"/>
        </w:rPr>
        <w:t>）与合营企业或联营企业投资相关的或有负债</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宋体" w:hAnsi="宋体" w:cs="宋体" w:eastAsia="宋体" w:hint="default"/>
          <w:sz w:val="24"/>
          <w:szCs w:val="24"/>
        </w:rPr>
        <w:t>无</w:t>
      </w:r>
    </w:p>
    <w:p>
      <w:pPr>
        <w:spacing w:before="8"/>
        <w:ind w:left="1104" w:right="225" w:firstLine="0"/>
        <w:jc w:val="left"/>
        <w:rPr>
          <w:rFonts w:ascii="Microsoft JhengHei" w:hAnsi="Microsoft JhengHei" w:cs="Microsoft JhengHei" w:eastAsia="Microsoft JhengHei" w:hint="default"/>
          <w:sz w:val="24"/>
          <w:szCs w:val="24"/>
        </w:rPr>
      </w:pPr>
      <w:r>
        <w:rPr>
          <w:rFonts w:ascii="Calibri" w:hAnsi="Calibri" w:cs="Calibri" w:eastAsia="Calibri" w:hint="default"/>
          <w:b/>
          <w:bCs/>
          <w:sz w:val="24"/>
          <w:szCs w:val="24"/>
        </w:rPr>
        <w:t>4</w:t>
      </w:r>
      <w:r>
        <w:rPr>
          <w:rFonts w:ascii="Microsoft JhengHei" w:hAnsi="Microsoft JhengHei" w:cs="Microsoft JhengHei" w:eastAsia="Microsoft JhengHei" w:hint="default"/>
          <w:b/>
          <w:bCs/>
          <w:sz w:val="24"/>
          <w:szCs w:val="24"/>
        </w:rPr>
        <w:t>、重要的共同经营</w:t>
      </w:r>
      <w:r>
        <w:rPr>
          <w:rFonts w:ascii="Microsoft JhengHei" w:hAnsi="Microsoft JhengHei" w:cs="Microsoft JhengHei" w:eastAsia="Microsoft JhengHei" w:hint="default"/>
          <w:sz w:val="24"/>
          <w:szCs w:val="24"/>
        </w:rPr>
      </w:r>
    </w:p>
    <w:p>
      <w:pPr>
        <w:pStyle w:val="BodyText"/>
        <w:spacing w:line="240" w:lineRule="auto" w:before="123"/>
        <w:ind w:left="1822" w:right="225"/>
        <w:jc w:val="left"/>
      </w:pPr>
      <w:r>
        <w:rPr/>
        <w:t>无</w:t>
      </w:r>
    </w:p>
    <w:p>
      <w:pPr>
        <w:spacing w:after="0" w:line="240" w:lineRule="auto"/>
        <w:jc w:val="left"/>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Heading2"/>
        <w:spacing w:line="371" w:lineRule="exact"/>
        <w:ind w:left="1104" w:right="225"/>
        <w:jc w:val="left"/>
        <w:rPr>
          <w:b w:val="0"/>
          <w:bCs w:val="0"/>
        </w:rPr>
      </w:pPr>
      <w:r>
        <w:rPr>
          <w:rFonts w:ascii="Calibri" w:hAnsi="Calibri" w:cs="Calibri" w:eastAsia="Calibri" w:hint="default"/>
        </w:rPr>
        <w:t>5</w:t>
      </w:r>
      <w:r>
        <w:rPr/>
        <w:t>、在未纳入合并财务报表范围的结构化主体中的权益</w:t>
      </w:r>
      <w:r>
        <w:rPr>
          <w:b w:val="0"/>
          <w:bCs w:val="0"/>
        </w:rPr>
      </w:r>
    </w:p>
    <w:p>
      <w:pPr>
        <w:spacing w:line="300" w:lineRule="auto" w:before="123"/>
        <w:ind w:left="1104" w:right="8020" w:hanging="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Calibri" w:hAnsi="Calibri" w:cs="Calibri" w:eastAsia="Calibri" w:hint="default"/>
          <w:b/>
          <w:bCs/>
          <w:sz w:val="24"/>
          <w:szCs w:val="24"/>
        </w:rPr>
        <w:t>6</w:t>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p>
      <w:pPr>
        <w:pStyle w:val="Heading2"/>
        <w:spacing w:line="384" w:lineRule="exact"/>
        <w:ind w:left="1104" w:right="225"/>
        <w:jc w:val="left"/>
        <w:rPr>
          <w:b w:val="0"/>
          <w:bCs w:val="0"/>
        </w:rPr>
      </w:pPr>
      <w:bookmarkStart w:name="_bookmark78" w:id="79"/>
      <w:bookmarkEnd w:id="79"/>
      <w:r>
        <w:rPr>
          <w:b w:val="0"/>
          <w:bCs w:val="0"/>
        </w:rPr>
      </w:r>
      <w:r>
        <w:rPr/>
        <w:t>十、与金融工具相关的风险</w:t>
      </w:r>
      <w:r>
        <w:rPr>
          <w:b w:val="0"/>
          <w:bCs w:val="0"/>
        </w:rPr>
      </w:r>
    </w:p>
    <w:p>
      <w:pPr>
        <w:pStyle w:val="BodyText"/>
        <w:spacing w:line="357" w:lineRule="auto" w:before="126"/>
        <w:ind w:left="622" w:right="242" w:firstLine="479"/>
        <w:jc w:val="both"/>
      </w:pPr>
      <w:r>
        <w:rPr/>
        <w:t>本集团的主要金融工具包括货币资金、应收账款、应收票据、其他应收款、其他流 动资产、可供出售金融资产、应付账款、其他应付款、短期借款及长期借款。各项金融 工具的详细情况已于相关附注内披露。与这些金融工具有关的风险，以及本集团为降低 这些风险所采取的风险管理政策如下所述。本集团管理层对这些风险敞口进行管理和监 控以确保将上述风险控制在限定的范围之内。</w:t>
      </w:r>
    </w:p>
    <w:p>
      <w:pPr>
        <w:pStyle w:val="BodyText"/>
        <w:spacing w:line="326" w:lineRule="auto"/>
        <w:ind w:left="1101" w:right="225"/>
        <w:jc w:val="left"/>
      </w:pPr>
      <w:r>
        <w:rPr>
          <w:rFonts w:ascii="Calibri" w:hAnsi="Calibri" w:cs="Calibri" w:eastAsia="Calibri" w:hint="default"/>
        </w:rPr>
        <w:t>1</w:t>
      </w:r>
      <w:r>
        <w:rPr/>
        <w:t>、风险管理目标和政策 本集团从事风险管理的目标是在风险和收益之间取得适当的平衡，力求降低金融风</w:t>
      </w:r>
    </w:p>
    <w:p>
      <w:pPr>
        <w:pStyle w:val="BodyText"/>
        <w:spacing w:line="357" w:lineRule="auto" w:before="67"/>
        <w:ind w:left="622" w:right="242"/>
        <w:jc w:val="both"/>
      </w:pPr>
      <w:r>
        <w:rPr/>
        <w:t>险对本集团财务业绩的不利影响。基于该风险管理目标，本集团已制定风险管理政策以 辨别和分析本集团所面临的风险，设定适当的风险可接受水平并设计相应的内部控制程 序，以监控本集团的风险水平。本集团会定期审阅这些风险管理政策及有关内部控制系 统，以适应市场情况或本集团经营活动的改变。本集团的内部审计部门也定期或随机检 查内部控制系统的执行是否符合风险管理政策。</w:t>
      </w:r>
    </w:p>
    <w:p>
      <w:pPr>
        <w:pStyle w:val="BodyText"/>
        <w:spacing w:line="357" w:lineRule="auto"/>
        <w:ind w:left="622" w:right="465" w:firstLine="479"/>
        <w:jc w:val="left"/>
      </w:pPr>
      <w:r>
        <w:rPr/>
        <w:t>本集团的金融工具导致的主要风险是利率风险、汇率风险、信用风险及流动性风 险。</w:t>
      </w:r>
    </w:p>
    <w:p>
      <w:pPr>
        <w:pStyle w:val="BodyText"/>
        <w:spacing w:line="326" w:lineRule="auto"/>
        <w:ind w:left="1101" w:right="225"/>
        <w:jc w:val="left"/>
      </w:pPr>
      <w:r>
        <w:rPr/>
        <w:t>（</w:t>
      </w:r>
      <w:r>
        <w:rPr>
          <w:rFonts w:ascii="Calibri" w:hAnsi="Calibri" w:cs="Calibri" w:eastAsia="Calibri" w:hint="default"/>
        </w:rPr>
        <w:t>1</w:t>
      </w:r>
      <w:r>
        <w:rPr/>
        <w:t>）市场风险 金融工具的市场风险，是指金融工具的公允价值或未来现金流量因市场价格变动而</w:t>
      </w:r>
    </w:p>
    <w:p>
      <w:pPr>
        <w:pStyle w:val="BodyText"/>
        <w:spacing w:line="357" w:lineRule="auto" w:before="67"/>
        <w:ind w:left="1101" w:right="2865" w:hanging="480"/>
        <w:jc w:val="left"/>
      </w:pPr>
      <w:r>
        <w:rPr/>
        <w:t>发生波动的风险，包括利率风险、汇率风险和其他价格风险。 利率风险</w:t>
      </w:r>
    </w:p>
    <w:p>
      <w:pPr>
        <w:pStyle w:val="BodyText"/>
        <w:spacing w:line="357" w:lineRule="auto" w:before="37"/>
        <w:ind w:left="622" w:right="225" w:firstLine="479"/>
        <w:jc w:val="left"/>
      </w:pPr>
      <w:r>
        <w:rPr/>
        <w:t>利率风险，是指金融工具的公允价值或未来现金流量因市场利率变动而发生波动的 风险。利率风险可源于已确认的计息金融工具和未确认的金融工具（如某些贷款承 诺）。</w:t>
      </w:r>
    </w:p>
    <w:p>
      <w:pPr>
        <w:pStyle w:val="BodyText"/>
        <w:spacing w:line="357" w:lineRule="auto"/>
        <w:ind w:left="622" w:right="240" w:firstLine="479"/>
        <w:jc w:val="both"/>
      </w:pPr>
      <w:r>
        <w:rPr/>
        <w:t>本集团的利率风险主要产生于短期银行借款等带息债务。浮动利率的金融负债使本 集团面临现金流量利率风险，固定利率的金融负债使本集团面临公允价值利率风险。本 集团根据当时的市场环境来决定固定利率及浮动利率合同的相对比例，并通过定期审阅 与监察维持适当的固定和浮动利率工具组合。</w:t>
      </w:r>
    </w:p>
    <w:p>
      <w:pPr>
        <w:spacing w:after="0" w:line="357" w:lineRule="auto"/>
        <w:jc w:val="both"/>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42" w:firstLine="479"/>
        <w:jc w:val="both"/>
      </w:pPr>
      <w:r>
        <w:rPr/>
        <w:t>本集团密切关注利率变动对本集团利率风险的影响。本集团目前并未采取利率对冲 政策。但管理层负责监控利率风险，并将于需要时考虑对冲重大利率风险。由于定期存 款为短期存款，故银行存款的公允价值利率风险并不重大。</w:t>
      </w:r>
    </w:p>
    <w:p>
      <w:pPr>
        <w:pStyle w:val="BodyText"/>
        <w:spacing w:line="326" w:lineRule="auto"/>
        <w:ind w:left="1101" w:right="2493"/>
        <w:jc w:val="left"/>
      </w:pPr>
      <w:r>
        <w:rPr/>
        <w:t>于</w:t>
      </w:r>
      <w:r>
        <w:rPr>
          <w:spacing w:val="-1"/>
        </w:rPr>
        <w:t> </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日，本集团不存在以浮动利率计算的借款。 汇率风险</w:t>
      </w:r>
    </w:p>
    <w:p>
      <w:pPr>
        <w:pStyle w:val="BodyText"/>
        <w:spacing w:line="357" w:lineRule="auto" w:before="67"/>
        <w:ind w:left="622" w:right="242" w:firstLine="479"/>
        <w:jc w:val="both"/>
      </w:pPr>
      <w:r>
        <w:rPr/>
        <w:t>汇率风险，是指金融工具的公允价值或未来现金流量因外汇汇率变动而发生波动的 风险。汇率风险可源于以记账本位币之外的外币进行计价的金融工具。</w:t>
      </w:r>
    </w:p>
    <w:p>
      <w:pPr>
        <w:pStyle w:val="BodyText"/>
        <w:spacing w:line="357" w:lineRule="auto"/>
        <w:ind w:left="622" w:right="242" w:firstLine="479"/>
        <w:jc w:val="both"/>
      </w:pPr>
      <w:r>
        <w:rPr/>
        <w:t>本集团的主要经营位于中国境内，主要业务以人民币结算。但本集团已确认的外币 资产和负债及未来的外币交易（外币资产和负债及外币交易的计价货币主要为日元和港 币）依然存在外汇风险。</w:t>
      </w:r>
    </w:p>
    <w:p>
      <w:pPr>
        <w:pStyle w:val="BodyText"/>
        <w:spacing w:line="357" w:lineRule="auto"/>
        <w:ind w:left="622" w:right="242" w:firstLine="479"/>
        <w:jc w:val="both"/>
      </w:pPr>
      <w:r>
        <w:rPr/>
        <w:t>相关外币资产及外币负债包括：以外币计价的货币资金、应收账款、其他应收款、 应付账款、其他应付款等。</w:t>
      </w:r>
    </w:p>
    <w:p>
      <w:pPr>
        <w:pStyle w:val="BodyText"/>
        <w:spacing w:line="326" w:lineRule="auto"/>
        <w:ind w:left="622" w:right="334" w:firstLine="479"/>
        <w:jc w:val="both"/>
      </w:pPr>
      <w:r>
        <w:rPr/>
        <w:t>于 </w:t>
      </w:r>
      <w:r>
        <w:rPr>
          <w:rFonts w:ascii="Calibri" w:hAnsi="Calibri" w:cs="Calibri" w:eastAsia="Calibri" w:hint="default"/>
        </w:rPr>
        <w:t>2015</w:t>
      </w:r>
      <w:r>
        <w:rPr/>
        <w:t>年</w:t>
      </w:r>
      <w:r>
        <w:rPr>
          <w:rFonts w:ascii="Calibri" w:hAnsi="Calibri" w:cs="Calibri" w:eastAsia="Calibri" w:hint="default"/>
        </w:rPr>
        <w:t>12 </w:t>
      </w:r>
      <w:r>
        <w:rPr/>
        <w:t>月</w:t>
      </w:r>
      <w:r>
        <w:rPr>
          <w:rFonts w:ascii="Calibri" w:hAnsi="Calibri" w:cs="Calibri" w:eastAsia="Calibri" w:hint="default"/>
        </w:rPr>
        <w:t>31</w:t>
      </w:r>
      <w:r>
        <w:rPr>
          <w:rFonts w:ascii="Calibri" w:hAnsi="Calibri" w:cs="Calibri" w:eastAsia="Calibri" w:hint="default"/>
          <w:spacing w:val="33"/>
        </w:rPr>
        <w:t> </w:t>
      </w:r>
      <w:r>
        <w:rPr/>
        <w:t>日，本集团持有的外币金融资产和外币金融负债折算成人民币 的金额列示如下：</w:t>
      </w:r>
    </w:p>
    <w:p>
      <w:pPr>
        <w:pStyle w:val="BodyText"/>
        <w:spacing w:line="240" w:lineRule="auto" w:before="67"/>
        <w:ind w:left="0" w:right="147"/>
        <w:jc w:val="right"/>
      </w:pPr>
      <w:r>
        <w:rPr/>
        <w:t>单位：人民币万元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734"/>
        <w:gridCol w:w="1611"/>
        <w:gridCol w:w="1555"/>
        <w:gridCol w:w="1669"/>
        <w:gridCol w:w="1637"/>
      </w:tblGrid>
      <w:tr>
        <w:trPr>
          <w:trHeight w:val="341" w:hRule="exact"/>
        </w:trPr>
        <w:tc>
          <w:tcPr>
            <w:tcW w:w="2734"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外币负债</w:t>
            </w:r>
          </w:p>
        </w:tc>
        <w:tc>
          <w:tcPr>
            <w:tcW w:w="3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外币资产</w:t>
            </w:r>
          </w:p>
        </w:tc>
      </w:tr>
      <w:tr>
        <w:trPr>
          <w:trHeight w:val="343" w:hRule="exact"/>
        </w:trPr>
        <w:tc>
          <w:tcPr>
            <w:tcW w:w="2734" w:type="dxa"/>
            <w:vMerge/>
            <w:tcBorders>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80"/>
              <w:jc w:val="right"/>
              <w:rPr>
                <w:rFonts w:ascii="宋体" w:hAnsi="宋体" w:cs="宋体" w:eastAsia="宋体" w:hint="default"/>
                <w:sz w:val="21"/>
                <w:szCs w:val="21"/>
              </w:rPr>
            </w:pPr>
            <w:r>
              <w:rPr>
                <w:rFonts w:ascii="宋体" w:hAnsi="宋体" w:cs="宋体" w:eastAsia="宋体" w:hint="default"/>
                <w:sz w:val="21"/>
                <w:szCs w:val="21"/>
              </w:rPr>
              <w:t>期末数</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港币</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31.05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23.56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center"/>
              <w:rPr>
                <w:rFonts w:ascii="Calibri" w:hAnsi="Calibri" w:cs="Calibri" w:eastAsia="Calibri" w:hint="default"/>
                <w:sz w:val="21"/>
                <w:szCs w:val="21"/>
              </w:rPr>
            </w:pPr>
            <w:r>
              <w:rPr>
                <w:rFonts w:ascii="Calibri"/>
                <w:sz w:val="21"/>
              </w:rPr>
              <w:t>861.23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420.37</w:t>
            </w:r>
          </w:p>
        </w:tc>
      </w:tr>
      <w:tr>
        <w:trPr>
          <w:trHeight w:val="34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日元</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27"/>
              <w:jc w:val="right"/>
              <w:rPr>
                <w:rFonts w:ascii="Calibri" w:hAnsi="Calibri" w:cs="Calibri" w:eastAsia="Calibri" w:hint="default"/>
                <w:sz w:val="21"/>
                <w:szCs w:val="21"/>
              </w:rPr>
            </w:pPr>
            <w:r>
              <w:rPr>
                <w:rFonts w:ascii="Calibri"/>
                <w:spacing w:val="-1"/>
                <w:sz w:val="21"/>
              </w:rPr>
              <w:t>1,422.11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71.14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center"/>
              <w:rPr>
                <w:rFonts w:ascii="Calibri" w:hAnsi="Calibri" w:cs="Calibri" w:eastAsia="Calibri" w:hint="default"/>
                <w:sz w:val="21"/>
                <w:szCs w:val="21"/>
              </w:rPr>
            </w:pPr>
            <w:r>
              <w:rPr>
                <w:rFonts w:ascii="Calibri"/>
                <w:sz w:val="21"/>
              </w:rPr>
              <w:t>165.40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Calibri" w:hAnsi="Calibri" w:cs="Calibri" w:eastAsia="Calibri" w:hint="default"/>
                <w:sz w:val="21"/>
                <w:szCs w:val="21"/>
              </w:rPr>
            </w:pPr>
            <w:r>
              <w:rPr>
                <w:rFonts w:ascii="Calibri"/>
                <w:sz w:val="21"/>
              </w:rPr>
              <w:t>15.34</w:t>
            </w:r>
          </w:p>
        </w:tc>
      </w:tr>
    </w:tbl>
    <w:p>
      <w:pPr>
        <w:pStyle w:val="BodyText"/>
        <w:spacing w:line="357" w:lineRule="auto" w:before="39"/>
        <w:ind w:left="622" w:right="225" w:firstLine="479"/>
        <w:jc w:val="left"/>
      </w:pPr>
      <w:r>
        <w:rPr/>
        <w:t>本集团密切关注汇率变动对本集团汇率风险的影响。本集团目前并未采取任何措施 规避汇率风险。但管理层负责监控汇率风险，并将于需要时考虑对冲重大汇率风险。</w:t>
      </w:r>
    </w:p>
    <w:p>
      <w:pPr>
        <w:pStyle w:val="BodyText"/>
        <w:spacing w:line="357" w:lineRule="auto"/>
        <w:ind w:left="622" w:right="225" w:firstLine="479"/>
        <w:jc w:val="left"/>
      </w:pPr>
      <w:r>
        <w:rPr/>
        <w:t>在其他变量不变的情况下，本年外币兑人民币汇率的可能合理变动对本集团当期损 益的税后影响如下：</w:t>
      </w:r>
    </w:p>
    <w:p>
      <w:pPr>
        <w:pStyle w:val="BodyText"/>
        <w:spacing w:line="240" w:lineRule="auto" w:before="37"/>
        <w:ind w:left="0" w:right="147"/>
        <w:jc w:val="right"/>
      </w:pPr>
      <w:r>
        <w:rPr/>
        <w:t>单位：人民币万元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734"/>
        <w:gridCol w:w="1611"/>
        <w:gridCol w:w="1555"/>
        <w:gridCol w:w="1669"/>
        <w:gridCol w:w="1637"/>
      </w:tblGrid>
      <w:tr>
        <w:trPr>
          <w:trHeight w:val="343" w:hRule="exact"/>
        </w:trPr>
        <w:tc>
          <w:tcPr>
            <w:tcW w:w="2734" w:type="dxa"/>
            <w:vMerge w:val="restart"/>
            <w:tcBorders>
              <w:top w:val="single" w:sz="4" w:space="0" w:color="000000"/>
              <w:left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税后利润上升（下降）</w:t>
            </w:r>
          </w:p>
        </w:tc>
        <w:tc>
          <w:tcPr>
            <w:tcW w:w="3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41" w:hRule="exact"/>
        </w:trPr>
        <w:tc>
          <w:tcPr>
            <w:tcW w:w="2734" w:type="dxa"/>
            <w:vMerge/>
            <w:tcBorders>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变动幅度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34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港币汇率上升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Calibri" w:hAnsi="Calibri" w:cs="Calibri" w:eastAsia="Calibri" w:hint="default"/>
                <w:sz w:val="21"/>
                <w:szCs w:val="21"/>
              </w:rPr>
            </w:pPr>
            <w:r>
              <w:rPr>
                <w:rFonts w:ascii="Calibri"/>
                <w:sz w:val="21"/>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3.33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3.10</w:t>
            </w:r>
          </w:p>
        </w:tc>
      </w:tr>
      <w:tr>
        <w:trPr>
          <w:trHeight w:val="34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港币汇率下降</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-3.33</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Calibri" w:hAnsi="Calibri" w:cs="Calibri" w:eastAsia="Calibri" w:hint="default"/>
                <w:sz w:val="21"/>
                <w:szCs w:val="21"/>
              </w:rPr>
            </w:pPr>
            <w:r>
              <w:rPr>
                <w:rFonts w:ascii="Calibri"/>
                <w:sz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-3.10</w:t>
            </w:r>
          </w:p>
        </w:tc>
      </w:tr>
      <w:tr>
        <w:trPr>
          <w:trHeight w:val="343"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日元汇率上升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Calibri" w:hAnsi="Calibri" w:cs="Calibri" w:eastAsia="Calibri" w:hint="default"/>
                <w:sz w:val="21"/>
                <w:szCs w:val="21"/>
              </w:rPr>
            </w:pPr>
            <w:r>
              <w:rPr>
                <w:rFonts w:ascii="Calibri"/>
                <w:sz w:val="21"/>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-0.50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-3.22</w:t>
            </w:r>
          </w:p>
        </w:tc>
      </w:tr>
      <w:tr>
        <w:trPr>
          <w:trHeight w:val="341"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日元汇率下降</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21"/>
                <w:szCs w:val="21"/>
              </w:rPr>
            </w:pPr>
            <w:r>
              <w:rPr>
                <w:rFonts w:ascii="Calibri"/>
                <w:sz w:val="21"/>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0.50</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Calibri" w:hAnsi="Calibri" w:cs="Calibri" w:eastAsia="Calibri" w:hint="default"/>
                <w:sz w:val="21"/>
                <w:szCs w:val="21"/>
              </w:rPr>
            </w:pPr>
            <w:r>
              <w:rPr>
                <w:rFonts w:ascii="Calibri"/>
                <w:sz w:val="21"/>
              </w:rPr>
              <w:t>-1%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Calibri" w:hAnsi="Calibri" w:cs="Calibri" w:eastAsia="Calibri" w:hint="default"/>
                <w:sz w:val="21"/>
                <w:szCs w:val="21"/>
              </w:rPr>
            </w:pPr>
            <w:r>
              <w:rPr>
                <w:rFonts w:ascii="Calibri"/>
                <w:sz w:val="21"/>
              </w:rPr>
              <w:t>3.22</w:t>
            </w:r>
          </w:p>
        </w:tc>
      </w:tr>
    </w:tbl>
    <w:p>
      <w:pPr>
        <w:pStyle w:val="BodyText"/>
        <w:spacing w:line="326" w:lineRule="auto" w:before="39"/>
        <w:ind w:left="1101" w:right="465"/>
        <w:jc w:val="left"/>
      </w:pPr>
      <w:r>
        <w:rPr/>
        <w:t>（</w:t>
      </w:r>
      <w:r>
        <w:rPr>
          <w:rFonts w:ascii="Calibri" w:hAnsi="Calibri" w:cs="Calibri" w:eastAsia="Calibri" w:hint="default"/>
        </w:rPr>
        <w:t>2</w:t>
      </w:r>
      <w:r>
        <w:rPr/>
        <w:t>）信用风险 信用风险，是指金融工具的一方不履行义务，造成另一方发生财务损失的风险。</w:t>
      </w:r>
    </w:p>
    <w:p>
      <w:pPr>
        <w:spacing w:after="0" w:line="326"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25" w:firstLine="479"/>
        <w:jc w:val="left"/>
      </w:pPr>
      <w:r>
        <w:rPr/>
        <w:t>本集团对信用风险按组合分类进行管理。信用风险主要产生于银行存款和应收款项 等。</w:t>
      </w:r>
    </w:p>
    <w:p>
      <w:pPr>
        <w:pStyle w:val="BodyText"/>
        <w:spacing w:line="357" w:lineRule="auto"/>
        <w:ind w:left="622" w:right="225" w:firstLine="479"/>
        <w:jc w:val="left"/>
      </w:pPr>
      <w:r>
        <w:rPr/>
        <w:t>本集团银行存款主要存放于信用良好的金融机构，本集团预期银行存款不存在重大 的信用风险。</w:t>
      </w:r>
    </w:p>
    <w:p>
      <w:pPr>
        <w:pStyle w:val="BodyText"/>
        <w:spacing w:line="357" w:lineRule="auto"/>
        <w:ind w:left="622" w:right="242" w:firstLine="479"/>
        <w:jc w:val="both"/>
      </w:pPr>
      <w:r>
        <w:rPr/>
        <w:t>对于应收款项，本集团设定相关政策以控制信用风险敞口。本集团基于对债务人的 财务状况、外部评级、从第三方获取担保的可能性、信用记录及其它因素诸如目前市场 状况等评估债务人的信用资质并设置相应欠款额度与信用期限。本集团会定期对债务人 信用记录进行监控，对于信用记录不良的债务人，本集团会采用书面催款、缩短信用期 或取消信用期等方式，以确保本集团的整体信用风险在可控的范围内。</w:t>
      </w:r>
    </w:p>
    <w:p>
      <w:pPr>
        <w:pStyle w:val="BodyText"/>
        <w:spacing w:line="357" w:lineRule="auto"/>
        <w:ind w:left="622" w:right="225" w:firstLine="479"/>
        <w:jc w:val="left"/>
      </w:pPr>
      <w:r>
        <w:rPr/>
        <w:t>本集团所承受的最大信用风险敞口为资产负债表中每项金融资产的账面金额。本集 团没有提供任何其他可能令本集团承受信用风险的对外担保。</w:t>
      </w:r>
    </w:p>
    <w:p>
      <w:pPr>
        <w:pStyle w:val="BodyText"/>
        <w:spacing w:line="340" w:lineRule="auto"/>
        <w:ind w:left="622" w:right="220" w:firstLine="479"/>
        <w:jc w:val="left"/>
      </w:pPr>
      <w:r>
        <w:rPr/>
        <w:t>本集团应收账款中，欠款金额前五大客户的应收账款占本集团应收账款总额的 </w:t>
      </w:r>
      <w:r>
        <w:rPr>
          <w:rFonts w:ascii="Calibri" w:hAnsi="Calibri" w:cs="Calibri" w:eastAsia="Calibri" w:hint="default"/>
        </w:rPr>
        <w:t>12.70%</w:t>
      </w:r>
      <w:r>
        <w:rPr/>
        <w:t>（</w:t>
      </w:r>
      <w:r>
        <w:rPr>
          <w:rFonts w:ascii="Calibri" w:hAnsi="Calibri" w:cs="Calibri" w:eastAsia="Calibri" w:hint="default"/>
        </w:rPr>
        <w:t>2014</w:t>
      </w:r>
      <w:r>
        <w:rPr/>
        <w:t>年：</w:t>
      </w:r>
      <w:r>
        <w:rPr>
          <w:rFonts w:ascii="Calibri" w:hAnsi="Calibri" w:cs="Calibri" w:eastAsia="Calibri" w:hint="default"/>
        </w:rPr>
        <w:t>15.94%</w:t>
      </w:r>
      <w:r>
        <w:rPr/>
        <w:t>）；本集团其他应收款中，欠款金额前五大公司的其他应收款 占本集团其他应收款总额的</w:t>
      </w:r>
      <w:r>
        <w:rPr>
          <w:rFonts w:ascii="Calibri" w:hAnsi="Calibri" w:cs="Calibri" w:eastAsia="Calibri" w:hint="default"/>
        </w:rPr>
        <w:t>16.16%</w:t>
      </w:r>
      <w:r>
        <w:rPr/>
        <w:t>（</w:t>
      </w:r>
      <w:r>
        <w:rPr>
          <w:rFonts w:ascii="Calibri" w:hAnsi="Calibri" w:cs="Calibri" w:eastAsia="Calibri" w:hint="default"/>
        </w:rPr>
        <w:t>2014</w:t>
      </w:r>
      <w:r>
        <w:rPr/>
        <w:t>年：</w:t>
      </w:r>
      <w:r>
        <w:rPr>
          <w:rFonts w:ascii="Calibri" w:hAnsi="Calibri" w:cs="Calibri" w:eastAsia="Calibri" w:hint="default"/>
        </w:rPr>
        <w:t>22.60%</w:t>
      </w:r>
      <w:r>
        <w:rPr/>
        <w:t>）。</w:t>
      </w:r>
    </w:p>
    <w:p>
      <w:pPr>
        <w:pStyle w:val="BodyText"/>
        <w:spacing w:line="326" w:lineRule="auto" w:before="0"/>
        <w:ind w:left="1101" w:right="225"/>
        <w:jc w:val="left"/>
      </w:pPr>
      <w:r>
        <w:rPr/>
        <w:t>（</w:t>
      </w:r>
      <w:r>
        <w:rPr>
          <w:rFonts w:ascii="Calibri" w:hAnsi="Calibri" w:cs="Calibri" w:eastAsia="Calibri" w:hint="default"/>
        </w:rPr>
        <w:t>3</w:t>
      </w:r>
      <w:r>
        <w:rPr/>
        <w:t>）流动性风险 流动性风险，是指本集团在履行以交付现金或其他金融资产的方式结算的义务时发</w:t>
      </w:r>
    </w:p>
    <w:p>
      <w:pPr>
        <w:pStyle w:val="BodyText"/>
        <w:spacing w:line="357" w:lineRule="auto" w:before="67"/>
        <w:ind w:left="1101" w:right="465" w:hanging="480"/>
        <w:jc w:val="left"/>
      </w:pPr>
      <w:r>
        <w:rPr/>
        <w:t>生资金短缺的风险。 管理流动风险时，本集团保持管理层认为充分的现金及现金等价物并对其进行监</w:t>
      </w:r>
    </w:p>
    <w:p>
      <w:pPr>
        <w:pStyle w:val="BodyText"/>
        <w:spacing w:line="357" w:lineRule="auto"/>
        <w:ind w:left="622" w:right="224"/>
        <w:jc w:val="left"/>
      </w:pPr>
      <w:r>
        <w:rPr/>
        <w:t>控，以满足本集团经营需要，并降低现金流量波动的影响。本集团管理层对银行借款的 使用情况进行监控并确保遵守借款协议。</w:t>
      </w:r>
    </w:p>
    <w:p>
      <w:pPr>
        <w:pStyle w:val="BodyText"/>
        <w:spacing w:line="357" w:lineRule="auto"/>
        <w:ind w:left="622" w:right="465" w:firstLine="479"/>
        <w:jc w:val="left"/>
      </w:pPr>
      <w:r>
        <w:rPr/>
        <w:t>期末本集团持有的金融负债按未折现剩余合同现金流量的到期期限分析如下（单 位：人民币万元）：</w:t>
      </w:r>
    </w:p>
    <w:tbl>
      <w:tblPr>
        <w:tblW w:w="0" w:type="auto"/>
        <w:jc w:val="left"/>
        <w:tblInd w:w="622" w:type="dxa"/>
        <w:tblLayout w:type="fixed"/>
        <w:tblCellMar>
          <w:top w:w="0" w:type="dxa"/>
          <w:left w:w="0" w:type="dxa"/>
          <w:bottom w:w="0" w:type="dxa"/>
          <w:right w:w="0" w:type="dxa"/>
        </w:tblCellMar>
        <w:tblLook w:val="01E0"/>
      </w:tblPr>
      <w:tblGrid>
        <w:gridCol w:w="1885"/>
        <w:gridCol w:w="1219"/>
        <w:gridCol w:w="1220"/>
        <w:gridCol w:w="1217"/>
        <w:gridCol w:w="1220"/>
        <w:gridCol w:w="1219"/>
        <w:gridCol w:w="1227"/>
      </w:tblGrid>
      <w:tr>
        <w:trPr>
          <w:trHeight w:val="341" w:hRule="exact"/>
        </w:trPr>
        <w:tc>
          <w:tcPr>
            <w:tcW w:w="1885" w:type="dxa"/>
            <w:vMerge w:val="restart"/>
            <w:tcBorders>
              <w:top w:val="single" w:sz="4" w:space="0" w:color="000000"/>
              <w:left w:val="single" w:sz="4" w:space="0" w:color="000000"/>
              <w:right w:val="single" w:sz="4" w:space="0" w:color="000000"/>
            </w:tcBorders>
          </w:tcPr>
          <w:p>
            <w:pPr>
              <w:pStyle w:val="TableParagraph"/>
              <w:tabs>
                <w:tab w:pos="1043" w:val="left" w:leader="none"/>
              </w:tabs>
              <w:spacing w:line="270" w:lineRule="exact"/>
              <w:ind w:left="62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3" w:hRule="exact"/>
        </w:trPr>
        <w:tc>
          <w:tcPr>
            <w:tcW w:w="1885" w:type="dxa"/>
            <w:vMerge/>
            <w:tcBorders>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8" w:right="0"/>
              <w:jc w:val="left"/>
              <w:rPr>
                <w:rFonts w:ascii="宋体" w:hAnsi="宋体" w:cs="宋体" w:eastAsia="宋体" w:hint="default"/>
                <w:sz w:val="21"/>
                <w:szCs w:val="21"/>
              </w:rPr>
            </w:pPr>
            <w:r>
              <w:rPr>
                <w:rFonts w:ascii="宋体" w:hAnsi="宋体" w:cs="宋体" w:eastAsia="宋体" w:hint="default"/>
                <w:sz w:val="21"/>
                <w:szCs w:val="21"/>
              </w:rPr>
              <w:t>未限定</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tabs>
                <w:tab w:pos="715" w:val="left" w:leader="none"/>
              </w:tabs>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341"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金融负债：</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482.34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482.34</w:t>
            </w:r>
          </w:p>
        </w:tc>
      </w:tr>
      <w:tr>
        <w:trPr>
          <w:trHeight w:val="341"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Calibri" w:hAnsi="Calibri" w:cs="Calibri" w:eastAsia="Calibri" w:hint="default"/>
                <w:sz w:val="21"/>
                <w:szCs w:val="21"/>
              </w:rPr>
            </w:pPr>
            <w:r>
              <w:rPr>
                <w:rFonts w:ascii="Calibri"/>
                <w:spacing w:val="-2"/>
                <w:sz w:val="21"/>
              </w:rPr>
              <w:t>11,369.34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w w:val="100"/>
                <w:sz w:val="21"/>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2"/>
                <w:sz w:val="21"/>
              </w:rPr>
              <w:t>11,369.34</w:t>
            </w:r>
          </w:p>
        </w:tc>
      </w:tr>
      <w:tr>
        <w:trPr>
          <w:trHeight w:val="370"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
              <w:jc w:val="right"/>
              <w:rPr>
                <w:rFonts w:ascii="Calibri" w:hAnsi="Calibri" w:cs="Calibri" w:eastAsia="Calibri" w:hint="default"/>
                <w:sz w:val="21"/>
                <w:szCs w:val="21"/>
              </w:rPr>
            </w:pPr>
            <w:r>
              <w:rPr>
                <w:rFonts w:ascii="Calibri"/>
                <w:spacing w:val="-1"/>
                <w:sz w:val="21"/>
              </w:rPr>
              <w:t>2,853.89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2,853.89</w:t>
            </w:r>
          </w:p>
        </w:tc>
      </w:tr>
      <w:tr>
        <w:trPr>
          <w:trHeight w:val="343"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5"/>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324.39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74.35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491.25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889.98</w:t>
            </w:r>
          </w:p>
        </w:tc>
      </w:tr>
      <w:tr>
        <w:trPr>
          <w:trHeight w:val="343"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 w:right="0"/>
              <w:jc w:val="center"/>
              <w:rPr>
                <w:rFonts w:ascii="宋体" w:hAnsi="宋体" w:cs="宋体" w:eastAsia="宋体" w:hint="default"/>
                <w:sz w:val="21"/>
                <w:szCs w:val="21"/>
              </w:rPr>
            </w:pPr>
            <w:r>
              <w:rPr>
                <w:rFonts w:ascii="宋体" w:hAnsi="宋体" w:cs="宋体" w:eastAsia="宋体" w:hint="default"/>
                <w:sz w:val="21"/>
                <w:szCs w:val="21"/>
              </w:rPr>
              <w:t>金融负债合计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
              <w:jc w:val="right"/>
              <w:rPr>
                <w:rFonts w:ascii="Calibri" w:hAnsi="Calibri" w:cs="Calibri" w:eastAsia="Calibri" w:hint="default"/>
                <w:sz w:val="21"/>
                <w:szCs w:val="21"/>
              </w:rPr>
            </w:pPr>
            <w:r>
              <w:rPr>
                <w:rFonts w:ascii="Calibri"/>
                <w:spacing w:val="-2"/>
                <w:sz w:val="21"/>
              </w:rPr>
              <w:t>14,223.23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1"/>
                <w:sz w:val="21"/>
              </w:rPr>
              <w:t>806.73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1"/>
                <w:sz w:val="21"/>
              </w:rPr>
              <w:t>74.35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1"/>
                <w:sz w:val="21"/>
              </w:rPr>
              <w:t>491.25</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2"/>
                <w:sz w:val="21"/>
              </w:rPr>
              <w:t>15,595.55</w:t>
            </w:r>
          </w:p>
        </w:tc>
      </w:tr>
    </w:tbl>
    <w:p>
      <w:pPr>
        <w:pStyle w:val="BodyText"/>
        <w:spacing w:line="240" w:lineRule="auto"/>
        <w:ind w:left="1101" w:right="225"/>
        <w:jc w:val="left"/>
      </w:pPr>
      <w:r>
        <w:rPr/>
        <w:t>期初本集团持有的金融负债按未折现剩余合同现金流量的到期期限分析如下</w:t>
      </w:r>
    </w:p>
    <w:p>
      <w:pPr>
        <w:pStyle w:val="BodyText"/>
        <w:spacing w:line="240" w:lineRule="auto" w:before="154"/>
        <w:ind w:left="1101" w:right="225"/>
        <w:jc w:val="left"/>
      </w:pPr>
      <w:r>
        <w:rPr/>
        <w:t>（单位：人民币万元）：</w:t>
      </w:r>
    </w:p>
    <w:p>
      <w:pPr>
        <w:spacing w:after="0" w:line="2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887"/>
        <w:gridCol w:w="1217"/>
        <w:gridCol w:w="1220"/>
        <w:gridCol w:w="1219"/>
        <w:gridCol w:w="1220"/>
        <w:gridCol w:w="1219"/>
        <w:gridCol w:w="1224"/>
      </w:tblGrid>
      <w:tr>
        <w:trPr>
          <w:trHeight w:val="351" w:hRule="exact"/>
        </w:trPr>
        <w:tc>
          <w:tcPr>
            <w:tcW w:w="1887" w:type="dxa"/>
            <w:vMerge w:val="restart"/>
            <w:tcBorders>
              <w:top w:val="single" w:sz="4" w:space="0" w:color="000000"/>
              <w:left w:val="single" w:sz="4" w:space="0" w:color="000000"/>
              <w:right w:val="single" w:sz="4" w:space="0" w:color="000000"/>
            </w:tcBorders>
          </w:tcPr>
          <w:p>
            <w:pPr>
              <w:pStyle w:val="TableParagraph"/>
              <w:tabs>
                <w:tab w:pos="1043" w:val="left" w:leader="none"/>
              </w:tabs>
              <w:spacing w:line="296" w:lineRule="exact"/>
              <w:ind w:left="6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73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4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50" w:hRule="exact"/>
        </w:trPr>
        <w:tc>
          <w:tcPr>
            <w:tcW w:w="188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2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未限定</w:t>
            </w:r>
            <w:r>
              <w:rPr>
                <w:rFonts w:ascii="Microsoft JhengHei" w:hAnsi="Microsoft JhengHei" w:cs="Microsoft JhengHei" w:eastAsia="Microsoft JhengHei"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一年以内</w:t>
            </w:r>
            <w:r>
              <w:rPr>
                <w:rFonts w:ascii="Microsoft JhengHei" w:hAnsi="Microsoft JhengHei" w:cs="Microsoft JhengHei" w:eastAsia="Microsoft JhengHei"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一至二年</w:t>
            </w:r>
            <w:r>
              <w:rPr>
                <w:rFonts w:ascii="Microsoft JhengHei" w:hAnsi="Microsoft JhengHei" w:cs="Microsoft JhengHei" w:eastAsia="Microsoft JhengHei" w:hint="default"/>
                <w:sz w:val="21"/>
                <w:szCs w:val="21"/>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二至三年</w:t>
            </w:r>
            <w:r>
              <w:rPr>
                <w:rFonts w:ascii="Microsoft JhengHei" w:hAnsi="Microsoft JhengHei" w:cs="Microsoft JhengHei" w:eastAsia="Microsoft JhengHei"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三年以上</w:t>
            </w:r>
            <w:r>
              <w:rPr>
                <w:rFonts w:ascii="Microsoft JhengHei" w:hAnsi="Microsoft JhengHei" w:cs="Microsoft JhengHei" w:eastAsia="Microsoft JhengHei"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tabs>
                <w:tab w:pos="712" w:val="left" w:leader="none"/>
              </w:tabs>
              <w:spacing w:line="296" w:lineRule="exact"/>
              <w:ind w:left="2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r>
      <w:tr>
        <w:trPr>
          <w:trHeight w:val="35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金融负债：</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464.50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464.50</w:t>
            </w:r>
          </w:p>
        </w:tc>
      </w:tr>
      <w:tr>
        <w:trPr>
          <w:trHeight w:val="35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Calibri" w:hAnsi="Calibri" w:cs="Calibri" w:eastAsia="Calibri" w:hint="default"/>
                <w:sz w:val="21"/>
                <w:szCs w:val="21"/>
              </w:rPr>
            </w:pPr>
            <w:r>
              <w:rPr>
                <w:rFonts w:ascii="Calibri"/>
                <w:spacing w:val="-1"/>
                <w:sz w:val="21"/>
              </w:rPr>
              <w:t>8,385.89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8,385.89</w:t>
            </w:r>
          </w:p>
        </w:tc>
      </w:tr>
      <w:tr>
        <w:trPr>
          <w:trHeight w:val="35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Calibri" w:hAnsi="Calibri" w:cs="Calibri" w:eastAsia="Calibri" w:hint="default"/>
                <w:sz w:val="21"/>
                <w:szCs w:val="21"/>
              </w:rPr>
            </w:pPr>
            <w:r>
              <w:rPr>
                <w:rFonts w:ascii="Calibri"/>
                <w:spacing w:val="-1"/>
                <w:sz w:val="21"/>
              </w:rPr>
              <w:t>1,308.90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1,308.90</w:t>
            </w:r>
          </w:p>
        </w:tc>
      </w:tr>
      <w:tr>
        <w:trPr>
          <w:trHeight w:val="35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264.68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86.67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514.38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865.73</w:t>
            </w:r>
          </w:p>
        </w:tc>
      </w:tr>
      <w:tr>
        <w:trPr>
          <w:trHeight w:val="350"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金融负债合计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Calibri" w:hAnsi="Calibri" w:cs="Calibri" w:eastAsia="Calibri" w:hint="default"/>
                <w:sz w:val="21"/>
                <w:szCs w:val="21"/>
              </w:rPr>
            </w:pPr>
            <w:r>
              <w:rPr>
                <w:rFonts w:ascii="Calibri"/>
                <w:spacing w:val="-1"/>
                <w:sz w:val="21"/>
              </w:rPr>
              <w:t>9,694.79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729.18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w w:val="100"/>
                <w:sz w:val="21"/>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86.67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1"/>
                <w:sz w:val="21"/>
              </w:rPr>
              <w:t>514.38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spacing w:val="-2"/>
                <w:sz w:val="21"/>
              </w:rPr>
              <w:t>11,025.02</w:t>
            </w:r>
          </w:p>
        </w:tc>
      </w:tr>
    </w:tbl>
    <w:p>
      <w:pPr>
        <w:pStyle w:val="BodyText"/>
        <w:spacing w:line="357" w:lineRule="auto" w:before="39"/>
        <w:ind w:left="622" w:right="225" w:firstLine="479"/>
        <w:jc w:val="left"/>
      </w:pPr>
      <w:r>
        <w:rPr/>
        <w:t>注：一般而言，供应商不会限定特定账期，但相关应付款项通常在收到货品或服务 后一年内结算。</w:t>
      </w:r>
    </w:p>
    <w:p>
      <w:pPr>
        <w:pStyle w:val="BodyText"/>
        <w:spacing w:line="326" w:lineRule="auto" w:before="37"/>
        <w:ind w:left="1101" w:right="225"/>
        <w:jc w:val="left"/>
      </w:pPr>
      <w:r>
        <w:rPr>
          <w:rFonts w:ascii="Calibri" w:hAnsi="Calibri" w:cs="Calibri" w:eastAsia="Calibri" w:hint="default"/>
        </w:rPr>
        <w:t>2</w:t>
      </w:r>
      <w:r>
        <w:rPr/>
        <w:t>、资本管理 本集团资本管理政策的目标是为了保障本集团能够持续发展，实现战略目标，从而</w:t>
      </w:r>
    </w:p>
    <w:p>
      <w:pPr>
        <w:pStyle w:val="BodyText"/>
        <w:spacing w:line="357" w:lineRule="auto" w:before="67"/>
        <w:ind w:left="622" w:right="464"/>
        <w:jc w:val="left"/>
      </w:pPr>
      <w:r>
        <w:rPr/>
        <w:t>为股东提供回报，并使其他利益相关者获益，同时维持最佳的资本结构以降低资本成 本。</w:t>
      </w:r>
    </w:p>
    <w:p>
      <w:pPr>
        <w:pStyle w:val="BodyText"/>
        <w:spacing w:line="326" w:lineRule="auto"/>
        <w:ind w:left="622" w:right="218" w:firstLine="479"/>
        <w:jc w:val="left"/>
      </w:pPr>
      <w:r>
        <w:rPr/>
        <w:t>本集团以资产负债率（即总负债除以总资产）为基础对资本结构进行监控。于</w:t>
      </w:r>
      <w:r>
        <w:rPr>
          <w:rFonts w:ascii="Calibri" w:hAnsi="Calibri" w:cs="Calibri" w:eastAsia="Calibri" w:hint="default"/>
        </w:rPr>
        <w:t>2015 </w:t>
      </w:r>
      <w:r>
        <w:rPr/>
        <w:t>年</w:t>
      </w:r>
      <w:r>
        <w:rPr>
          <w:rFonts w:ascii="Calibri" w:hAnsi="Calibri" w:cs="Calibri" w:eastAsia="Calibri" w:hint="default"/>
        </w:rPr>
        <w:t>12</w:t>
      </w:r>
      <w:r>
        <w:rPr/>
        <w:t>月</w:t>
      </w:r>
      <w:r>
        <w:rPr>
          <w:rFonts w:ascii="Calibri" w:hAnsi="Calibri" w:cs="Calibri" w:eastAsia="Calibri" w:hint="default"/>
        </w:rPr>
        <w:t>31</w:t>
      </w:r>
      <w:r>
        <w:rPr/>
        <w:t>日，本集团的资产负债率为</w:t>
      </w:r>
      <w:r>
        <w:rPr>
          <w:rFonts w:ascii="Calibri" w:hAnsi="Calibri" w:cs="Calibri" w:eastAsia="Calibri" w:hint="default"/>
        </w:rPr>
        <w:t>32.07%</w:t>
      </w:r>
      <w:r>
        <w:rPr/>
        <w:t>（</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w:t>
      </w:r>
      <w:r>
        <w:rPr>
          <w:rFonts w:ascii="Calibri" w:hAnsi="Calibri" w:cs="Calibri" w:eastAsia="Calibri" w:hint="default"/>
        </w:rPr>
        <w:t>23.83%</w:t>
      </w:r>
      <w:r>
        <w:rPr/>
        <w:t>）。</w:t>
      </w:r>
    </w:p>
    <w:p>
      <w:pPr>
        <w:pStyle w:val="Heading2"/>
        <w:spacing w:line="359" w:lineRule="exact"/>
        <w:ind w:left="1104" w:right="225"/>
        <w:jc w:val="left"/>
        <w:rPr>
          <w:b w:val="0"/>
          <w:bCs w:val="0"/>
        </w:rPr>
      </w:pPr>
      <w:bookmarkStart w:name="_bookmark79" w:id="80"/>
      <w:bookmarkEnd w:id="80"/>
      <w:r>
        <w:rPr>
          <w:b w:val="0"/>
          <w:bCs w:val="0"/>
        </w:rPr>
      </w:r>
      <w:r>
        <w:rPr/>
        <w:t>十一、关联方及关联交易</w:t>
      </w:r>
      <w:r>
        <w:rPr>
          <w:b w:val="0"/>
          <w:bCs w:val="0"/>
        </w:rPr>
      </w:r>
    </w:p>
    <w:p>
      <w:pPr>
        <w:spacing w:line="304" w:lineRule="auto" w:before="50"/>
        <w:ind w:left="1101" w:right="6341" w:firstLine="2"/>
        <w:jc w:val="left"/>
        <w:rPr>
          <w:rFonts w:ascii="Microsoft JhengHei" w:hAnsi="Microsoft JhengHei" w:cs="Microsoft JhengHei" w:eastAsia="Microsoft JhengHei" w:hint="default"/>
          <w:sz w:val="24"/>
          <w:szCs w:val="24"/>
        </w:rPr>
      </w:pP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、本企业的母公司情况</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Calibri" w:hAnsi="Calibri" w:cs="Calibri" w:eastAsia="Calibri" w:hint="default"/>
          <w:b/>
          <w:bCs/>
          <w:sz w:val="24"/>
          <w:szCs w:val="24"/>
        </w:rPr>
        <w:t>2</w:t>
      </w:r>
      <w:r>
        <w:rPr>
          <w:rFonts w:ascii="Microsoft JhengHei" w:hAnsi="Microsoft JhengHei" w:cs="Microsoft JhengHei" w:eastAsia="Microsoft JhengHei" w:hint="default"/>
          <w:b/>
          <w:bCs/>
          <w:sz w:val="24"/>
          <w:szCs w:val="24"/>
        </w:rPr>
        <w:t>、本企业的子公司情况</w:t>
      </w:r>
      <w:r>
        <w:rPr>
          <w:rFonts w:ascii="Microsoft JhengHei" w:hAnsi="Microsoft JhengHei" w:cs="Microsoft JhengHei" w:eastAsia="Microsoft JhengHei" w:hint="default"/>
          <w:sz w:val="24"/>
          <w:szCs w:val="24"/>
        </w:rPr>
      </w:r>
    </w:p>
    <w:p>
      <w:pPr>
        <w:spacing w:line="304" w:lineRule="auto" w:before="36"/>
        <w:ind w:left="1101" w:right="3945" w:firstLine="0"/>
        <w:jc w:val="left"/>
        <w:rPr>
          <w:rFonts w:ascii="宋体" w:hAnsi="宋体" w:cs="宋体" w:eastAsia="宋体" w:hint="default"/>
          <w:sz w:val="24"/>
          <w:szCs w:val="24"/>
        </w:rPr>
      </w:pPr>
      <w:r>
        <w:rPr>
          <w:rFonts w:ascii="宋体" w:hAnsi="宋体" w:cs="宋体" w:eastAsia="宋体" w:hint="default"/>
          <w:sz w:val="24"/>
          <w:szCs w:val="24"/>
        </w:rPr>
        <w:t>本企业子公司的情况详见附注九、</w:t>
      </w:r>
      <w:r>
        <w:rPr>
          <w:rFonts w:ascii="宋体" w:hAnsi="宋体" w:cs="宋体" w:eastAsia="宋体" w:hint="default"/>
          <w:sz w:val="24"/>
          <w:szCs w:val="24"/>
        </w:rPr>
        <w:t>1</w:t>
      </w:r>
      <w:r>
        <w:rPr>
          <w:rFonts w:ascii="宋体" w:hAnsi="宋体" w:cs="宋体" w:eastAsia="宋体" w:hint="default"/>
          <w:sz w:val="24"/>
          <w:szCs w:val="24"/>
        </w:rPr>
        <w:t>。 </w:t>
      </w:r>
      <w:r>
        <w:rPr>
          <w:rFonts w:ascii="Calibri" w:hAnsi="Calibri" w:cs="Calibri" w:eastAsia="Calibri" w:hint="default"/>
          <w:b/>
          <w:bCs/>
          <w:sz w:val="24"/>
          <w:szCs w:val="24"/>
        </w:rPr>
        <w:t>3</w:t>
      </w:r>
      <w:r>
        <w:rPr>
          <w:rFonts w:ascii="Microsoft JhengHei" w:hAnsi="Microsoft JhengHei" w:cs="Microsoft JhengHei" w:eastAsia="Microsoft JhengHei" w:hint="default"/>
          <w:b/>
          <w:bCs/>
          <w:sz w:val="24"/>
          <w:szCs w:val="24"/>
        </w:rPr>
        <w:t>、本企业合营和联营企业情况</w:t>
      </w:r>
      <w:r>
        <w:rPr>
          <w:rFonts w:ascii="Microsoft JhengHei" w:hAnsi="Microsoft JhengHei" w:cs="Microsoft JhengHei" w:eastAsia="Microsoft JhengHei" w:hint="default"/>
          <w:b/>
          <w:bCs/>
          <w:spacing w:val="-50"/>
          <w:sz w:val="24"/>
          <w:szCs w:val="24"/>
        </w:rPr>
        <w:t> </w:t>
      </w:r>
      <w:r>
        <w:rPr>
          <w:rFonts w:ascii="Microsoft JhengHei" w:hAnsi="Microsoft JhengHei" w:cs="Microsoft JhengHei" w:eastAsia="Microsoft JhengHei" w:hint="default"/>
          <w:b/>
          <w:bCs/>
          <w:spacing w:val="-50"/>
          <w:sz w:val="24"/>
          <w:szCs w:val="24"/>
        </w:rPr>
      </w:r>
      <w:r>
        <w:rPr>
          <w:rFonts w:ascii="宋体" w:hAnsi="宋体" w:cs="宋体" w:eastAsia="宋体" w:hint="default"/>
          <w:sz w:val="24"/>
          <w:szCs w:val="24"/>
        </w:rPr>
        <w:t>本企业重要的合营或联营企业详见附注九、</w:t>
      </w:r>
      <w:r>
        <w:rPr>
          <w:rFonts w:ascii="宋体" w:hAnsi="宋体" w:cs="宋体" w:eastAsia="宋体" w:hint="default"/>
          <w:sz w:val="24"/>
          <w:szCs w:val="24"/>
        </w:rPr>
        <w:t>3</w:t>
      </w:r>
      <w:r>
        <w:rPr>
          <w:rFonts w:ascii="宋体" w:hAnsi="宋体" w:cs="宋体" w:eastAsia="宋体" w:hint="default"/>
          <w:sz w:val="24"/>
          <w:szCs w:val="24"/>
        </w:rPr>
        <w:t>。</w:t>
      </w:r>
    </w:p>
    <w:p>
      <w:pPr>
        <w:pStyle w:val="BodyText"/>
        <w:spacing w:line="357" w:lineRule="auto" w:before="89"/>
        <w:ind w:left="622" w:right="225" w:firstLine="479"/>
        <w:jc w:val="left"/>
      </w:pPr>
      <w:r>
        <w:rPr/>
        <w:t>本期与本公司发生关联方交易，或前期与本公司发生关联方交易形成余额的其他合 营或联营企业情况如下：</w:t>
      </w:r>
    </w:p>
    <w:tbl>
      <w:tblPr>
        <w:tblW w:w="0" w:type="auto"/>
        <w:jc w:val="left"/>
        <w:tblInd w:w="622" w:type="dxa"/>
        <w:tblLayout w:type="fixed"/>
        <w:tblCellMar>
          <w:top w:w="0" w:type="dxa"/>
          <w:left w:w="0" w:type="dxa"/>
          <w:bottom w:w="0" w:type="dxa"/>
          <w:right w:w="0" w:type="dxa"/>
        </w:tblCellMar>
        <w:tblLook w:val="01E0"/>
      </w:tblPr>
      <w:tblGrid>
        <w:gridCol w:w="4602"/>
        <w:gridCol w:w="4604"/>
      </w:tblGrid>
      <w:tr>
        <w:trPr>
          <w:trHeight w:val="32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合营或联营企业名称</w:t>
            </w:r>
            <w:r>
              <w:rPr>
                <w:rFonts w:ascii="Microsoft JhengHei" w:hAnsi="Microsoft JhengHei" w:cs="Microsoft JhengHei" w:eastAsia="Microsoft JhengHei" w:hint="default"/>
                <w:sz w:val="21"/>
                <w:szCs w:val="21"/>
              </w:rPr>
            </w:r>
          </w:p>
        </w:tc>
        <w:tc>
          <w:tcPr>
            <w:tcW w:w="4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与本企业关系</w:t>
            </w:r>
            <w:r>
              <w:rPr>
                <w:rFonts w:ascii="Microsoft JhengHei" w:hAnsi="Microsoft JhengHei" w:cs="Microsoft JhengHei" w:eastAsia="Microsoft JhengHei" w:hint="default"/>
                <w:sz w:val="21"/>
                <w:szCs w:val="21"/>
              </w:rPr>
            </w:r>
          </w:p>
        </w:tc>
      </w:tr>
      <w:tr>
        <w:trPr>
          <w:trHeight w:val="322" w:hRule="exact"/>
        </w:trPr>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300" w:lineRule="auto" w:before="36"/>
        <w:ind w:left="1104" w:right="6820" w:hanging="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其他说明：无 </w:t>
      </w:r>
      <w:r>
        <w:rPr>
          <w:rFonts w:ascii="Calibri" w:hAnsi="Calibri" w:cs="Calibri" w:eastAsia="Calibri" w:hint="default"/>
          <w:b/>
          <w:bCs/>
          <w:sz w:val="24"/>
          <w:szCs w:val="24"/>
        </w:rPr>
        <w:t>4</w:t>
      </w:r>
      <w:r>
        <w:rPr>
          <w:rFonts w:ascii="Microsoft JhengHei" w:hAnsi="Microsoft JhengHei" w:cs="Microsoft JhengHei" w:eastAsia="Microsoft JhengHei" w:hint="default"/>
          <w:b/>
          <w:bCs/>
          <w:sz w:val="24"/>
          <w:szCs w:val="24"/>
        </w:rPr>
        <w:t>、其他关联方情况</w:t>
      </w:r>
      <w:r>
        <w:rPr>
          <w:rFonts w:ascii="Microsoft JhengHei" w:hAnsi="Microsoft JhengHei" w:cs="Microsoft JhengHei" w:eastAsia="Microsoft JhengHei" w:hint="default"/>
          <w:sz w:val="24"/>
          <w:szCs w:val="24"/>
        </w:rPr>
      </w:r>
    </w:p>
    <w:tbl>
      <w:tblPr>
        <w:tblW w:w="0" w:type="auto"/>
        <w:jc w:val="left"/>
        <w:tblInd w:w="622" w:type="dxa"/>
        <w:tblLayout w:type="fixed"/>
        <w:tblCellMar>
          <w:top w:w="0" w:type="dxa"/>
          <w:left w:w="0" w:type="dxa"/>
          <w:bottom w:w="0" w:type="dxa"/>
          <w:right w:w="0" w:type="dxa"/>
        </w:tblCellMar>
        <w:tblLook w:val="01E0"/>
      </w:tblPr>
      <w:tblGrid>
        <w:gridCol w:w="4602"/>
        <w:gridCol w:w="4604"/>
      </w:tblGrid>
      <w:tr>
        <w:trPr>
          <w:trHeight w:val="322" w:hRule="exact"/>
        </w:trPr>
        <w:tc>
          <w:tcPr>
            <w:tcW w:w="4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其他关联方名称</w:t>
            </w:r>
            <w:r>
              <w:rPr>
                <w:rFonts w:ascii="Microsoft JhengHei" w:hAnsi="Microsoft JhengHei" w:cs="Microsoft JhengHei" w:eastAsia="Microsoft JhengHei" w:hint="default"/>
                <w:sz w:val="21"/>
                <w:szCs w:val="21"/>
              </w:rPr>
            </w:r>
          </w:p>
        </w:tc>
        <w:tc>
          <w:tcPr>
            <w:tcW w:w="4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其他关联方与本企业关系</w:t>
            </w:r>
            <w:r>
              <w:rPr>
                <w:rFonts w:ascii="Microsoft JhengHei" w:hAnsi="Microsoft JhengHei" w:cs="Microsoft JhengHei" w:eastAsia="Microsoft JhengHei" w:hint="default"/>
                <w:sz w:val="21"/>
                <w:szCs w:val="21"/>
              </w:rPr>
            </w:r>
          </w:p>
        </w:tc>
      </w:tr>
      <w:tr>
        <w:trPr>
          <w:trHeight w:val="324" w:hRule="exact"/>
        </w:trPr>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322" w:hRule="exact"/>
        </w:trPr>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关键管理人员</w:t>
            </w:r>
          </w:p>
        </w:tc>
      </w:tr>
    </w:tbl>
    <w:p>
      <w:pPr>
        <w:pStyle w:val="BodyText"/>
        <w:spacing w:line="240" w:lineRule="auto" w:before="42"/>
        <w:ind w:left="1101" w:right="225"/>
        <w:jc w:val="left"/>
      </w:pPr>
      <w:r>
        <w:rPr/>
        <w:t>其他说明：无</w:t>
      </w:r>
    </w:p>
    <w:p>
      <w:pPr>
        <w:spacing w:after="0" w:line="240" w:lineRule="auto"/>
        <w:jc w:val="left"/>
        <w:sectPr>
          <w:footerReference w:type="default" r:id="rId58"/>
          <w:pgSz w:w="11910" w:h="16840"/>
          <w:pgMar w:footer="1085" w:header="884" w:top="1300" w:bottom="1280" w:left="1080" w:right="840"/>
          <w:pgNumType w:start="17"/>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4" w:footer="1085" w:top="1300" w:bottom="1280" w:left="1080" w:right="840"/>
        </w:sectPr>
      </w:pPr>
    </w:p>
    <w:p>
      <w:pPr>
        <w:pStyle w:val="Heading2"/>
        <w:spacing w:line="371" w:lineRule="exact"/>
        <w:ind w:left="1104" w:right="-3"/>
        <w:jc w:val="left"/>
        <w:rPr>
          <w:b w:val="0"/>
          <w:bCs w:val="0"/>
        </w:rPr>
      </w:pPr>
      <w:r>
        <w:rPr>
          <w:rFonts w:ascii="Calibri" w:hAnsi="Calibri" w:cs="Calibri" w:eastAsia="Calibri" w:hint="default"/>
        </w:rPr>
        <w:t>5</w:t>
      </w:r>
      <w:r>
        <w:rPr/>
        <w:t>、关联交易情况</w:t>
      </w:r>
      <w:r>
        <w:rPr>
          <w:b w:val="0"/>
          <w:bCs w:val="0"/>
        </w:rPr>
      </w:r>
    </w:p>
    <w:p>
      <w:pPr>
        <w:spacing w:line="309" w:lineRule="auto" w:before="47"/>
        <w:ind w:left="1101" w:right="-3"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）购销商品、提供和接受劳务的关联交易</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3"/>
        <w:ind w:left="1102" w:right="0"/>
        <w:jc w:val="left"/>
      </w:pPr>
      <w:r>
        <w:rPr/>
        <w:t>单位： 元</w:t>
      </w:r>
    </w:p>
    <w:p>
      <w:pPr>
        <w:spacing w:after="0" w:line="240" w:lineRule="auto"/>
        <w:jc w:val="left"/>
        <w:sectPr>
          <w:type w:val="continuous"/>
          <w:pgSz w:w="11910" w:h="16840"/>
          <w:pgMar w:top="1100" w:bottom="1280" w:left="1080" w:right="840"/>
          <w:cols w:num="2" w:equalWidth="0">
            <w:col w:w="5802" w:space="1853"/>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561"/>
        <w:gridCol w:w="1500"/>
        <w:gridCol w:w="1361"/>
        <w:gridCol w:w="955"/>
        <w:gridCol w:w="1186"/>
        <w:gridCol w:w="1642"/>
      </w:tblGrid>
      <w:tr>
        <w:trPr>
          <w:trHeight w:val="634" w:hRule="exact"/>
        </w:trPr>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1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关联交易内容</w:t>
            </w:r>
            <w:r>
              <w:rPr>
                <w:rFonts w:ascii="Microsoft JhengHei" w:hAnsi="Microsoft JhengHei" w:cs="Microsoft JhengHei" w:eastAsia="Microsoft JhengHei"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获批的交</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易额度</w:t>
            </w:r>
            <w:r>
              <w:rPr>
                <w:rFonts w:ascii="Microsoft JhengHei" w:hAnsi="Microsoft JhengHei" w:cs="Microsoft JhengHei" w:eastAsia="Microsoft JhengHei"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是否超过交</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易额度</w:t>
            </w:r>
            <w:r>
              <w:rPr>
                <w:rFonts w:ascii="Microsoft JhengHei" w:hAnsi="Microsoft JhengHei" w:cs="Microsoft JhengHei" w:eastAsia="Microsoft JhengHei" w:hint="default"/>
                <w:sz w:val="21"/>
                <w:szCs w:val="21"/>
              </w:rPr>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634"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66" w:right="118" w:hanging="1049"/>
              <w:jc w:val="left"/>
              <w:rPr>
                <w:rFonts w:ascii="宋体" w:hAnsi="宋体" w:cs="宋体" w:eastAsia="宋体" w:hint="default"/>
                <w:sz w:val="21"/>
                <w:szCs w:val="21"/>
              </w:rPr>
            </w:pPr>
            <w:r>
              <w:rPr>
                <w:rFonts w:ascii="宋体" w:hAnsi="宋体" w:cs="宋体" w:eastAsia="宋体" w:hint="default"/>
                <w:spacing w:val="-2"/>
                <w:sz w:val="21"/>
                <w:szCs w:val="21"/>
              </w:rPr>
              <w:t>浙江中科数城软件有限公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pacing w:val="-1"/>
                <w:sz w:val="21"/>
                <w:szCs w:val="21"/>
              </w:rPr>
              <w:t>软件技术开发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1,133,500.00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4" w:right="0"/>
              <w:jc w:val="left"/>
              <w:rPr>
                <w:rFonts w:ascii="Calibri" w:hAnsi="Calibri" w:cs="Calibri" w:eastAsia="Calibri" w:hint="default"/>
                <w:sz w:val="21"/>
                <w:szCs w:val="21"/>
              </w:rPr>
            </w:pPr>
            <w:r>
              <w:rPr>
                <w:rFonts w:ascii="Calibri"/>
                <w:sz w:val="21"/>
              </w:rPr>
              <w:t>551,200.00</w:t>
            </w:r>
          </w:p>
        </w:tc>
      </w:tr>
      <w:tr>
        <w:trPr>
          <w:trHeight w:val="637"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51" w:right="118" w:hanging="735"/>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spacing w:val="-1"/>
                <w:sz w:val="21"/>
                <w:szCs w:val="21"/>
              </w:rPr>
              <w:t>软件技术开发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198,000.00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80" w:left="1080" w:right="840"/>
        </w:sectPr>
      </w:pPr>
    </w:p>
    <w:p>
      <w:pPr>
        <w:pStyle w:val="BodyText"/>
        <w:spacing w:line="240" w:lineRule="auto" w:before="39"/>
        <w:ind w:left="1101" w:right="-19"/>
        <w:jc w:val="left"/>
      </w:pPr>
      <w:r>
        <w:rPr/>
        <w:t>出售商品</w:t>
      </w:r>
      <w:r>
        <w:rPr>
          <w:rFonts w:ascii="Calibri" w:hAnsi="Calibri" w:cs="Calibri" w:eastAsia="Calibri" w:hint="default"/>
        </w:rPr>
        <w:t>/</w:t>
      </w:r>
      <w:r>
        <w:rPr/>
        <w:t>提供劳务情况表</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240" w:lineRule="auto" w:before="193"/>
        <w:ind w:left="1102" w:right="0"/>
        <w:jc w:val="left"/>
      </w:pPr>
      <w:r>
        <w:rPr/>
        <w:t>单位： 元</w:t>
      </w:r>
    </w:p>
    <w:p>
      <w:pPr>
        <w:spacing w:after="0" w:line="240" w:lineRule="auto"/>
        <w:jc w:val="left"/>
        <w:sectPr>
          <w:type w:val="continuous"/>
          <w:pgSz w:w="11910" w:h="16840"/>
          <w:pgMar w:top="1100" w:bottom="1280" w:left="1080" w:right="840"/>
          <w:cols w:num="2" w:equalWidth="0">
            <w:col w:w="3836" w:space="3819"/>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2561"/>
        <w:gridCol w:w="1920"/>
        <w:gridCol w:w="2172"/>
        <w:gridCol w:w="2552"/>
      </w:tblGrid>
      <w:tr>
        <w:trPr>
          <w:trHeight w:val="322" w:hRule="exact"/>
        </w:trPr>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关联交易内容</w:t>
            </w:r>
            <w:r>
              <w:rPr>
                <w:rFonts w:ascii="Microsoft JhengHei" w:hAnsi="Microsoft JhengHei" w:cs="Microsoft JhengHei" w:eastAsia="Microsoft JhengHei"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634"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68" w:right="118" w:hanging="1052"/>
              <w:jc w:val="left"/>
              <w:rPr>
                <w:rFonts w:ascii="宋体" w:hAnsi="宋体" w:cs="宋体" w:eastAsia="宋体" w:hint="default"/>
                <w:sz w:val="21"/>
                <w:szCs w:val="21"/>
              </w:rPr>
            </w:pPr>
            <w:r>
              <w:rPr>
                <w:rFonts w:ascii="宋体" w:hAnsi="宋体" w:cs="宋体" w:eastAsia="宋体" w:hint="default"/>
                <w:spacing w:val="-2"/>
                <w:sz w:val="21"/>
                <w:szCs w:val="21"/>
              </w:rPr>
              <w:t>浙江中科数城软件有限公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1"/>
              <w:jc w:val="right"/>
              <w:rPr>
                <w:rFonts w:ascii="宋体" w:hAnsi="宋体" w:cs="宋体" w:eastAsia="宋体" w:hint="default"/>
                <w:sz w:val="21"/>
                <w:szCs w:val="21"/>
              </w:rPr>
            </w:pPr>
            <w:r>
              <w:rPr>
                <w:rFonts w:ascii="宋体" w:hAnsi="宋体" w:cs="宋体" w:eastAsia="宋体" w:hint="default"/>
                <w:spacing w:val="-1"/>
                <w:sz w:val="21"/>
                <w:szCs w:val="21"/>
              </w:rPr>
              <w:t>软件技术开发</w:t>
            </w:r>
          </w:p>
        </w:tc>
        <w:tc>
          <w:tcPr>
            <w:tcW w:w="2172"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3" w:right="0"/>
              <w:jc w:val="left"/>
              <w:rPr>
                <w:rFonts w:ascii="Calibri" w:hAnsi="Calibri" w:cs="Calibri" w:eastAsia="Calibri" w:hint="default"/>
                <w:sz w:val="21"/>
                <w:szCs w:val="21"/>
              </w:rPr>
            </w:pPr>
            <w:r>
              <w:rPr>
                <w:rFonts w:ascii="Calibri"/>
                <w:sz w:val="21"/>
              </w:rPr>
              <w:t>290,600.00</w:t>
            </w:r>
          </w:p>
        </w:tc>
      </w:tr>
      <w:tr>
        <w:trPr>
          <w:trHeight w:val="634"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54" w:right="118" w:hanging="737"/>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11"/>
              <w:jc w:val="right"/>
              <w:rPr>
                <w:rFonts w:ascii="宋体" w:hAnsi="宋体" w:cs="宋体" w:eastAsia="宋体" w:hint="default"/>
                <w:sz w:val="21"/>
                <w:szCs w:val="21"/>
              </w:rPr>
            </w:pPr>
            <w:r>
              <w:rPr>
                <w:rFonts w:ascii="宋体" w:hAnsi="宋体" w:cs="宋体" w:eastAsia="宋体" w:hint="default"/>
                <w:spacing w:val="-1"/>
                <w:sz w:val="21"/>
                <w:szCs w:val="21"/>
              </w:rPr>
              <w:t>软件技术开发</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66" w:right="0"/>
              <w:jc w:val="left"/>
              <w:rPr>
                <w:rFonts w:ascii="Calibri" w:hAnsi="Calibri" w:cs="Calibri" w:eastAsia="Calibri" w:hint="default"/>
                <w:sz w:val="21"/>
                <w:szCs w:val="21"/>
              </w:rPr>
            </w:pPr>
            <w:r>
              <w:rPr>
                <w:rFonts w:ascii="Calibri"/>
                <w:sz w:val="21"/>
              </w:rPr>
              <w:t>90,000.00</w:t>
            </w:r>
          </w:p>
        </w:tc>
        <w:tc>
          <w:tcPr>
            <w:tcW w:w="25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80" w:left="1080" w:right="840"/>
        </w:sectPr>
      </w:pPr>
    </w:p>
    <w:p>
      <w:pPr>
        <w:pStyle w:val="Heading2"/>
        <w:spacing w:line="384" w:lineRule="exact"/>
        <w:ind w:left="1104" w:right="0"/>
        <w:jc w:val="left"/>
        <w:rPr>
          <w:b w:val="0"/>
          <w:bCs w:val="0"/>
        </w:rPr>
      </w:pPr>
      <w:r>
        <w:rPr/>
        <w:t>（</w:t>
      </w:r>
      <w:r>
        <w:rPr>
          <w:rFonts w:ascii="Calibri" w:hAnsi="Calibri" w:cs="Calibri" w:eastAsia="Calibri" w:hint="default"/>
        </w:rPr>
        <w:t>2</w:t>
      </w:r>
      <w:r>
        <w:rPr/>
        <w:t>）关联受托管理</w:t>
      </w:r>
      <w:r>
        <w:rPr>
          <w:rFonts w:ascii="Calibri" w:hAnsi="Calibri" w:cs="Calibri" w:eastAsia="Calibri" w:hint="default"/>
        </w:rPr>
        <w:t>/</w:t>
      </w:r>
      <w:r>
        <w:rPr/>
        <w:t>承包及委托管理</w:t>
      </w:r>
      <w:r>
        <w:rPr>
          <w:rFonts w:ascii="Calibri" w:hAnsi="Calibri" w:cs="Calibri" w:eastAsia="Calibri" w:hint="default"/>
        </w:rPr>
        <w:t>/</w:t>
      </w:r>
      <w:r>
        <w:rPr/>
        <w:t>出包情况</w:t>
      </w:r>
      <w:r>
        <w:rPr>
          <w:b w:val="0"/>
          <w:bCs w:val="0"/>
        </w:rPr>
      </w:r>
    </w:p>
    <w:p>
      <w:pPr>
        <w:pStyle w:val="BodyText"/>
        <w:spacing w:line="240" w:lineRule="auto" w:before="123"/>
        <w:ind w:left="1221" w:right="0"/>
        <w:jc w:val="left"/>
      </w:pPr>
      <w:r>
        <w:rPr/>
        <w:t>无</w:t>
      </w:r>
    </w:p>
    <w:p>
      <w:pPr>
        <w:pStyle w:val="Heading2"/>
        <w:spacing w:line="309" w:lineRule="auto" w:before="77"/>
        <w:ind w:left="1702" w:right="2878" w:hanging="598"/>
        <w:jc w:val="left"/>
        <w:rPr>
          <w:rFonts w:ascii="宋体" w:hAnsi="宋体" w:cs="宋体" w:eastAsia="宋体" w:hint="default"/>
          <w:b w:val="0"/>
          <w:bCs w:val="0"/>
        </w:rPr>
      </w:pPr>
      <w:r>
        <w:rPr/>
        <w:t>（</w:t>
      </w:r>
      <w:r>
        <w:rPr>
          <w:rFonts w:ascii="Calibri" w:hAnsi="Calibri" w:cs="Calibri" w:eastAsia="Calibri" w:hint="default"/>
        </w:rPr>
        <w:t>3</w:t>
      </w:r>
      <w:r>
        <w:rPr/>
        <w:t>）关联租赁情况</w:t>
      </w:r>
      <w:r>
        <w:rPr>
          <w:spacing w:val="-54"/>
        </w:rPr>
        <w:t> </w:t>
      </w:r>
      <w:r>
        <w:rPr>
          <w:spacing w:val="-54"/>
        </w:rPr>
      </w:r>
      <w:r>
        <w:rPr>
          <w:rFonts w:ascii="宋体" w:hAnsi="宋体" w:cs="宋体" w:eastAsia="宋体" w:hint="default"/>
          <w:b w:val="0"/>
          <w:bCs w:val="0"/>
        </w:rPr>
        <w:t>无</w:t>
      </w:r>
    </w:p>
    <w:p>
      <w:pPr>
        <w:spacing w:before="8"/>
        <w:ind w:left="110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4</w:t>
      </w:r>
      <w:r>
        <w:rPr>
          <w:rFonts w:ascii="Microsoft JhengHei" w:hAnsi="Microsoft JhengHei" w:cs="Microsoft JhengHei" w:eastAsia="Microsoft JhengHei" w:hint="default"/>
          <w:b/>
          <w:bCs/>
          <w:sz w:val="24"/>
          <w:szCs w:val="24"/>
        </w:rPr>
        <w:t>）关联担保情况</w:t>
      </w:r>
      <w:r>
        <w:rPr>
          <w:rFonts w:ascii="Microsoft JhengHei" w:hAnsi="Microsoft JhengHei" w:cs="Microsoft JhengHei" w:eastAsia="Microsoft JhengHei" w:hint="default"/>
          <w:sz w:val="24"/>
          <w:szCs w:val="24"/>
        </w:rPr>
      </w:r>
    </w:p>
    <w:p>
      <w:pPr>
        <w:pStyle w:val="BodyText"/>
        <w:spacing w:line="240" w:lineRule="auto" w:before="123"/>
        <w:ind w:left="1822" w:right="0"/>
        <w:jc w:val="left"/>
      </w:pPr>
      <w:r>
        <w:rPr/>
        <w:t>无</w:t>
      </w:r>
    </w:p>
    <w:p>
      <w:pPr>
        <w:pStyle w:val="Heading2"/>
        <w:spacing w:line="240" w:lineRule="auto" w:before="77"/>
        <w:ind w:left="1104" w:right="0"/>
        <w:jc w:val="left"/>
        <w:rPr>
          <w:b w:val="0"/>
          <w:bCs w:val="0"/>
        </w:rPr>
      </w:pPr>
      <w:r>
        <w:rPr/>
        <w:t>（</w:t>
      </w:r>
      <w:r>
        <w:rPr>
          <w:rFonts w:ascii="Calibri" w:hAnsi="Calibri" w:cs="Calibri" w:eastAsia="Calibri" w:hint="default"/>
        </w:rPr>
        <w:t>5</w:t>
      </w:r>
      <w:r>
        <w:rPr/>
        <w:t>）关联方资金拆借</w:t>
      </w:r>
      <w:r>
        <w:rPr>
          <w:b w:val="0"/>
          <w:bCs w:val="0"/>
        </w:rPr>
      </w:r>
    </w:p>
    <w:p>
      <w:pPr>
        <w:pStyle w:val="BodyText"/>
        <w:spacing w:line="240" w:lineRule="auto" w:before="123"/>
        <w:ind w:left="1822" w:right="0"/>
        <w:jc w:val="left"/>
      </w:pPr>
      <w:r>
        <w:rPr/>
        <w:t>无</w:t>
      </w:r>
    </w:p>
    <w:p>
      <w:pPr>
        <w:pStyle w:val="Heading2"/>
        <w:spacing w:line="309" w:lineRule="auto" w:before="77"/>
        <w:ind w:left="1822" w:right="958" w:hanging="718"/>
        <w:jc w:val="left"/>
        <w:rPr>
          <w:rFonts w:ascii="宋体" w:hAnsi="宋体" w:cs="宋体" w:eastAsia="宋体" w:hint="default"/>
          <w:b w:val="0"/>
          <w:bCs w:val="0"/>
        </w:rPr>
      </w:pPr>
      <w:r>
        <w:rPr/>
        <w:t>（</w:t>
      </w:r>
      <w:r>
        <w:rPr>
          <w:rFonts w:ascii="Calibri" w:hAnsi="Calibri" w:cs="Calibri" w:eastAsia="Calibri" w:hint="default"/>
        </w:rPr>
        <w:t>6</w:t>
      </w:r>
      <w:r>
        <w:rPr/>
        <w:t>）关联方资产转让、债务重组情况</w:t>
      </w:r>
      <w:r>
        <w:rPr>
          <w:spacing w:val="-48"/>
        </w:rPr>
        <w:t> </w:t>
      </w:r>
      <w:r>
        <w:rPr>
          <w:spacing w:val="-48"/>
        </w:rPr>
      </w:r>
      <w:r>
        <w:rPr>
          <w:rFonts w:ascii="宋体" w:hAnsi="宋体" w:cs="宋体" w:eastAsia="宋体" w:hint="default"/>
          <w:b w:val="0"/>
          <w:bCs w:val="0"/>
        </w:rPr>
        <w:t>无</w:t>
      </w:r>
    </w:p>
    <w:p>
      <w:pPr>
        <w:spacing w:before="8"/>
        <w:ind w:left="110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7</w:t>
      </w:r>
      <w:r>
        <w:rPr>
          <w:rFonts w:ascii="Microsoft JhengHei" w:hAnsi="Microsoft JhengHei" w:cs="Microsoft JhengHei" w:eastAsia="Microsoft JhengHei" w:hint="default"/>
          <w:b/>
          <w:bCs/>
          <w:sz w:val="24"/>
          <w:szCs w:val="24"/>
        </w:rPr>
        <w:t>）关键管理人员报酬</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1"/>
        <w:rPr>
          <w:rFonts w:ascii="Microsoft JhengHei" w:hAnsi="Microsoft JhengHei" w:cs="Microsoft JhengHei" w:eastAsia="Microsoft JhengHei" w:hint="default"/>
          <w:b/>
          <w:bCs/>
          <w:sz w:val="34"/>
          <w:szCs w:val="34"/>
        </w:rPr>
      </w:pPr>
    </w:p>
    <w:p>
      <w:pPr>
        <w:pStyle w:val="BodyText"/>
        <w:spacing w:line="240" w:lineRule="auto" w:before="0"/>
        <w:ind w:left="1104" w:right="0"/>
        <w:jc w:val="left"/>
      </w:pPr>
      <w:r>
        <w:rPr/>
        <w:t>单位： 元</w:t>
      </w:r>
    </w:p>
    <w:p>
      <w:pPr>
        <w:spacing w:after="0" w:line="240" w:lineRule="auto"/>
        <w:jc w:val="left"/>
        <w:sectPr>
          <w:type w:val="continuous"/>
          <w:pgSz w:w="11910" w:h="16840"/>
          <w:pgMar w:top="1100" w:bottom="1280" w:left="1080" w:right="840"/>
          <w:cols w:num="2" w:equalWidth="0">
            <w:col w:w="6045" w:space="1608"/>
            <w:col w:w="2337"/>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068"/>
        <w:gridCol w:w="3068"/>
        <w:gridCol w:w="3071"/>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69" w:right="0"/>
              <w:jc w:val="left"/>
              <w:rPr>
                <w:rFonts w:ascii="Calibri" w:hAnsi="Calibri" w:cs="Calibri" w:eastAsia="Calibri" w:hint="default"/>
                <w:sz w:val="21"/>
                <w:szCs w:val="21"/>
              </w:rPr>
            </w:pPr>
            <w:r>
              <w:rPr>
                <w:rFonts w:ascii="Calibri"/>
                <w:sz w:val="21"/>
              </w:rPr>
              <w:t>4,059,219.00</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3,946,200.00</w:t>
            </w:r>
          </w:p>
        </w:tc>
      </w:tr>
    </w:tbl>
    <w:p>
      <w:pPr>
        <w:spacing w:after="0" w:line="240" w:lineRule="auto"/>
        <w:jc w:val="center"/>
        <w:rPr>
          <w:rFonts w:ascii="Calibri" w:hAnsi="Calibri" w:cs="Calibri" w:eastAsia="Calibri" w:hint="default"/>
          <w:sz w:val="21"/>
          <w:szCs w:val="21"/>
        </w:rPr>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59"/>
          <w:pgSz w:w="11910" w:h="16840"/>
          <w:pgMar w:footer="1085" w:header="884" w:top="1300" w:bottom="1280" w:left="1080" w:right="840"/>
        </w:sectPr>
      </w:pPr>
    </w:p>
    <w:p>
      <w:pPr>
        <w:pStyle w:val="Heading2"/>
        <w:spacing w:line="371" w:lineRule="exact"/>
        <w:ind w:left="1104" w:right="-13"/>
        <w:jc w:val="left"/>
        <w:rPr>
          <w:b w:val="0"/>
          <w:bCs w:val="0"/>
        </w:rPr>
      </w:pPr>
      <w:r>
        <w:rPr/>
        <w:t>（</w:t>
      </w:r>
      <w:r>
        <w:rPr>
          <w:rFonts w:ascii="Calibri" w:hAnsi="Calibri" w:cs="Calibri" w:eastAsia="Calibri" w:hint="default"/>
        </w:rPr>
        <w:t>8</w:t>
      </w:r>
      <w:r>
        <w:rPr/>
        <w:t>）其他关联交易</w:t>
      </w:r>
      <w:r>
        <w:rPr>
          <w:b w:val="0"/>
          <w:bCs w:val="0"/>
        </w:rPr>
      </w:r>
    </w:p>
    <w:p>
      <w:pPr>
        <w:spacing w:before="47"/>
        <w:ind w:left="1104" w:right="-13" w:firstLine="0"/>
        <w:jc w:val="left"/>
        <w:rPr>
          <w:rFonts w:ascii="Microsoft JhengHei" w:hAnsi="Microsoft JhengHei" w:cs="Microsoft JhengHei" w:eastAsia="Microsoft JhengHei" w:hint="default"/>
          <w:sz w:val="24"/>
          <w:szCs w:val="24"/>
        </w:rPr>
      </w:pPr>
      <w:r>
        <w:rPr>
          <w:rFonts w:ascii="Calibri" w:hAnsi="Calibri" w:cs="Calibri" w:eastAsia="Calibri" w:hint="default"/>
          <w:b/>
          <w:bCs/>
          <w:sz w:val="24"/>
          <w:szCs w:val="24"/>
        </w:rPr>
        <w:t>6</w:t>
      </w:r>
      <w:r>
        <w:rPr>
          <w:rFonts w:ascii="Microsoft JhengHei" w:hAnsi="Microsoft JhengHei" w:cs="Microsoft JhengHei" w:eastAsia="Microsoft JhengHei" w:hint="default"/>
          <w:b/>
          <w:bCs/>
          <w:sz w:val="24"/>
          <w:szCs w:val="24"/>
        </w:rPr>
        <w:t>、关联方应收应付款项</w:t>
      </w:r>
      <w:r>
        <w:rPr>
          <w:rFonts w:ascii="Microsoft JhengHei" w:hAnsi="Microsoft JhengHei" w:cs="Microsoft JhengHei" w:eastAsia="Microsoft JhengHei" w:hint="default"/>
          <w:sz w:val="24"/>
          <w:szCs w:val="24"/>
        </w:rPr>
      </w:r>
    </w:p>
    <w:p>
      <w:pPr>
        <w:spacing w:before="47"/>
        <w:ind w:left="1104" w:right="-1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Calibri" w:hAnsi="Calibri" w:cs="Calibri" w:eastAsia="Calibri" w:hint="default"/>
          <w:b/>
          <w:bCs/>
          <w:sz w:val="24"/>
          <w:szCs w:val="24"/>
        </w:rPr>
        <w:t>1</w:t>
      </w:r>
      <w:r>
        <w:rPr>
          <w:rFonts w:ascii="Microsoft JhengHei" w:hAnsi="Microsoft JhengHei" w:cs="Microsoft JhengHei" w:eastAsia="Microsoft JhengHei" w:hint="default"/>
          <w:b/>
          <w:bCs/>
          <w:sz w:val="24"/>
          <w:szCs w:val="24"/>
        </w:rPr>
        <w:t>）应收项目</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3"/>
        <w:rPr>
          <w:rFonts w:ascii="Microsoft JhengHei" w:hAnsi="Microsoft JhengHei" w:cs="Microsoft JhengHei" w:eastAsia="Microsoft JhengHei" w:hint="default"/>
          <w:b/>
          <w:bCs/>
          <w:sz w:val="34"/>
          <w:szCs w:val="34"/>
        </w:rPr>
      </w:pPr>
    </w:p>
    <w:p>
      <w:pPr>
        <w:pStyle w:val="BodyText"/>
        <w:spacing w:line="240" w:lineRule="auto" w:before="0"/>
        <w:ind w:left="1104" w:right="0"/>
        <w:jc w:val="left"/>
      </w:pPr>
      <w:r>
        <w:rPr/>
        <w:t>单位： 元</w:t>
      </w:r>
    </w:p>
    <w:p>
      <w:pPr>
        <w:spacing w:after="0" w:line="240" w:lineRule="auto"/>
        <w:jc w:val="left"/>
        <w:sectPr>
          <w:type w:val="continuous"/>
          <w:pgSz w:w="11910" w:h="16840"/>
          <w:pgMar w:top="1100" w:bottom="1280" w:left="1080" w:right="840"/>
          <w:cols w:num="2" w:equalWidth="0">
            <w:col w:w="3634" w:space="4019"/>
            <w:col w:w="2337"/>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536"/>
        <w:gridCol w:w="2525"/>
        <w:gridCol w:w="1092"/>
        <w:gridCol w:w="986"/>
        <w:gridCol w:w="1532"/>
        <w:gridCol w:w="1534"/>
      </w:tblGrid>
      <w:tr>
        <w:trPr>
          <w:trHeight w:val="322" w:hRule="exact"/>
        </w:trPr>
        <w:tc>
          <w:tcPr>
            <w:tcW w:w="15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2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0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0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2525"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63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0" w:right="99" w:hanging="1050"/>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中国科学院地理科学研究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0" w:right="0"/>
              <w:jc w:val="left"/>
              <w:rPr>
                <w:rFonts w:ascii="Calibri" w:hAnsi="Calibri" w:cs="Calibri" w:eastAsia="Calibri" w:hint="default"/>
                <w:sz w:val="21"/>
                <w:szCs w:val="21"/>
              </w:rPr>
            </w:pPr>
            <w:r>
              <w:rPr>
                <w:rFonts w:ascii="Calibri"/>
                <w:sz w:val="21"/>
              </w:rPr>
              <w:t>198,000.00</w:t>
            </w:r>
          </w:p>
        </w:tc>
        <w:tc>
          <w:tcPr>
            <w:tcW w:w="1534"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84" w:lineRule="exact"/>
        <w:ind w:left="1104" w:right="225"/>
        <w:jc w:val="left"/>
        <w:rPr>
          <w:b w:val="0"/>
          <w:bCs w:val="0"/>
        </w:rPr>
      </w:pPr>
      <w:r>
        <w:rPr/>
        <w:t>（</w:t>
      </w:r>
      <w:r>
        <w:rPr>
          <w:rFonts w:ascii="Calibri" w:hAnsi="Calibri" w:cs="Calibri" w:eastAsia="Calibri" w:hint="default"/>
        </w:rPr>
        <w:t>2</w:t>
      </w:r>
      <w:r>
        <w:rPr/>
        <w:t>）应付项目</w:t>
      </w:r>
      <w:r>
        <w:rPr>
          <w:b w:val="0"/>
          <w:bCs w:val="0"/>
        </w:rPr>
      </w:r>
    </w:p>
    <w:p>
      <w:pPr>
        <w:pStyle w:val="BodyText"/>
        <w:spacing w:line="240" w:lineRule="auto" w:before="124"/>
        <w:ind w:left="0" w:right="14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469"/>
        <w:gridCol w:w="3135"/>
        <w:gridCol w:w="2300"/>
        <w:gridCol w:w="2302"/>
      </w:tblGrid>
      <w:tr>
        <w:trPr>
          <w:trHeight w:val="32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3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57" w:right="87" w:hanging="1367"/>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1,296,293.80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648,146.90</w:t>
            </w: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466,960.00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238,900.00</w:t>
            </w:r>
          </w:p>
        </w:tc>
      </w:tr>
      <w:tr>
        <w:trPr>
          <w:trHeight w:val="63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57" w:right="87" w:hanging="1367"/>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226,946.85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226,946.85</w:t>
            </w:r>
          </w:p>
        </w:tc>
      </w:tr>
    </w:tbl>
    <w:p>
      <w:pPr>
        <w:spacing w:after="0" w:line="240" w:lineRule="auto"/>
        <w:jc w:val="center"/>
        <w:rPr>
          <w:rFonts w:ascii="Calibri" w:hAnsi="Calibri" w:cs="Calibri" w:eastAsia="Calibri" w:hint="default"/>
          <w:sz w:val="21"/>
          <w:szCs w:val="21"/>
        </w:rPr>
        <w:sectPr>
          <w:type w:val="continuous"/>
          <w:pgSz w:w="11910" w:h="16840"/>
          <w:pgMar w:top="1100" w:bottom="1280" w:left="1080" w:right="840"/>
        </w:sectPr>
      </w:pPr>
    </w:p>
    <w:p>
      <w:pPr>
        <w:pStyle w:val="Heading2"/>
        <w:spacing w:line="384" w:lineRule="exact"/>
        <w:ind w:left="1104" w:right="589"/>
        <w:jc w:val="left"/>
        <w:rPr>
          <w:b w:val="0"/>
          <w:bCs w:val="0"/>
        </w:rPr>
      </w:pPr>
      <w:r>
        <w:rPr>
          <w:rFonts w:ascii="Calibri" w:hAnsi="Calibri" w:cs="Calibri" w:eastAsia="Calibri" w:hint="default"/>
        </w:rPr>
        <w:t>7</w:t>
      </w:r>
      <w:r>
        <w:rPr/>
        <w:t>、关联方承诺</w:t>
      </w:r>
      <w:r>
        <w:rPr>
          <w:b w:val="0"/>
          <w:bCs w:val="0"/>
        </w:rPr>
      </w:r>
    </w:p>
    <w:p>
      <w:pPr>
        <w:spacing w:before="123"/>
        <w:ind w:left="1101" w:right="589" w:firstLine="12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bookmarkStart w:name="_bookmark80" w:id="81"/>
      <w:bookmarkEnd w:id="81"/>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十二、股份支付</w:t>
      </w:r>
      <w:r>
        <w:rPr>
          <w:rFonts w:ascii="Microsoft JhengHei" w:hAnsi="Microsoft JhengHei" w:cs="Microsoft JhengHei" w:eastAsia="Microsoft JhengHei" w:hint="default"/>
          <w:sz w:val="24"/>
          <w:szCs w:val="24"/>
        </w:rPr>
      </w:r>
    </w:p>
    <w:p>
      <w:pPr>
        <w:pStyle w:val="Heading2"/>
        <w:spacing w:line="391" w:lineRule="exact"/>
        <w:ind w:right="-11"/>
        <w:jc w:val="left"/>
        <w:rPr>
          <w:b w:val="0"/>
          <w:bCs w:val="0"/>
        </w:rPr>
      </w:pP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126"/>
        <w:ind w:left="1101" w:right="-11"/>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3391" w:space="4264"/>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5247"/>
        <w:gridCol w:w="3959"/>
      </w:tblGrid>
      <w:tr>
        <w:trPr>
          <w:trHeight w:val="322" w:hRule="exact"/>
        </w:trPr>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1,201,046.00</w:t>
            </w:r>
          </w:p>
        </w:tc>
      </w:tr>
      <w:tr>
        <w:trPr>
          <w:trHeight w:val="322" w:hRule="exact"/>
        </w:trPr>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86,400.00</w:t>
            </w:r>
          </w:p>
        </w:tc>
      </w:tr>
      <w:tr>
        <w:trPr>
          <w:trHeight w:val="324" w:hRule="exact"/>
        </w:trPr>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0.00</w:t>
            </w:r>
          </w:p>
        </w:tc>
      </w:tr>
    </w:tbl>
    <w:p>
      <w:pPr>
        <w:pStyle w:val="BodyText"/>
        <w:spacing w:line="240" w:lineRule="auto" w:before="39"/>
        <w:ind w:left="1101" w:right="225"/>
        <w:jc w:val="left"/>
      </w:pPr>
      <w:r>
        <w:rPr/>
        <w:t>其他说明</w:t>
      </w:r>
    </w:p>
    <w:p>
      <w:pPr>
        <w:pStyle w:val="BodyText"/>
        <w:spacing w:line="336" w:lineRule="auto" w:before="154"/>
        <w:ind w:left="622" w:right="240" w:firstLine="479"/>
        <w:jc w:val="both"/>
      </w:pPr>
      <w:r>
        <w:rPr>
          <w:rFonts w:ascii="Calibri" w:hAnsi="Calibri" w:cs="Calibri" w:eastAsia="Calibri" w:hint="default"/>
        </w:rPr>
        <w:t>2013</w:t>
      </w:r>
      <w:r>
        <w:rPr/>
        <w:t>年</w:t>
      </w:r>
      <w:r>
        <w:rPr>
          <w:rFonts w:ascii="Calibri" w:hAnsi="Calibri" w:cs="Calibri" w:eastAsia="Calibri" w:hint="default"/>
        </w:rPr>
        <w:t>7</w:t>
      </w:r>
      <w:r>
        <w:rPr/>
        <w:t>月</w:t>
      </w:r>
      <w:r>
        <w:rPr>
          <w:rFonts w:ascii="Calibri" w:hAnsi="Calibri" w:cs="Calibri" w:eastAsia="Calibri" w:hint="default"/>
        </w:rPr>
        <w:t>1</w:t>
      </w:r>
      <w:r>
        <w:rPr/>
        <w:t>日</w:t>
      </w:r>
      <w:r>
        <w:rPr>
          <w:rFonts w:ascii="Calibri" w:hAnsi="Calibri" w:cs="Calibri" w:eastAsia="Calibri" w:hint="default"/>
        </w:rPr>
        <w:t>,</w:t>
      </w:r>
      <w:r>
        <w:rPr>
          <w:rFonts w:ascii="Calibri" w:hAnsi="Calibri" w:cs="Calibri" w:eastAsia="Calibri" w:hint="default"/>
          <w:spacing w:val="11"/>
        </w:rPr>
        <w:t> </w:t>
      </w:r>
      <w:r>
        <w:rPr/>
        <w:t>经公司第二届董事会第十六次会议审议通过了《公司限制性股票激 励计划（草案）》及其摘要、《关于公司</w:t>
      </w:r>
      <w:r>
        <w:rPr>
          <w:rFonts w:ascii="Calibri" w:hAnsi="Calibri" w:cs="Calibri" w:eastAsia="Calibri" w:hint="default"/>
        </w:rPr>
        <w:t>&lt;</w:t>
      </w:r>
      <w:r>
        <w:rPr/>
        <w:t>限制性股票激励计划实施考核管理办法</w:t>
      </w:r>
      <w:r>
        <w:rPr>
          <w:rFonts w:ascii="Calibri" w:hAnsi="Calibri" w:cs="Calibri" w:eastAsia="Calibri" w:hint="default"/>
        </w:rPr>
        <w:t>&gt;</w:t>
      </w:r>
      <w:r>
        <w:rPr/>
        <w:t>的议 案》、《关于提请股东大会授权董事会办理公司限制性股票激励计划有关事项的议案》 并上报中国证监会备案。</w:t>
      </w:r>
    </w:p>
    <w:p>
      <w:pPr>
        <w:pStyle w:val="BodyText"/>
        <w:spacing w:line="336" w:lineRule="auto" w:before="58"/>
        <w:ind w:left="622" w:right="224" w:firstLine="479"/>
        <w:jc w:val="left"/>
      </w:pPr>
      <w:r>
        <w:rPr/>
        <w:t>根据中国证监会的反馈意见，公司于</w:t>
      </w:r>
      <w:r>
        <w:rPr>
          <w:rFonts w:ascii="Calibri" w:hAnsi="Calibri" w:cs="Calibri" w:eastAsia="Calibri" w:hint="default"/>
        </w:rPr>
        <w:t>2013</w:t>
      </w:r>
      <w:r>
        <w:rPr/>
        <w:t>年</w:t>
      </w:r>
      <w:r>
        <w:rPr>
          <w:rFonts w:ascii="Calibri" w:hAnsi="Calibri" w:cs="Calibri" w:eastAsia="Calibri" w:hint="default"/>
        </w:rPr>
        <w:t>9</w:t>
      </w:r>
      <w:r>
        <w:rPr/>
        <w:t>月</w:t>
      </w:r>
      <w:r>
        <w:rPr>
          <w:rFonts w:ascii="Calibri" w:hAnsi="Calibri" w:cs="Calibri" w:eastAsia="Calibri" w:hint="default"/>
        </w:rPr>
        <w:t>16</w:t>
      </w:r>
      <w:r>
        <w:rPr/>
        <w:t>日召开第二届董事会第十九次会 议，审议通过了《公司限制性股票激励计划（草案修订稿）》及其摘要，拟以定向发行 限制性股票（人民币</w:t>
      </w:r>
      <w:r>
        <w:rPr>
          <w:rFonts w:ascii="Calibri" w:hAnsi="Calibri" w:cs="Calibri" w:eastAsia="Calibri" w:hint="default"/>
        </w:rPr>
        <w:t>A</w:t>
      </w:r>
      <w:r>
        <w:rPr/>
        <w:t>股普通股）的方式，向公司中层管理人员及核心业务</w:t>
      </w:r>
      <w:r>
        <w:rPr>
          <w:rFonts w:ascii="Calibri" w:hAnsi="Calibri" w:cs="Calibri" w:eastAsia="Calibri" w:hint="default"/>
        </w:rPr>
        <w:t>/</w:t>
      </w:r>
      <w:r>
        <w:rPr/>
        <w:t>技术人员合 计</w:t>
      </w:r>
      <w:r>
        <w:rPr>
          <w:rFonts w:ascii="Calibri" w:hAnsi="Calibri" w:cs="Calibri" w:eastAsia="Calibri" w:hint="default"/>
        </w:rPr>
        <w:t>116</w:t>
      </w:r>
      <w:r>
        <w:rPr/>
        <w:t>人，授予</w:t>
      </w:r>
      <w:r>
        <w:rPr>
          <w:rFonts w:ascii="Calibri" w:hAnsi="Calibri" w:cs="Calibri" w:eastAsia="Calibri" w:hint="default"/>
        </w:rPr>
        <w:t>300</w:t>
      </w:r>
      <w:r>
        <w:rPr/>
        <w:t>万份限制性股票。其中首次授予</w:t>
      </w:r>
      <w:r>
        <w:rPr>
          <w:rFonts w:ascii="Calibri" w:hAnsi="Calibri" w:cs="Calibri" w:eastAsia="Calibri" w:hint="default"/>
        </w:rPr>
        <w:t>273</w:t>
      </w:r>
      <w:r>
        <w:rPr/>
        <w:t>万股，预留</w:t>
      </w:r>
      <w:r>
        <w:rPr>
          <w:rFonts w:ascii="Calibri" w:hAnsi="Calibri" w:cs="Calibri" w:eastAsia="Calibri" w:hint="default"/>
        </w:rPr>
        <w:t>27</w:t>
      </w:r>
      <w:r>
        <w:rPr/>
        <w:t>万股，预留部分占</w:t>
      </w:r>
    </w:p>
    <w:p>
      <w:pPr>
        <w:spacing w:after="0" w:line="336" w:lineRule="auto"/>
        <w:jc w:val="left"/>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BodyText"/>
        <w:spacing w:line="240" w:lineRule="auto" w:before="26"/>
        <w:ind w:left="622" w:right="225"/>
        <w:jc w:val="left"/>
      </w:pPr>
      <w:r>
        <w:rPr/>
        <w:t>本计划授予的限制性股票总量的</w:t>
      </w:r>
      <w:r>
        <w:rPr>
          <w:rFonts w:ascii="Calibri" w:hAnsi="Calibri" w:cs="Calibri" w:eastAsia="Calibri" w:hint="default"/>
        </w:rPr>
        <w:t>9%</w:t>
      </w:r>
      <w:r>
        <w:rPr/>
        <w:t>。</w:t>
      </w:r>
    </w:p>
    <w:p>
      <w:pPr>
        <w:pStyle w:val="BodyText"/>
        <w:spacing w:line="468" w:lineRule="exact" w:before="29"/>
        <w:ind w:left="622" w:right="153" w:firstLine="479"/>
        <w:jc w:val="left"/>
      </w:pPr>
      <w:r>
        <w:rPr>
          <w:rFonts w:ascii="Calibri" w:hAnsi="Calibri" w:cs="Calibri" w:eastAsia="Calibri" w:hint="default"/>
        </w:rPr>
        <w:t>2013</w:t>
      </w:r>
      <w:r>
        <w:rPr/>
        <w:t>年</w:t>
      </w:r>
      <w:r>
        <w:rPr>
          <w:rFonts w:ascii="Calibri" w:hAnsi="Calibri" w:cs="Calibri" w:eastAsia="Calibri" w:hint="default"/>
        </w:rPr>
        <w:t>10</w:t>
      </w:r>
      <w:r>
        <w:rPr/>
        <w:t>月</w:t>
      </w:r>
      <w:r>
        <w:rPr>
          <w:rFonts w:ascii="Calibri" w:hAnsi="Calibri" w:cs="Calibri" w:eastAsia="Calibri" w:hint="default"/>
        </w:rPr>
        <w:t>31</w:t>
      </w:r>
      <w:r>
        <w:rPr/>
        <w:t>日，公司第二届董事会第二十一次会议审议通过了《关于调整公司限 制性股票激励计划授予对象以及授予数量的议案》、《关于公司限制性股票激励计划授 予相关事宜的议案》，确定本次激励计划的限制性股票授予日为</w:t>
      </w:r>
      <w:r>
        <w:rPr>
          <w:rFonts w:ascii="Calibri" w:hAnsi="Calibri" w:cs="Calibri" w:eastAsia="Calibri" w:hint="default"/>
        </w:rPr>
        <w:t>2013</w:t>
      </w:r>
      <w:r>
        <w:rPr/>
        <w:t>年</w:t>
      </w:r>
      <w:r>
        <w:rPr>
          <w:rFonts w:ascii="Calibri" w:hAnsi="Calibri" w:cs="Calibri" w:eastAsia="Calibri" w:hint="default"/>
        </w:rPr>
        <w:t>10</w:t>
      </w:r>
      <w:r>
        <w:rPr/>
        <w:t>月</w:t>
      </w:r>
      <w:r>
        <w:rPr>
          <w:rFonts w:ascii="Calibri" w:hAnsi="Calibri" w:cs="Calibri" w:eastAsia="Calibri" w:hint="default"/>
        </w:rPr>
        <w:t>31</w:t>
      </w:r>
      <w:r>
        <w:rPr/>
        <w:t>日。因杨 云等</w:t>
      </w:r>
      <w:r>
        <w:rPr>
          <w:rFonts w:ascii="Calibri" w:hAnsi="Calibri" w:cs="Calibri" w:eastAsia="Calibri" w:hint="default"/>
        </w:rPr>
        <w:t>15</w:t>
      </w:r>
      <w:r>
        <w:rPr/>
        <w:t>名人员因个人资金等原因自愿放弃认购限制性股票（</w:t>
      </w:r>
      <w:r>
        <w:rPr>
          <w:rFonts w:ascii="Calibri" w:hAnsi="Calibri" w:cs="Calibri" w:eastAsia="Calibri" w:hint="default"/>
        </w:rPr>
        <w:t>32.4</w:t>
      </w:r>
      <w:r>
        <w:rPr/>
        <w:t>万股），张烜等</w:t>
      </w:r>
      <w:r>
        <w:rPr>
          <w:rFonts w:ascii="Calibri" w:hAnsi="Calibri" w:cs="Calibri" w:eastAsia="Calibri" w:hint="default"/>
        </w:rPr>
        <w:t>8</w:t>
      </w:r>
      <w:r>
        <w:rPr/>
        <w:t>人因个 人资金原因自愿调减认购限制性股票数量（</w:t>
      </w:r>
      <w:r>
        <w:rPr>
          <w:rFonts w:ascii="Calibri" w:hAnsi="Calibri" w:cs="Calibri" w:eastAsia="Calibri" w:hint="default"/>
        </w:rPr>
        <w:t>9.632</w:t>
      </w:r>
      <w:r>
        <w:rPr/>
        <w:t>万股），导致首次授予限制性股票激励 对象人数调整为</w:t>
      </w:r>
      <w:r>
        <w:rPr>
          <w:rFonts w:ascii="Calibri" w:hAnsi="Calibri" w:cs="Calibri" w:eastAsia="Calibri" w:hint="default"/>
        </w:rPr>
        <w:t>101</w:t>
      </w:r>
      <w:r>
        <w:rPr/>
        <w:t>人，原限制性股票总数调整为</w:t>
      </w:r>
      <w:r>
        <w:rPr>
          <w:rFonts w:ascii="Calibri" w:hAnsi="Calibri" w:cs="Calibri" w:eastAsia="Calibri" w:hint="default"/>
        </w:rPr>
        <w:t>257.968</w:t>
      </w:r>
      <w:r>
        <w:rPr/>
        <w:t>万股，其中首次授予数量调整 为</w:t>
      </w:r>
      <w:r>
        <w:rPr>
          <w:rFonts w:ascii="Calibri" w:hAnsi="Calibri" w:cs="Calibri" w:eastAsia="Calibri" w:hint="default"/>
        </w:rPr>
        <w:t>230.968</w:t>
      </w:r>
      <w:r>
        <w:rPr/>
        <w:t>万股，占本计划签署时公司股本总额的</w:t>
      </w:r>
      <w:r>
        <w:rPr>
          <w:rFonts w:ascii="Calibri" w:hAnsi="Calibri" w:cs="Calibri" w:eastAsia="Calibri" w:hint="default"/>
        </w:rPr>
        <w:t>1.925%</w:t>
      </w:r>
      <w:r>
        <w:rPr/>
        <w:t>。</w:t>
      </w:r>
    </w:p>
    <w:p>
      <w:pPr>
        <w:pStyle w:val="BodyText"/>
        <w:spacing w:line="340" w:lineRule="auto" w:before="94"/>
        <w:ind w:left="622" w:right="174" w:firstLine="479"/>
        <w:jc w:val="both"/>
      </w:pPr>
      <w:r>
        <w:rPr/>
        <w:t>首次授予的限制性股票价格为每股</w:t>
      </w:r>
      <w:r>
        <w:rPr>
          <w:rFonts w:ascii="Calibri" w:hAnsi="Calibri" w:cs="Calibri" w:eastAsia="Calibri" w:hint="default"/>
        </w:rPr>
        <w:t>5.99</w:t>
      </w:r>
      <w:r>
        <w:rPr/>
        <w:t>元，有效期为自限制性股票首次授予之日起</w:t>
      </w:r>
      <w:r>
        <w:rPr>
          <w:rFonts w:ascii="Calibri" w:hAnsi="Calibri" w:cs="Calibri" w:eastAsia="Calibri" w:hint="default"/>
        </w:rPr>
        <w:t>5 </w:t>
      </w:r>
      <w:r>
        <w:rPr/>
        <w:t>年，其中激励对象获授限制性股票之日起</w:t>
      </w:r>
      <w:r>
        <w:rPr>
          <w:rFonts w:ascii="Calibri" w:hAnsi="Calibri" w:cs="Calibri" w:eastAsia="Calibri" w:hint="default"/>
        </w:rPr>
        <w:t>1</w:t>
      </w:r>
      <w:r>
        <w:rPr/>
        <w:t>年内为锁定期，锁定期后的</w:t>
      </w:r>
      <w:r>
        <w:rPr>
          <w:rFonts w:ascii="Calibri" w:hAnsi="Calibri" w:cs="Calibri" w:eastAsia="Calibri" w:hint="default"/>
        </w:rPr>
        <w:t>4</w:t>
      </w:r>
      <w:r>
        <w:rPr/>
        <w:t>年为解锁期。在 解锁期内，公司分年度对财务业绩指标进行考核作为解锁对象当年度的解锁条件。对于 未满足条件的激励对象，由公司回购并注销其持有的该次解锁对应的限制性股票。每年 度解锁条件及解锁安排如下表所示：</w:t>
      </w:r>
    </w:p>
    <w:tbl>
      <w:tblPr>
        <w:tblW w:w="0" w:type="auto"/>
        <w:jc w:val="left"/>
        <w:tblInd w:w="622" w:type="dxa"/>
        <w:tblLayout w:type="fixed"/>
        <w:tblCellMar>
          <w:top w:w="0" w:type="dxa"/>
          <w:left w:w="0" w:type="dxa"/>
          <w:bottom w:w="0" w:type="dxa"/>
          <w:right w:w="0" w:type="dxa"/>
        </w:tblCellMar>
        <w:tblLook w:val="01E0"/>
      </w:tblPr>
      <w:tblGrid>
        <w:gridCol w:w="1531"/>
        <w:gridCol w:w="3663"/>
        <w:gridCol w:w="2638"/>
        <w:gridCol w:w="1373"/>
      </w:tblGrid>
      <w:tr>
        <w:trPr>
          <w:trHeight w:val="1277"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解锁条件（绩效考核目标）</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83" w:right="0"/>
              <w:jc w:val="left"/>
              <w:rPr>
                <w:rFonts w:ascii="宋体" w:hAnsi="宋体" w:cs="宋体" w:eastAsia="宋体" w:hint="default"/>
                <w:sz w:val="21"/>
                <w:szCs w:val="21"/>
              </w:rPr>
            </w:pPr>
            <w:r>
              <w:rPr>
                <w:rFonts w:ascii="宋体" w:hAnsi="宋体" w:cs="宋体" w:eastAsia="宋体" w:hint="default"/>
                <w:sz w:val="21"/>
                <w:szCs w:val="21"/>
              </w:rPr>
              <w:t>解锁时间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68"/>
              <w:jc w:val="center"/>
              <w:rPr>
                <w:rFonts w:ascii="宋体" w:hAnsi="宋体" w:cs="宋体" w:eastAsia="宋体" w:hint="default"/>
                <w:sz w:val="21"/>
                <w:szCs w:val="21"/>
              </w:rPr>
            </w:pPr>
            <w:r>
              <w:rPr>
                <w:rFonts w:ascii="宋体" w:hAnsi="宋体" w:cs="宋体" w:eastAsia="宋体" w:hint="default"/>
                <w:sz w:val="21"/>
                <w:szCs w:val="21"/>
              </w:rPr>
              <w:t>可行权数</w:t>
            </w:r>
            <w:r>
              <w:rPr>
                <w:rFonts w:ascii="宋体" w:hAnsi="宋体" w:cs="宋体" w:eastAsia="宋体" w:hint="default"/>
                <w:w w:val="100"/>
                <w:sz w:val="21"/>
                <w:szCs w:val="21"/>
              </w:rPr>
              <w:t> </w:t>
            </w:r>
            <w:r>
              <w:rPr>
                <w:rFonts w:ascii="宋体" w:hAnsi="宋体" w:cs="宋体" w:eastAsia="宋体" w:hint="default"/>
                <w:sz w:val="21"/>
                <w:szCs w:val="21"/>
              </w:rPr>
              <w:t>量占获授</w:t>
            </w:r>
            <w:r>
              <w:rPr>
                <w:rFonts w:ascii="宋体" w:hAnsi="宋体" w:cs="宋体" w:eastAsia="宋体" w:hint="default"/>
                <w:w w:val="100"/>
                <w:sz w:val="21"/>
                <w:szCs w:val="21"/>
              </w:rPr>
              <w:t> </w:t>
            </w:r>
            <w:r>
              <w:rPr>
                <w:rFonts w:ascii="宋体" w:hAnsi="宋体" w:cs="宋体" w:eastAsia="宋体" w:hint="default"/>
                <w:sz w:val="21"/>
                <w:szCs w:val="21"/>
              </w:rPr>
              <w:t>期权数量</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127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第一个解锁期</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4" w:right="0"/>
              <w:jc w:val="left"/>
              <w:rPr>
                <w:rFonts w:ascii="Calibri" w:hAnsi="Calibri" w:cs="Calibri" w:eastAsia="Calibri"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年净利润不低于</w:t>
            </w:r>
            <w:r>
              <w:rPr>
                <w:rFonts w:ascii="宋体" w:hAnsi="宋体" w:cs="宋体" w:eastAsia="宋体" w:hint="default"/>
                <w:spacing w:val="-58"/>
                <w:sz w:val="21"/>
                <w:szCs w:val="21"/>
              </w:rPr>
              <w:t> </w:t>
            </w:r>
            <w:r>
              <w:rPr>
                <w:rFonts w:ascii="Calibri" w:hAnsi="Calibri" w:cs="Calibri" w:eastAsia="Calibri" w:hint="default"/>
                <w:sz w:val="21"/>
                <w:szCs w:val="21"/>
              </w:rPr>
              <w:t>2,700</w:t>
            </w:r>
            <w:r>
              <w:rPr>
                <w:rFonts w:ascii="Calibri" w:hAnsi="Calibri" w:cs="Calibri" w:eastAsia="Calibri" w:hint="default"/>
                <w:spacing w:val="3"/>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2013</w:t>
            </w:r>
          </w:p>
          <w:p>
            <w:pPr>
              <w:pStyle w:val="TableParagraph"/>
              <w:spacing w:line="240" w:lineRule="auto" w:before="10"/>
              <w:ind w:left="4" w:right="0"/>
              <w:jc w:val="left"/>
              <w:rPr>
                <w:rFonts w:ascii="宋体" w:hAnsi="宋体" w:cs="宋体" w:eastAsia="宋体" w:hint="default"/>
                <w:sz w:val="21"/>
                <w:szCs w:val="21"/>
              </w:rPr>
            </w:pPr>
            <w:r>
              <w:rPr>
                <w:rFonts w:ascii="宋体" w:hAnsi="宋体" w:cs="宋体" w:eastAsia="宋体" w:hint="default"/>
                <w:sz w:val="21"/>
                <w:szCs w:val="21"/>
              </w:rPr>
              <w:t>年营业收入不低于</w:t>
            </w:r>
            <w:r>
              <w:rPr>
                <w:rFonts w:ascii="宋体" w:hAnsi="宋体" w:cs="宋体" w:eastAsia="宋体" w:hint="default"/>
                <w:spacing w:val="-55"/>
                <w:sz w:val="21"/>
                <w:szCs w:val="21"/>
              </w:rPr>
              <w:t> </w:t>
            </w:r>
            <w:r>
              <w:rPr>
                <w:rFonts w:ascii="Calibri" w:hAnsi="Calibri" w:cs="Calibri" w:eastAsia="Calibri" w:hint="default"/>
                <w:sz w:val="21"/>
                <w:szCs w:val="21"/>
              </w:rPr>
              <w:t>30,000</w:t>
            </w:r>
            <w:r>
              <w:rPr>
                <w:rFonts w:ascii="Calibri" w:hAnsi="Calibri" w:cs="Calibri" w:eastAsia="Calibri" w:hint="default"/>
                <w:spacing w:val="4"/>
                <w:sz w:val="21"/>
                <w:szCs w:val="21"/>
              </w:rPr>
              <w:t> </w:t>
            </w:r>
            <w:r>
              <w:rPr>
                <w:rFonts w:ascii="宋体" w:hAnsi="宋体" w:cs="宋体" w:eastAsia="宋体" w:hint="default"/>
                <w:sz w:val="21"/>
                <w:szCs w:val="21"/>
              </w:rPr>
              <w:t>万元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99"/>
              <w:jc w:val="left"/>
              <w:rPr>
                <w:rFonts w:ascii="宋体" w:hAnsi="宋体" w:cs="宋体" w:eastAsia="宋体" w:hint="default"/>
                <w:sz w:val="21"/>
                <w:szCs w:val="21"/>
              </w:rPr>
            </w:pPr>
            <w:r>
              <w:rPr>
                <w:rFonts w:ascii="宋体" w:hAnsi="宋体" w:cs="宋体" w:eastAsia="宋体" w:hint="default"/>
                <w:sz w:val="21"/>
                <w:szCs w:val="21"/>
              </w:rPr>
              <w:t>自本次授权日起</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pacing w:val="-2"/>
                <w:sz w:val="21"/>
                <w:szCs w:val="21"/>
              </w:rPr>
              <w:t>的首个交易日起至本次授权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日起</w:t>
            </w:r>
            <w:r>
              <w:rPr>
                <w:rFonts w:ascii="宋体" w:hAnsi="宋体" w:cs="宋体" w:eastAsia="宋体" w:hint="default"/>
                <w:spacing w:val="-55"/>
                <w:sz w:val="21"/>
                <w:szCs w:val="21"/>
              </w:rPr>
              <w:t> </w:t>
            </w:r>
            <w:r>
              <w:rPr>
                <w:rFonts w:ascii="Calibri" w:hAnsi="Calibri" w:cs="Calibri" w:eastAsia="Calibri" w:hint="default"/>
                <w:sz w:val="21"/>
                <w:szCs w:val="21"/>
              </w:rPr>
              <w:t>24</w:t>
            </w:r>
            <w:r>
              <w:rPr>
                <w:rFonts w:ascii="Calibri" w:hAnsi="Calibri" w:cs="Calibri" w:eastAsia="Calibri" w:hint="default"/>
                <w:spacing w:val="6"/>
                <w:sz w:val="21"/>
                <w:szCs w:val="21"/>
              </w:rPr>
              <w:t> </w:t>
            </w:r>
            <w:r>
              <w:rPr>
                <w:rFonts w:ascii="宋体" w:hAnsi="宋体" w:cs="宋体" w:eastAsia="宋体" w:hint="default"/>
                <w:sz w:val="21"/>
                <w:szCs w:val="21"/>
              </w:rPr>
              <w:t>个月内的最后一个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86"/>
              <w:jc w:val="right"/>
              <w:rPr>
                <w:rFonts w:ascii="Calibri" w:hAnsi="Calibri" w:cs="Calibri" w:eastAsia="Calibri" w:hint="default"/>
                <w:sz w:val="21"/>
                <w:szCs w:val="21"/>
              </w:rPr>
            </w:pPr>
            <w:r>
              <w:rPr>
                <w:rFonts w:ascii="Calibri"/>
                <w:spacing w:val="-1"/>
                <w:sz w:val="21"/>
              </w:rPr>
              <w:t>20%</w:t>
            </w:r>
          </w:p>
        </w:tc>
      </w:tr>
      <w:tr>
        <w:trPr>
          <w:trHeight w:val="1277"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第二个解锁期</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4" w:right="0"/>
              <w:jc w:val="both"/>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年净利润相比</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1"/>
                <w:sz w:val="21"/>
                <w:szCs w:val="21"/>
              </w:rPr>
              <w:t> </w:t>
            </w:r>
            <w:r>
              <w:rPr>
                <w:rFonts w:ascii="宋体" w:hAnsi="宋体" w:cs="宋体" w:eastAsia="宋体" w:hint="default"/>
                <w:sz w:val="21"/>
                <w:szCs w:val="21"/>
              </w:rPr>
              <w:t>年增长不低于</w:t>
            </w:r>
          </w:p>
          <w:p>
            <w:pPr>
              <w:pStyle w:val="TableParagraph"/>
              <w:spacing w:line="247" w:lineRule="auto" w:before="10"/>
              <w:ind w:left="4" w:right="119"/>
              <w:jc w:val="both"/>
              <w:rPr>
                <w:rFonts w:ascii="宋体" w:hAnsi="宋体" w:cs="宋体" w:eastAsia="宋体" w:hint="default"/>
                <w:sz w:val="21"/>
                <w:szCs w:val="21"/>
              </w:rPr>
            </w:pPr>
            <w:r>
              <w:rPr>
                <w:rFonts w:ascii="Calibri" w:hAnsi="Calibri" w:cs="Calibri" w:eastAsia="Calibri" w:hint="default"/>
                <w:sz w:val="21"/>
                <w:szCs w:val="21"/>
              </w:rPr>
              <w:t>20%</w:t>
            </w:r>
            <w:r>
              <w:rPr>
                <w:rFonts w:ascii="宋体" w:hAnsi="宋体" w:cs="宋体" w:eastAsia="宋体" w:hint="default"/>
                <w:sz w:val="21"/>
                <w:szCs w:val="21"/>
              </w:rPr>
              <w:t>，且不低于</w:t>
            </w:r>
            <w:r>
              <w:rPr>
                <w:rFonts w:ascii="宋体" w:hAnsi="宋体" w:cs="宋体" w:eastAsia="宋体" w:hint="default"/>
                <w:spacing w:val="-56"/>
                <w:sz w:val="21"/>
                <w:szCs w:val="21"/>
              </w:rPr>
              <w:t> </w:t>
            </w:r>
            <w:r>
              <w:rPr>
                <w:rFonts w:ascii="Calibri" w:hAnsi="Calibri" w:cs="Calibri" w:eastAsia="Calibri" w:hint="default"/>
                <w:sz w:val="21"/>
                <w:szCs w:val="21"/>
              </w:rPr>
              <w:t>3,240</w:t>
            </w:r>
            <w:r>
              <w:rPr>
                <w:rFonts w:ascii="Calibri" w:hAnsi="Calibri" w:cs="Calibri" w:eastAsia="Calibri" w:hint="default"/>
                <w:spacing w:val="3"/>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年营</w:t>
            </w:r>
            <w:r>
              <w:rPr>
                <w:rFonts w:ascii="宋体" w:hAnsi="宋体" w:cs="宋体" w:eastAsia="宋体" w:hint="default"/>
                <w:w w:val="100"/>
                <w:sz w:val="21"/>
                <w:szCs w:val="21"/>
              </w:rPr>
              <w:t> </w:t>
            </w:r>
            <w:r>
              <w:rPr>
                <w:rFonts w:ascii="宋体" w:hAnsi="宋体" w:cs="宋体" w:eastAsia="宋体" w:hint="default"/>
                <w:sz w:val="21"/>
                <w:szCs w:val="21"/>
              </w:rPr>
              <w:t>业收入相比</w:t>
            </w:r>
            <w:r>
              <w:rPr>
                <w:rFonts w:ascii="宋体" w:hAnsi="宋体" w:cs="宋体" w:eastAsia="宋体" w:hint="default"/>
                <w:spacing w:val="-52"/>
                <w:sz w:val="21"/>
                <w:szCs w:val="21"/>
              </w:rPr>
              <w:t> </w:t>
            </w: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年增长不低于</w:t>
            </w:r>
            <w:r>
              <w:rPr>
                <w:rFonts w:ascii="宋体" w:hAnsi="宋体" w:cs="宋体" w:eastAsia="宋体" w:hint="default"/>
                <w:spacing w:val="-55"/>
                <w:sz w:val="21"/>
                <w:szCs w:val="21"/>
              </w:rPr>
              <w:t> </w:t>
            </w:r>
            <w:r>
              <w:rPr>
                <w:rFonts w:ascii="Calibri" w:hAnsi="Calibri" w:cs="Calibri" w:eastAsia="Calibri" w:hint="default"/>
                <w:sz w:val="21"/>
                <w:szCs w:val="21"/>
              </w:rPr>
              <w:t>15%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且不低于</w:t>
            </w:r>
            <w:r>
              <w:rPr>
                <w:rFonts w:ascii="宋体" w:hAnsi="宋体" w:cs="宋体" w:eastAsia="宋体" w:hint="default"/>
                <w:spacing w:val="-55"/>
                <w:sz w:val="21"/>
                <w:szCs w:val="21"/>
              </w:rPr>
              <w:t> </w:t>
            </w:r>
            <w:r>
              <w:rPr>
                <w:rFonts w:ascii="Calibri" w:hAnsi="Calibri" w:cs="Calibri" w:eastAsia="Calibri" w:hint="default"/>
                <w:sz w:val="21"/>
                <w:szCs w:val="21"/>
              </w:rPr>
              <w:t>34,500</w:t>
            </w:r>
            <w:r>
              <w:rPr>
                <w:rFonts w:ascii="Calibri" w:hAnsi="Calibri" w:cs="Calibri" w:eastAsia="Calibri" w:hint="default"/>
                <w:spacing w:val="6"/>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99"/>
              <w:jc w:val="left"/>
              <w:rPr>
                <w:rFonts w:ascii="宋体" w:hAnsi="宋体" w:cs="宋体" w:eastAsia="宋体" w:hint="default"/>
                <w:sz w:val="21"/>
                <w:szCs w:val="21"/>
              </w:rPr>
            </w:pPr>
            <w:r>
              <w:rPr>
                <w:rFonts w:ascii="宋体" w:hAnsi="宋体" w:cs="宋体" w:eastAsia="宋体" w:hint="default"/>
                <w:sz w:val="21"/>
                <w:szCs w:val="21"/>
              </w:rPr>
              <w:t>自本次授权日起</w:t>
            </w:r>
            <w:r>
              <w:rPr>
                <w:rFonts w:ascii="宋体" w:hAnsi="宋体" w:cs="宋体" w:eastAsia="宋体" w:hint="default"/>
                <w:spacing w:val="-53"/>
                <w:sz w:val="21"/>
                <w:szCs w:val="21"/>
              </w:rPr>
              <w:t> </w:t>
            </w:r>
            <w:r>
              <w:rPr>
                <w:rFonts w:ascii="Calibri" w:hAnsi="Calibri" w:cs="Calibri" w:eastAsia="Calibri" w:hint="default"/>
                <w:sz w:val="21"/>
                <w:szCs w:val="21"/>
              </w:rPr>
              <w:t>24</w:t>
            </w:r>
            <w:r>
              <w:rPr>
                <w:rFonts w:ascii="Calibri" w:hAnsi="Calibri" w:cs="Calibri" w:eastAsia="Calibri" w:hint="default"/>
                <w:spacing w:val="5"/>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pacing w:val="-2"/>
                <w:sz w:val="21"/>
                <w:szCs w:val="21"/>
              </w:rPr>
              <w:t>的首个交易日起至本次授权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日起</w:t>
            </w:r>
            <w:r>
              <w:rPr>
                <w:rFonts w:ascii="宋体" w:hAnsi="宋体" w:cs="宋体" w:eastAsia="宋体" w:hint="default"/>
                <w:spacing w:val="-55"/>
                <w:sz w:val="21"/>
                <w:szCs w:val="21"/>
              </w:rPr>
              <w:t> </w:t>
            </w:r>
            <w:r>
              <w:rPr>
                <w:rFonts w:ascii="Calibri" w:hAnsi="Calibri" w:cs="Calibri" w:eastAsia="Calibri" w:hint="default"/>
                <w:sz w:val="21"/>
                <w:szCs w:val="21"/>
              </w:rPr>
              <w:t>36</w:t>
            </w:r>
            <w:r>
              <w:rPr>
                <w:rFonts w:ascii="Calibri" w:hAnsi="Calibri" w:cs="Calibri" w:eastAsia="Calibri" w:hint="default"/>
                <w:spacing w:val="6"/>
                <w:sz w:val="21"/>
                <w:szCs w:val="21"/>
              </w:rPr>
              <w:t> </w:t>
            </w:r>
            <w:r>
              <w:rPr>
                <w:rFonts w:ascii="宋体" w:hAnsi="宋体" w:cs="宋体" w:eastAsia="宋体" w:hint="default"/>
                <w:sz w:val="21"/>
                <w:szCs w:val="21"/>
              </w:rPr>
              <w:t>个月内的最后一个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86"/>
              <w:jc w:val="right"/>
              <w:rPr>
                <w:rFonts w:ascii="Calibri" w:hAnsi="Calibri" w:cs="Calibri" w:eastAsia="Calibri" w:hint="default"/>
                <w:sz w:val="21"/>
                <w:szCs w:val="21"/>
              </w:rPr>
            </w:pPr>
            <w:r>
              <w:rPr>
                <w:rFonts w:ascii="Calibri"/>
                <w:spacing w:val="-1"/>
                <w:sz w:val="21"/>
              </w:rPr>
              <w:t>30%</w:t>
            </w:r>
          </w:p>
        </w:tc>
      </w:tr>
      <w:tr>
        <w:trPr>
          <w:trHeight w:val="1592"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第三个解锁期</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4"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年净利润相比</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1"/>
                <w:sz w:val="21"/>
                <w:szCs w:val="21"/>
              </w:rPr>
              <w:t> </w:t>
            </w:r>
            <w:r>
              <w:rPr>
                <w:rFonts w:ascii="宋体" w:hAnsi="宋体" w:cs="宋体" w:eastAsia="宋体" w:hint="default"/>
                <w:sz w:val="21"/>
                <w:szCs w:val="21"/>
              </w:rPr>
              <w:t>年增长不低于</w:t>
            </w:r>
          </w:p>
          <w:p>
            <w:pPr>
              <w:pStyle w:val="TableParagraph"/>
              <w:spacing w:line="249" w:lineRule="auto" w:before="10"/>
              <w:ind w:left="4" w:right="119"/>
              <w:jc w:val="left"/>
              <w:rPr>
                <w:rFonts w:ascii="宋体" w:hAnsi="宋体" w:cs="宋体" w:eastAsia="宋体" w:hint="default"/>
                <w:sz w:val="21"/>
                <w:szCs w:val="21"/>
              </w:rPr>
            </w:pPr>
            <w:r>
              <w:rPr>
                <w:rFonts w:ascii="Calibri" w:hAnsi="Calibri" w:cs="Calibri" w:eastAsia="Calibri" w:hint="default"/>
                <w:sz w:val="21"/>
                <w:szCs w:val="21"/>
              </w:rPr>
              <w:t>44%</w:t>
            </w:r>
            <w:r>
              <w:rPr>
                <w:rFonts w:ascii="宋体" w:hAnsi="宋体" w:cs="宋体" w:eastAsia="宋体" w:hint="default"/>
                <w:sz w:val="21"/>
                <w:szCs w:val="21"/>
              </w:rPr>
              <w:t>，且不低于</w:t>
            </w:r>
            <w:r>
              <w:rPr>
                <w:rFonts w:ascii="宋体" w:hAnsi="宋体" w:cs="宋体" w:eastAsia="宋体" w:hint="default"/>
                <w:spacing w:val="-56"/>
                <w:sz w:val="21"/>
                <w:szCs w:val="21"/>
              </w:rPr>
              <w:t> </w:t>
            </w:r>
            <w:r>
              <w:rPr>
                <w:rFonts w:ascii="Calibri" w:hAnsi="Calibri" w:cs="Calibri" w:eastAsia="Calibri" w:hint="default"/>
                <w:sz w:val="21"/>
                <w:szCs w:val="21"/>
              </w:rPr>
              <w:t>3,888</w:t>
            </w:r>
            <w:r>
              <w:rPr>
                <w:rFonts w:ascii="Calibri" w:hAnsi="Calibri" w:cs="Calibri" w:eastAsia="Calibri" w:hint="default"/>
                <w:spacing w:val="3"/>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年营</w:t>
            </w:r>
            <w:r>
              <w:rPr>
                <w:rFonts w:ascii="宋体" w:hAnsi="宋体" w:cs="宋体" w:eastAsia="宋体" w:hint="default"/>
                <w:w w:val="100"/>
                <w:sz w:val="21"/>
                <w:szCs w:val="21"/>
              </w:rPr>
              <w:t> </w:t>
            </w:r>
            <w:r>
              <w:rPr>
                <w:rFonts w:ascii="宋体" w:hAnsi="宋体" w:cs="宋体" w:eastAsia="宋体" w:hint="default"/>
                <w:sz w:val="21"/>
                <w:szCs w:val="21"/>
              </w:rPr>
              <w:t>业收入相比</w:t>
            </w:r>
            <w:r>
              <w:rPr>
                <w:rFonts w:ascii="宋体" w:hAnsi="宋体" w:cs="宋体" w:eastAsia="宋体" w:hint="default"/>
                <w:spacing w:val="-53"/>
                <w:sz w:val="21"/>
                <w:szCs w:val="21"/>
              </w:rPr>
              <w:t> </w:t>
            </w: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年增长不低于</w:t>
            </w:r>
          </w:p>
          <w:p>
            <w:pPr>
              <w:pStyle w:val="TableParagraph"/>
              <w:spacing w:line="240" w:lineRule="auto"/>
              <w:ind w:left="4" w:right="0"/>
              <w:jc w:val="left"/>
              <w:rPr>
                <w:rFonts w:ascii="宋体" w:hAnsi="宋体" w:cs="宋体" w:eastAsia="宋体" w:hint="default"/>
                <w:sz w:val="21"/>
                <w:szCs w:val="21"/>
              </w:rPr>
            </w:pPr>
            <w:r>
              <w:rPr>
                <w:rFonts w:ascii="Calibri" w:hAnsi="Calibri" w:cs="Calibri" w:eastAsia="Calibri" w:hint="default"/>
                <w:sz w:val="21"/>
                <w:szCs w:val="21"/>
              </w:rPr>
              <w:t>32.25%</w:t>
            </w:r>
            <w:r>
              <w:rPr>
                <w:rFonts w:ascii="宋体" w:hAnsi="宋体" w:cs="宋体" w:eastAsia="宋体" w:hint="default"/>
                <w:sz w:val="21"/>
                <w:szCs w:val="21"/>
              </w:rPr>
              <w:t>，且不低于</w:t>
            </w:r>
            <w:r>
              <w:rPr>
                <w:rFonts w:ascii="宋体" w:hAnsi="宋体" w:cs="宋体" w:eastAsia="宋体" w:hint="default"/>
                <w:spacing w:val="-56"/>
                <w:sz w:val="21"/>
                <w:szCs w:val="21"/>
              </w:rPr>
              <w:t> </w:t>
            </w:r>
            <w:r>
              <w:rPr>
                <w:rFonts w:ascii="Calibri" w:hAnsi="Calibri" w:cs="Calibri" w:eastAsia="Calibri" w:hint="default"/>
                <w:sz w:val="21"/>
                <w:szCs w:val="21"/>
              </w:rPr>
              <w:t>39,675</w:t>
            </w:r>
            <w:r>
              <w:rPr>
                <w:rFonts w:ascii="Calibri" w:hAnsi="Calibri" w:cs="Calibri" w:eastAsia="Calibri" w:hint="default"/>
                <w:spacing w:val="1"/>
                <w:sz w:val="21"/>
                <w:szCs w:val="21"/>
              </w:rPr>
              <w:t> </w:t>
            </w:r>
            <w:r>
              <w:rPr>
                <w:rFonts w:ascii="宋体" w:hAnsi="宋体" w:cs="宋体" w:eastAsia="宋体" w:hint="default"/>
                <w:sz w:val="21"/>
                <w:szCs w:val="21"/>
              </w:rPr>
              <w:t>万元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99"/>
              <w:jc w:val="left"/>
              <w:rPr>
                <w:rFonts w:ascii="宋体" w:hAnsi="宋体" w:cs="宋体" w:eastAsia="宋体" w:hint="default"/>
                <w:sz w:val="21"/>
                <w:szCs w:val="21"/>
              </w:rPr>
            </w:pPr>
            <w:r>
              <w:rPr>
                <w:rFonts w:ascii="宋体" w:hAnsi="宋体" w:cs="宋体" w:eastAsia="宋体" w:hint="default"/>
                <w:sz w:val="21"/>
                <w:szCs w:val="21"/>
              </w:rPr>
              <w:t>自本次授权日起</w:t>
            </w:r>
            <w:r>
              <w:rPr>
                <w:rFonts w:ascii="宋体" w:hAnsi="宋体" w:cs="宋体" w:eastAsia="宋体" w:hint="default"/>
                <w:spacing w:val="-53"/>
                <w:sz w:val="21"/>
                <w:szCs w:val="21"/>
              </w:rPr>
              <w:t> </w:t>
            </w:r>
            <w:r>
              <w:rPr>
                <w:rFonts w:ascii="Calibri" w:hAnsi="Calibri" w:cs="Calibri" w:eastAsia="Calibri" w:hint="default"/>
                <w:sz w:val="21"/>
                <w:szCs w:val="21"/>
              </w:rPr>
              <w:t>36</w:t>
            </w:r>
            <w:r>
              <w:rPr>
                <w:rFonts w:ascii="Calibri" w:hAnsi="Calibri" w:cs="Calibri" w:eastAsia="Calibri" w:hint="default"/>
                <w:spacing w:val="5"/>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pacing w:val="-2"/>
                <w:sz w:val="21"/>
                <w:szCs w:val="21"/>
              </w:rPr>
              <w:t>的首个交易日起至本次授权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日起</w:t>
            </w:r>
            <w:r>
              <w:rPr>
                <w:rFonts w:ascii="宋体" w:hAnsi="宋体" w:cs="宋体" w:eastAsia="宋体" w:hint="default"/>
                <w:spacing w:val="-55"/>
                <w:sz w:val="21"/>
                <w:szCs w:val="21"/>
              </w:rPr>
              <w:t> </w:t>
            </w:r>
            <w:r>
              <w:rPr>
                <w:rFonts w:ascii="Calibri" w:hAnsi="Calibri" w:cs="Calibri" w:eastAsia="Calibri" w:hint="default"/>
                <w:sz w:val="21"/>
                <w:szCs w:val="21"/>
              </w:rPr>
              <w:t>48</w:t>
            </w:r>
            <w:r>
              <w:rPr>
                <w:rFonts w:ascii="Calibri" w:hAnsi="Calibri" w:cs="Calibri" w:eastAsia="Calibri" w:hint="default"/>
                <w:spacing w:val="6"/>
                <w:sz w:val="21"/>
                <w:szCs w:val="21"/>
              </w:rPr>
              <w:t> </w:t>
            </w:r>
            <w:r>
              <w:rPr>
                <w:rFonts w:ascii="宋体" w:hAnsi="宋体" w:cs="宋体" w:eastAsia="宋体" w:hint="default"/>
                <w:sz w:val="21"/>
                <w:szCs w:val="21"/>
              </w:rPr>
              <w:t>个月内的最后一个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86"/>
              <w:jc w:val="right"/>
              <w:rPr>
                <w:rFonts w:ascii="Calibri" w:hAnsi="Calibri" w:cs="Calibri" w:eastAsia="Calibri" w:hint="default"/>
                <w:sz w:val="21"/>
                <w:szCs w:val="21"/>
              </w:rPr>
            </w:pPr>
            <w:r>
              <w:rPr>
                <w:rFonts w:ascii="Calibri"/>
                <w:spacing w:val="-1"/>
                <w:sz w:val="21"/>
              </w:rPr>
              <w:t>30%</w:t>
            </w:r>
          </w:p>
        </w:tc>
      </w:tr>
      <w:tr>
        <w:trPr>
          <w:trHeight w:val="127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第四个解锁期</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4"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5"/>
                <w:sz w:val="21"/>
                <w:szCs w:val="21"/>
              </w:rPr>
              <w:t> </w:t>
            </w:r>
            <w:r>
              <w:rPr>
                <w:rFonts w:ascii="宋体" w:hAnsi="宋体" w:cs="宋体" w:eastAsia="宋体" w:hint="default"/>
                <w:sz w:val="21"/>
                <w:szCs w:val="21"/>
              </w:rPr>
              <w:t>年净利润相比</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1"/>
                <w:sz w:val="21"/>
                <w:szCs w:val="21"/>
              </w:rPr>
              <w:t> </w:t>
            </w:r>
            <w:r>
              <w:rPr>
                <w:rFonts w:ascii="宋体" w:hAnsi="宋体" w:cs="宋体" w:eastAsia="宋体" w:hint="default"/>
                <w:sz w:val="21"/>
                <w:szCs w:val="21"/>
              </w:rPr>
              <w:t>年增长不低于</w:t>
            </w:r>
          </w:p>
          <w:p>
            <w:pPr>
              <w:pStyle w:val="TableParagraph"/>
              <w:spacing w:line="247" w:lineRule="auto" w:before="10"/>
              <w:ind w:left="4" w:right="168"/>
              <w:jc w:val="left"/>
              <w:rPr>
                <w:rFonts w:ascii="宋体" w:hAnsi="宋体" w:cs="宋体" w:eastAsia="宋体" w:hint="default"/>
                <w:sz w:val="21"/>
                <w:szCs w:val="21"/>
              </w:rPr>
            </w:pPr>
            <w:r>
              <w:rPr>
                <w:rFonts w:ascii="Calibri" w:hAnsi="Calibri" w:cs="Calibri" w:eastAsia="Calibri" w:hint="default"/>
                <w:sz w:val="21"/>
                <w:szCs w:val="21"/>
              </w:rPr>
              <w:t>72.8%</w:t>
            </w:r>
            <w:r>
              <w:rPr>
                <w:rFonts w:ascii="宋体" w:hAnsi="宋体" w:cs="宋体" w:eastAsia="宋体" w:hint="default"/>
                <w:sz w:val="21"/>
                <w:szCs w:val="21"/>
              </w:rPr>
              <w:t>，且不低于</w:t>
            </w:r>
            <w:r>
              <w:rPr>
                <w:rFonts w:ascii="宋体" w:hAnsi="宋体" w:cs="宋体" w:eastAsia="宋体" w:hint="default"/>
                <w:spacing w:val="-57"/>
                <w:sz w:val="21"/>
                <w:szCs w:val="21"/>
              </w:rPr>
              <w:t> </w:t>
            </w:r>
            <w:r>
              <w:rPr>
                <w:rFonts w:ascii="Calibri" w:hAnsi="Calibri" w:cs="Calibri" w:eastAsia="Calibri" w:hint="default"/>
                <w:sz w:val="21"/>
                <w:szCs w:val="21"/>
              </w:rPr>
              <w:t>4,666</w:t>
            </w:r>
            <w:r>
              <w:rPr>
                <w:rFonts w:ascii="Calibri" w:hAnsi="Calibri" w:cs="Calibri" w:eastAsia="Calibri" w:hint="default"/>
                <w:spacing w:val="4"/>
                <w:sz w:val="21"/>
                <w:szCs w:val="21"/>
              </w:rPr>
              <w:t> </w:t>
            </w:r>
            <w:r>
              <w:rPr>
                <w:rFonts w:ascii="宋体" w:hAnsi="宋体" w:cs="宋体" w:eastAsia="宋体" w:hint="default"/>
                <w:sz w:val="21"/>
                <w:szCs w:val="21"/>
              </w:rPr>
              <w:t>万元；</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营业收入相比</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6"/>
                <w:sz w:val="21"/>
                <w:szCs w:val="21"/>
              </w:rPr>
              <w:t> </w:t>
            </w:r>
            <w:r>
              <w:rPr>
                <w:rFonts w:ascii="宋体" w:hAnsi="宋体" w:cs="宋体" w:eastAsia="宋体" w:hint="default"/>
                <w:sz w:val="21"/>
                <w:szCs w:val="21"/>
              </w:rPr>
              <w:t>年增长不低于</w:t>
            </w:r>
          </w:p>
          <w:p>
            <w:pPr>
              <w:pStyle w:val="TableParagraph"/>
              <w:spacing w:line="240" w:lineRule="auto" w:before="2"/>
              <w:ind w:left="4" w:right="0"/>
              <w:jc w:val="left"/>
              <w:rPr>
                <w:rFonts w:ascii="宋体" w:hAnsi="宋体" w:cs="宋体" w:eastAsia="宋体" w:hint="default"/>
                <w:sz w:val="21"/>
                <w:szCs w:val="21"/>
              </w:rPr>
            </w:pPr>
            <w:r>
              <w:rPr>
                <w:rFonts w:ascii="Calibri" w:hAnsi="Calibri" w:cs="Calibri" w:eastAsia="Calibri" w:hint="default"/>
                <w:sz w:val="21"/>
                <w:szCs w:val="21"/>
              </w:rPr>
              <w:t>52.09%</w:t>
            </w:r>
            <w:r>
              <w:rPr>
                <w:rFonts w:ascii="宋体" w:hAnsi="宋体" w:cs="宋体" w:eastAsia="宋体" w:hint="default"/>
                <w:sz w:val="21"/>
                <w:szCs w:val="21"/>
              </w:rPr>
              <w:t>，且不低于</w:t>
            </w:r>
            <w:r>
              <w:rPr>
                <w:rFonts w:ascii="宋体" w:hAnsi="宋体" w:cs="宋体" w:eastAsia="宋体" w:hint="default"/>
                <w:spacing w:val="-57"/>
                <w:sz w:val="21"/>
                <w:szCs w:val="21"/>
              </w:rPr>
              <w:t> </w:t>
            </w:r>
            <w:r>
              <w:rPr>
                <w:rFonts w:ascii="Calibri" w:hAnsi="Calibri" w:cs="Calibri" w:eastAsia="Calibri" w:hint="default"/>
                <w:sz w:val="21"/>
                <w:szCs w:val="21"/>
              </w:rPr>
              <w:t>45,626.25 </w:t>
            </w:r>
            <w:r>
              <w:rPr>
                <w:rFonts w:ascii="宋体" w:hAnsi="宋体" w:cs="宋体" w:eastAsia="宋体" w:hint="default"/>
                <w:sz w:val="21"/>
                <w:szCs w:val="21"/>
              </w:rPr>
              <w:t>万元</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99"/>
              <w:jc w:val="left"/>
              <w:rPr>
                <w:rFonts w:ascii="宋体" w:hAnsi="宋体" w:cs="宋体" w:eastAsia="宋体" w:hint="default"/>
                <w:sz w:val="21"/>
                <w:szCs w:val="21"/>
              </w:rPr>
            </w:pPr>
            <w:r>
              <w:rPr>
                <w:rFonts w:ascii="宋体" w:hAnsi="宋体" w:cs="宋体" w:eastAsia="宋体" w:hint="default"/>
                <w:sz w:val="21"/>
                <w:szCs w:val="21"/>
              </w:rPr>
              <w:t>自本次授权日起</w:t>
            </w:r>
            <w:r>
              <w:rPr>
                <w:rFonts w:ascii="宋体" w:hAnsi="宋体" w:cs="宋体" w:eastAsia="宋体" w:hint="default"/>
                <w:spacing w:val="-53"/>
                <w:sz w:val="21"/>
                <w:szCs w:val="21"/>
              </w:rPr>
              <w:t> </w:t>
            </w:r>
            <w:r>
              <w:rPr>
                <w:rFonts w:ascii="Calibri" w:hAnsi="Calibri" w:cs="Calibri" w:eastAsia="Calibri" w:hint="default"/>
                <w:sz w:val="21"/>
                <w:szCs w:val="21"/>
              </w:rPr>
              <w:t>48</w:t>
            </w:r>
            <w:r>
              <w:rPr>
                <w:rFonts w:ascii="Calibri" w:hAnsi="Calibri" w:cs="Calibri" w:eastAsia="Calibri" w:hint="default"/>
                <w:spacing w:val="5"/>
                <w:sz w:val="21"/>
                <w:szCs w:val="21"/>
              </w:rPr>
              <w:t> </w:t>
            </w:r>
            <w:r>
              <w:rPr>
                <w:rFonts w:ascii="宋体" w:hAnsi="宋体" w:cs="宋体" w:eastAsia="宋体" w:hint="default"/>
                <w:sz w:val="21"/>
                <w:szCs w:val="21"/>
              </w:rPr>
              <w:t>个月后</w:t>
            </w:r>
            <w:r>
              <w:rPr>
                <w:rFonts w:ascii="宋体" w:hAnsi="宋体" w:cs="宋体" w:eastAsia="宋体" w:hint="default"/>
                <w:w w:val="100"/>
                <w:sz w:val="21"/>
                <w:szCs w:val="21"/>
              </w:rPr>
              <w:t> </w:t>
            </w:r>
            <w:r>
              <w:rPr>
                <w:rFonts w:ascii="宋体" w:hAnsi="宋体" w:cs="宋体" w:eastAsia="宋体" w:hint="default"/>
                <w:spacing w:val="-2"/>
                <w:sz w:val="21"/>
                <w:szCs w:val="21"/>
              </w:rPr>
              <w:t>的首个交易日起至本次授权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日起</w:t>
            </w:r>
            <w:r>
              <w:rPr>
                <w:rFonts w:ascii="宋体" w:hAnsi="宋体" w:cs="宋体" w:eastAsia="宋体" w:hint="default"/>
                <w:spacing w:val="-55"/>
                <w:sz w:val="21"/>
                <w:szCs w:val="21"/>
              </w:rPr>
              <w:t> </w:t>
            </w:r>
            <w:r>
              <w:rPr>
                <w:rFonts w:ascii="Calibri" w:hAnsi="Calibri" w:cs="Calibri" w:eastAsia="Calibri" w:hint="default"/>
                <w:sz w:val="21"/>
                <w:szCs w:val="21"/>
              </w:rPr>
              <w:t>60</w:t>
            </w:r>
            <w:r>
              <w:rPr>
                <w:rFonts w:ascii="Calibri" w:hAnsi="Calibri" w:cs="Calibri" w:eastAsia="Calibri" w:hint="default"/>
                <w:spacing w:val="6"/>
                <w:sz w:val="21"/>
                <w:szCs w:val="21"/>
              </w:rPr>
              <w:t> </w:t>
            </w:r>
            <w:r>
              <w:rPr>
                <w:rFonts w:ascii="宋体" w:hAnsi="宋体" w:cs="宋体" w:eastAsia="宋体" w:hint="default"/>
                <w:sz w:val="21"/>
                <w:szCs w:val="21"/>
              </w:rPr>
              <w:t>个月内的最后一个</w:t>
            </w:r>
            <w:r>
              <w:rPr>
                <w:rFonts w:ascii="宋体" w:hAnsi="宋体" w:cs="宋体" w:eastAsia="宋体" w:hint="default"/>
                <w:w w:val="100"/>
                <w:sz w:val="21"/>
                <w:szCs w:val="21"/>
              </w:rPr>
              <w:t> </w:t>
            </w:r>
            <w:r>
              <w:rPr>
                <w:rFonts w:ascii="宋体" w:hAnsi="宋体" w:cs="宋体" w:eastAsia="宋体" w:hint="default"/>
                <w:sz w:val="21"/>
                <w:szCs w:val="21"/>
              </w:rPr>
              <w:t>交易日当日止</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89"/>
              <w:jc w:val="right"/>
              <w:rPr>
                <w:rFonts w:ascii="Calibri" w:hAnsi="Calibri" w:cs="Calibri" w:eastAsia="Calibri" w:hint="default"/>
                <w:sz w:val="21"/>
                <w:szCs w:val="21"/>
              </w:rPr>
            </w:pPr>
            <w:r>
              <w:rPr>
                <w:rFonts w:ascii="Calibri"/>
                <w:spacing w:val="-1"/>
                <w:sz w:val="21"/>
              </w:rPr>
              <w:t>20%</w:t>
            </w:r>
          </w:p>
        </w:tc>
      </w:tr>
    </w:tbl>
    <w:p>
      <w:pPr>
        <w:pStyle w:val="BodyText"/>
        <w:spacing w:line="326" w:lineRule="auto" w:before="53"/>
        <w:ind w:left="622" w:right="224" w:firstLine="479"/>
        <w:jc w:val="left"/>
      </w:pPr>
      <w:r>
        <w:rPr/>
        <w:t>注：</w:t>
      </w:r>
      <w:r>
        <w:rPr>
          <w:rFonts w:ascii="Calibri" w:hAnsi="Calibri" w:cs="Calibri" w:eastAsia="Calibri" w:hint="default"/>
        </w:rPr>
        <w:t>“</w:t>
      </w:r>
      <w:r>
        <w:rPr/>
        <w:t>净利润</w:t>
      </w:r>
      <w:r>
        <w:rPr>
          <w:rFonts w:ascii="Calibri" w:hAnsi="Calibri" w:cs="Calibri" w:eastAsia="Calibri" w:hint="default"/>
        </w:rPr>
        <w:t>”</w:t>
      </w:r>
      <w:r>
        <w:rPr/>
        <w:t>指归属于公司股东的扣除非经常性损益后的净利润。等待期内，归属 于上市公司股东的净利润及归属于上市公司股东的扣除非经常性损益后的净利润均不得</w:t>
      </w:r>
    </w:p>
    <w:p>
      <w:pPr>
        <w:spacing w:after="0" w:line="326" w:lineRule="auto"/>
        <w:jc w:val="left"/>
        <w:sectPr>
          <w:footerReference w:type="default" r:id="rId60"/>
          <w:pgSz w:w="11910" w:h="16840"/>
          <w:pgMar w:footer="1085" w:header="884" w:top="1300" w:bottom="1280" w:left="1080" w:right="840"/>
          <w:pgNumType w:start="182"/>
        </w:sectPr>
      </w:pPr>
    </w:p>
    <w:p>
      <w:pPr>
        <w:spacing w:line="240" w:lineRule="auto" w:before="7"/>
        <w:rPr>
          <w:rFonts w:ascii="宋体" w:hAnsi="宋体" w:cs="宋体" w:eastAsia="宋体" w:hint="default"/>
          <w:sz w:val="10"/>
          <w:szCs w:val="10"/>
        </w:rPr>
      </w:pPr>
    </w:p>
    <w:p>
      <w:pPr>
        <w:pStyle w:val="BodyText"/>
        <w:spacing w:line="357" w:lineRule="auto" w:before="26"/>
        <w:ind w:left="1101" w:right="257" w:hanging="480"/>
        <w:jc w:val="left"/>
      </w:pPr>
      <w:r>
        <w:rPr/>
        <w:t>低于授予日前最近三个会计年度的平均水平且不得为负。 股权激励首次授予的限制性股票合计</w:t>
      </w:r>
      <w:r>
        <w:rPr>
          <w:rFonts w:ascii="Calibri" w:hAnsi="Calibri" w:cs="Calibri" w:eastAsia="Calibri" w:hint="default"/>
        </w:rPr>
        <w:t>2,309,680</w:t>
      </w:r>
      <w:r>
        <w:rPr/>
        <w:t>股，入股款共计</w:t>
      </w:r>
      <w:r>
        <w:rPr>
          <w:rFonts w:ascii="Calibri" w:hAnsi="Calibri" w:cs="Calibri" w:eastAsia="Calibri" w:hint="default"/>
        </w:rPr>
        <w:t>13,834,983.20</w:t>
      </w:r>
      <w:r>
        <w:rPr/>
        <w:t>元，其</w:t>
      </w:r>
    </w:p>
    <w:p>
      <w:pPr>
        <w:pStyle w:val="BodyText"/>
        <w:spacing w:line="324" w:lineRule="exact" w:before="0"/>
        <w:ind w:left="622" w:right="131"/>
        <w:jc w:val="left"/>
      </w:pPr>
      <w:r>
        <w:rPr/>
        <w:t>中，计入股本</w:t>
      </w:r>
      <w:r>
        <w:rPr>
          <w:rFonts w:ascii="Calibri" w:hAnsi="Calibri" w:cs="Calibri" w:eastAsia="Calibri" w:hint="default"/>
        </w:rPr>
        <w:t>2,309,680.00</w:t>
      </w:r>
      <w:r>
        <w:rPr/>
        <w:t>元，计入资本公积（股本溢价）</w:t>
      </w:r>
      <w:r>
        <w:rPr>
          <w:rFonts w:ascii="Calibri" w:hAnsi="Calibri" w:cs="Calibri" w:eastAsia="Calibri" w:hint="default"/>
        </w:rPr>
        <w:t>11,525,303.20</w:t>
      </w:r>
      <w:r>
        <w:rPr/>
        <w:t>元。变更已经北</w:t>
      </w:r>
    </w:p>
    <w:p>
      <w:pPr>
        <w:pStyle w:val="BodyText"/>
        <w:spacing w:line="240" w:lineRule="auto" w:before="123"/>
        <w:ind w:left="622" w:right="131"/>
        <w:jc w:val="left"/>
      </w:pPr>
      <w:r>
        <w:rPr/>
        <w:t>京天圆全会计师事务所有限公司验资并于</w:t>
      </w:r>
      <w:r>
        <w:rPr>
          <w:rFonts w:ascii="Calibri" w:hAnsi="Calibri" w:cs="Calibri" w:eastAsia="Calibri" w:hint="default"/>
        </w:rPr>
        <w:t>2013</w:t>
      </w:r>
      <w:r>
        <w:rPr/>
        <w:t>年</w:t>
      </w:r>
      <w:r>
        <w:rPr>
          <w:rFonts w:ascii="Calibri" w:hAnsi="Calibri" w:cs="Calibri" w:eastAsia="Calibri" w:hint="default"/>
        </w:rPr>
        <w:t>11</w:t>
      </w:r>
      <w:r>
        <w:rPr/>
        <w:t>月</w:t>
      </w:r>
      <w:r>
        <w:rPr>
          <w:rFonts w:ascii="Calibri" w:hAnsi="Calibri" w:cs="Calibri" w:eastAsia="Calibri" w:hint="default"/>
        </w:rPr>
        <w:t>12</w:t>
      </w:r>
      <w:r>
        <w:rPr/>
        <w:t>日出具验资报告，所发行股份于</w:t>
      </w:r>
    </w:p>
    <w:p>
      <w:pPr>
        <w:pStyle w:val="BodyText"/>
        <w:spacing w:line="240" w:lineRule="auto" w:before="123"/>
        <w:ind w:left="622" w:right="225"/>
        <w:jc w:val="left"/>
      </w:pPr>
      <w:r>
        <w:rPr>
          <w:rFonts w:ascii="Calibri" w:hAnsi="Calibri" w:cs="Calibri" w:eastAsia="Calibri" w:hint="default"/>
        </w:rPr>
        <w:t>2013</w:t>
      </w:r>
      <w:r>
        <w:rPr/>
        <w:t>年</w:t>
      </w:r>
      <w:r>
        <w:rPr>
          <w:rFonts w:ascii="Calibri" w:hAnsi="Calibri" w:cs="Calibri" w:eastAsia="Calibri" w:hint="default"/>
        </w:rPr>
        <w:t>11</w:t>
      </w:r>
      <w:r>
        <w:rPr/>
        <w:t>月</w:t>
      </w:r>
      <w:r>
        <w:rPr>
          <w:rFonts w:ascii="Calibri" w:hAnsi="Calibri" w:cs="Calibri" w:eastAsia="Calibri" w:hint="default"/>
        </w:rPr>
        <w:t>19</w:t>
      </w:r>
      <w:r>
        <w:rPr/>
        <w:t>日上市。</w:t>
      </w:r>
    </w:p>
    <w:p>
      <w:pPr>
        <w:pStyle w:val="BodyText"/>
        <w:spacing w:line="336" w:lineRule="auto" w:before="123"/>
        <w:ind w:left="622" w:right="224" w:firstLine="479"/>
        <w:jc w:val="left"/>
      </w:pPr>
      <w:r>
        <w:rPr>
          <w:rFonts w:ascii="Calibri" w:hAnsi="Calibri" w:cs="Calibri" w:eastAsia="Calibri" w:hint="default"/>
        </w:rPr>
        <w:t>2014</w:t>
      </w:r>
      <w:r>
        <w:rPr/>
        <w:t>年</w:t>
      </w:r>
      <w:r>
        <w:rPr>
          <w:rFonts w:ascii="Calibri" w:hAnsi="Calibri" w:cs="Calibri" w:eastAsia="Calibri" w:hint="default"/>
        </w:rPr>
        <w:t>5</w:t>
      </w:r>
      <w:r>
        <w:rPr/>
        <w:t>月</w:t>
      </w:r>
      <w:r>
        <w:rPr>
          <w:rFonts w:ascii="Calibri" w:hAnsi="Calibri" w:cs="Calibri" w:eastAsia="Calibri" w:hint="default"/>
        </w:rPr>
        <w:t>22</w:t>
      </w:r>
      <w:r>
        <w:rPr/>
        <w:t>日，公司第二届董事会第二十六次会议审议通过了《关于公司限制性 股票激励计划预留限制性股票授予相关事项的议案》，确定了公司向激励对象授予预留 限制性股票的授予日、授予对象、授予数量及授予价格等事项。向</w:t>
      </w:r>
      <w:r>
        <w:rPr>
          <w:rFonts w:ascii="Calibri" w:hAnsi="Calibri" w:cs="Calibri" w:eastAsia="Calibri" w:hint="default"/>
        </w:rPr>
        <w:t>9</w:t>
      </w:r>
      <w:r>
        <w:rPr/>
        <w:t>名激励对象授予</w:t>
      </w:r>
      <w:r>
        <w:rPr>
          <w:rFonts w:ascii="Calibri" w:hAnsi="Calibri" w:cs="Calibri" w:eastAsia="Calibri" w:hint="default"/>
        </w:rPr>
        <w:t>27 </w:t>
      </w:r>
      <w:r>
        <w:rPr/>
        <w:t>万股预留限制性股票，授予日为</w:t>
      </w:r>
      <w:r>
        <w:rPr>
          <w:rFonts w:ascii="Calibri" w:hAnsi="Calibri" w:cs="Calibri" w:eastAsia="Calibri" w:hint="default"/>
        </w:rPr>
        <w:t>2014</w:t>
      </w:r>
      <w:r>
        <w:rPr/>
        <w:t>年</w:t>
      </w:r>
      <w:r>
        <w:rPr>
          <w:rFonts w:ascii="Calibri" w:hAnsi="Calibri" w:cs="Calibri" w:eastAsia="Calibri" w:hint="default"/>
        </w:rPr>
        <w:t>5</w:t>
      </w:r>
      <w:r>
        <w:rPr/>
        <w:t>月</w:t>
      </w:r>
      <w:r>
        <w:rPr>
          <w:rFonts w:ascii="Calibri" w:hAnsi="Calibri" w:cs="Calibri" w:eastAsia="Calibri" w:hint="default"/>
        </w:rPr>
        <w:t>22</w:t>
      </w:r>
      <w:r>
        <w:rPr/>
        <w:t>日，授予价格为</w:t>
      </w:r>
      <w:r>
        <w:rPr>
          <w:rFonts w:ascii="Calibri" w:hAnsi="Calibri" w:cs="Calibri" w:eastAsia="Calibri" w:hint="default"/>
        </w:rPr>
        <w:t>9</w:t>
      </w:r>
      <w:r>
        <w:rPr/>
        <w:t>元</w:t>
      </w:r>
      <w:r>
        <w:rPr>
          <w:rFonts w:ascii="Calibri" w:hAnsi="Calibri" w:cs="Calibri" w:eastAsia="Calibri" w:hint="default"/>
        </w:rPr>
        <w:t>/</w:t>
      </w:r>
      <w:r>
        <w:rPr/>
        <w:t>股。</w:t>
      </w:r>
    </w:p>
    <w:p>
      <w:pPr>
        <w:pStyle w:val="BodyText"/>
        <w:spacing w:line="326" w:lineRule="auto" w:before="6"/>
        <w:ind w:left="622" w:right="272" w:firstLine="479"/>
        <w:jc w:val="both"/>
      </w:pPr>
      <w:r>
        <w:rPr/>
        <w:t>股权激励本次授予的预留限制性股票合计</w:t>
      </w:r>
      <w:r>
        <w:rPr>
          <w:rFonts w:ascii="Calibri" w:hAnsi="Calibri" w:cs="Calibri" w:eastAsia="Calibri" w:hint="default"/>
        </w:rPr>
        <w:t>270,000</w:t>
      </w:r>
      <w:r>
        <w:rPr/>
        <w:t>股，入股款共计</w:t>
      </w:r>
      <w:r>
        <w:rPr>
          <w:rFonts w:ascii="Calibri" w:hAnsi="Calibri" w:cs="Calibri" w:eastAsia="Calibri" w:hint="default"/>
        </w:rPr>
        <w:t>2,430,000.00</w:t>
      </w:r>
      <w:r>
        <w:rPr/>
        <w:t>元， 其中，计入股本</w:t>
      </w:r>
      <w:r>
        <w:rPr>
          <w:rFonts w:ascii="Calibri" w:hAnsi="Calibri" w:cs="Calibri" w:eastAsia="Calibri" w:hint="default"/>
        </w:rPr>
        <w:t>270,000.00</w:t>
      </w:r>
      <w:r>
        <w:rPr/>
        <w:t>元，计入资本公积（股本溢价）</w:t>
      </w:r>
      <w:r>
        <w:rPr>
          <w:rFonts w:ascii="Calibri" w:hAnsi="Calibri" w:cs="Calibri" w:eastAsia="Calibri" w:hint="default"/>
        </w:rPr>
        <w:t>2,160,000.00</w:t>
      </w:r>
      <w:r>
        <w:rPr/>
        <w:t>元。变更已经致 同会计师事务所（特殊普通合伙）验资并于</w:t>
      </w:r>
      <w:r>
        <w:rPr>
          <w:rFonts w:ascii="Calibri" w:hAnsi="Calibri" w:cs="Calibri" w:eastAsia="Calibri" w:hint="default"/>
        </w:rPr>
        <w:t>2014</w:t>
      </w:r>
      <w:r>
        <w:rPr/>
        <w:t>年</w:t>
      </w:r>
      <w:r>
        <w:rPr>
          <w:rFonts w:ascii="Calibri" w:hAnsi="Calibri" w:cs="Calibri" w:eastAsia="Calibri" w:hint="default"/>
        </w:rPr>
        <w:t>6</w:t>
      </w:r>
      <w:r>
        <w:rPr/>
        <w:t>月</w:t>
      </w:r>
      <w:r>
        <w:rPr>
          <w:rFonts w:ascii="Calibri" w:hAnsi="Calibri" w:cs="Calibri" w:eastAsia="Calibri" w:hint="default"/>
        </w:rPr>
        <w:t>13</w:t>
      </w:r>
      <w:r>
        <w:rPr/>
        <w:t>日出具验资报告，所发行股份 于</w:t>
      </w:r>
      <w:r>
        <w:rPr>
          <w:rFonts w:ascii="Calibri" w:hAnsi="Calibri" w:cs="Calibri" w:eastAsia="Calibri" w:hint="default"/>
        </w:rPr>
        <w:t>2014</w:t>
      </w:r>
      <w:r>
        <w:rPr/>
        <w:t>年</w:t>
      </w:r>
      <w:r>
        <w:rPr>
          <w:rFonts w:ascii="Calibri" w:hAnsi="Calibri" w:cs="Calibri" w:eastAsia="Calibri" w:hint="default"/>
        </w:rPr>
        <w:t>6</w:t>
      </w:r>
      <w:r>
        <w:rPr/>
        <w:t>月</w:t>
      </w:r>
      <w:r>
        <w:rPr>
          <w:rFonts w:ascii="Calibri" w:hAnsi="Calibri" w:cs="Calibri" w:eastAsia="Calibri" w:hint="default"/>
        </w:rPr>
        <w:t>24</w:t>
      </w:r>
      <w:r>
        <w:rPr/>
        <w:t>日上市。</w:t>
      </w:r>
    </w:p>
    <w:p>
      <w:pPr>
        <w:pStyle w:val="BodyText"/>
        <w:spacing w:line="340" w:lineRule="auto" w:before="17"/>
        <w:ind w:left="622" w:right="151" w:firstLine="479"/>
        <w:jc w:val="left"/>
      </w:pPr>
      <w:r>
        <w:rPr>
          <w:rFonts w:ascii="Calibri" w:hAnsi="Calibri" w:cs="Calibri" w:eastAsia="Calibri" w:hint="default"/>
        </w:rPr>
        <w:t>2014</w:t>
      </w:r>
      <w:r>
        <w:rPr/>
        <w:t>年</w:t>
      </w:r>
      <w:r>
        <w:rPr>
          <w:rFonts w:ascii="Calibri" w:hAnsi="Calibri" w:cs="Calibri" w:eastAsia="Calibri" w:hint="default"/>
        </w:rPr>
        <w:t>11</w:t>
      </w:r>
      <w:r>
        <w:rPr/>
        <w:t>月</w:t>
      </w:r>
      <w:r>
        <w:rPr>
          <w:rFonts w:ascii="Calibri" w:hAnsi="Calibri" w:cs="Calibri" w:eastAsia="Calibri" w:hint="default"/>
        </w:rPr>
        <w:t>3</w:t>
      </w:r>
      <w:r>
        <w:rPr/>
        <w:t>日，公司第三届董事会第四次会议审议通过了《关于回购注销部分激 励对象已获授但尚未解锁的限制性股票的议案》、《关于公司股权激励计划首次授予的 限制性股票第一个解锁期条件成就可解锁的议案》，鉴于公司激励计划原激励对象薛 瑜、方亚华、杨建伟、苏志宏、高龙、王皓、刘晓娟、韩红林共计 </w:t>
      </w:r>
      <w:r>
        <w:rPr>
          <w:rFonts w:ascii="Calibri" w:hAnsi="Calibri" w:cs="Calibri" w:eastAsia="Calibri" w:hint="default"/>
        </w:rPr>
        <w:t>8</w:t>
      </w:r>
      <w:r>
        <w:rPr>
          <w:rFonts w:ascii="Calibri" w:hAnsi="Calibri" w:cs="Calibri" w:eastAsia="Calibri" w:hint="default"/>
          <w:spacing w:val="23"/>
        </w:rPr>
        <w:t> </w:t>
      </w:r>
      <w:r>
        <w:rPr/>
        <w:t>人因个人原因离 职，不具备激励对象资格，公司对该等激励对象已获授但尚未解锁的全部限制性股票共 计 </w:t>
      </w:r>
      <w:r>
        <w:rPr>
          <w:rFonts w:ascii="Calibri" w:hAnsi="Calibri" w:cs="Calibri" w:eastAsia="Calibri" w:hint="default"/>
        </w:rPr>
        <w:t>14.5</w:t>
      </w:r>
      <w:r>
        <w:rPr>
          <w:rFonts w:ascii="Calibri" w:hAnsi="Calibri" w:cs="Calibri" w:eastAsia="Calibri" w:hint="default"/>
          <w:spacing w:val="19"/>
        </w:rPr>
        <w:t> </w:t>
      </w:r>
      <w:r>
        <w:rPr/>
        <w:t>万股进行回购注销，回购价格为</w:t>
      </w:r>
      <w:r>
        <w:rPr>
          <w:rFonts w:ascii="Calibri" w:hAnsi="Calibri" w:cs="Calibri" w:eastAsia="Calibri" w:hint="default"/>
        </w:rPr>
        <w:t>5.99</w:t>
      </w:r>
      <w:r>
        <w:rPr/>
        <w:t>元</w:t>
      </w:r>
      <w:r>
        <w:rPr>
          <w:rFonts w:ascii="Calibri" w:hAnsi="Calibri" w:cs="Calibri" w:eastAsia="Calibri" w:hint="default"/>
        </w:rPr>
        <w:t>/</w:t>
      </w:r>
      <w:r>
        <w:rPr/>
        <w:t>股。本次回购注销完成后，公司首次授 予限制性股票激励对象人数由</w:t>
      </w:r>
      <w:r>
        <w:rPr>
          <w:rFonts w:ascii="Calibri" w:hAnsi="Calibri" w:cs="Calibri" w:eastAsia="Calibri" w:hint="default"/>
        </w:rPr>
        <w:t>101</w:t>
      </w:r>
      <w:r>
        <w:rPr/>
        <w:t>人调整为</w:t>
      </w:r>
      <w:r>
        <w:rPr>
          <w:rFonts w:ascii="Calibri" w:hAnsi="Calibri" w:cs="Calibri" w:eastAsia="Calibri" w:hint="default"/>
        </w:rPr>
        <w:t>93</w:t>
      </w:r>
      <w:r>
        <w:rPr/>
        <w:t>名，首次授予激励对象的限制性股票总数 由</w:t>
      </w:r>
      <w:r>
        <w:rPr>
          <w:rFonts w:ascii="Calibri" w:hAnsi="Calibri" w:cs="Calibri" w:eastAsia="Calibri" w:hint="default"/>
        </w:rPr>
        <w:t>230.968</w:t>
      </w:r>
      <w:r>
        <w:rPr/>
        <w:t>万股调整为</w:t>
      </w:r>
      <w:r>
        <w:rPr>
          <w:rFonts w:ascii="Calibri" w:hAnsi="Calibri" w:cs="Calibri" w:eastAsia="Calibri" w:hint="default"/>
        </w:rPr>
        <w:t>216.468</w:t>
      </w:r>
      <w:r>
        <w:rPr/>
        <w:t>万股，公司总股本从</w:t>
      </w:r>
      <w:r>
        <w:rPr>
          <w:rFonts w:ascii="Calibri" w:hAnsi="Calibri" w:cs="Calibri" w:eastAsia="Calibri" w:hint="default"/>
        </w:rPr>
        <w:t>12,257.97</w:t>
      </w:r>
      <w:r>
        <w:rPr/>
        <w:t>万股减至</w:t>
      </w:r>
      <w:r>
        <w:rPr>
          <w:rFonts w:ascii="Calibri" w:hAnsi="Calibri" w:cs="Calibri" w:eastAsia="Calibri" w:hint="default"/>
        </w:rPr>
        <w:t>12,243.468</w:t>
      </w:r>
      <w:r>
        <w:rPr/>
        <w:t>万股。同 时，《激励计划》首次授予的限制性股票第一个解锁期解锁条件已满足，可解锁的限制 性股票共计</w:t>
      </w:r>
      <w:r>
        <w:rPr>
          <w:rFonts w:ascii="Calibri" w:hAnsi="Calibri" w:cs="Calibri" w:eastAsia="Calibri" w:hint="default"/>
        </w:rPr>
        <w:t>43.2936</w:t>
      </w:r>
      <w:r>
        <w:rPr/>
        <w:t>万股，占公司股本总额的</w:t>
      </w:r>
      <w:r>
        <w:rPr>
          <w:rFonts w:ascii="Calibri" w:hAnsi="Calibri" w:cs="Calibri" w:eastAsia="Calibri" w:hint="default"/>
        </w:rPr>
        <w:t>0.353%</w:t>
      </w:r>
      <w:r>
        <w:rPr/>
        <w:t>，申请解锁的激励对象人数为</w:t>
      </w:r>
      <w:r>
        <w:rPr>
          <w:rFonts w:ascii="Calibri" w:hAnsi="Calibri" w:cs="Calibri" w:eastAsia="Calibri" w:hint="default"/>
        </w:rPr>
        <w:t>93</w:t>
      </w:r>
      <w:r>
        <w:rPr/>
        <w:t>人。</w:t>
      </w:r>
    </w:p>
    <w:p>
      <w:pPr>
        <w:pStyle w:val="BodyText"/>
        <w:spacing w:line="357" w:lineRule="auto" w:before="0"/>
        <w:ind w:left="622" w:right="223" w:firstLine="479"/>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5</w:t>
      </w:r>
      <w:r>
        <w:rPr/>
        <w:t>日召开了第三届董事会第十一次会议审议通过了《关于回购注销部分 激励对象已获授但尚未解锁的限制性股票的议案》，鉴于公司限制性股票激励计划原激 励对象邹继媛、史大伟、范新国和仇巍巍等</w:t>
      </w:r>
      <w:r>
        <w:rPr>
          <w:rFonts w:ascii="宋体" w:hAnsi="宋体" w:cs="宋体" w:eastAsia="宋体" w:hint="default"/>
        </w:rPr>
        <w:t>4</w:t>
      </w:r>
      <w:r>
        <w:rPr/>
        <w:t>人因个人原因离职，不具备激励对象资 格，公司对该等激励对象已获授但尚未解锁的全部限制性股票共计</w:t>
      </w:r>
      <w:r>
        <w:rPr>
          <w:spacing w:val="1"/>
        </w:rPr>
        <w:t> </w:t>
      </w:r>
      <w:r>
        <w:rPr>
          <w:rFonts w:ascii="宋体" w:hAnsi="宋体" w:cs="宋体" w:eastAsia="宋体" w:hint="default"/>
        </w:rPr>
        <w:t>73,818.00</w:t>
      </w:r>
      <w:r>
        <w:rPr/>
        <w:t>股进行回 购注销，回购价格为</w:t>
      </w:r>
      <w:r>
        <w:rPr>
          <w:rFonts w:ascii="宋体" w:hAnsi="宋体" w:cs="宋体" w:eastAsia="宋体" w:hint="default"/>
        </w:rPr>
        <w:t>3.68</w:t>
      </w:r>
      <w:r>
        <w:rPr/>
        <w:t>元</w:t>
      </w:r>
      <w:r>
        <w:rPr>
          <w:rFonts w:ascii="宋体" w:hAnsi="宋体" w:cs="宋体" w:eastAsia="宋体" w:hint="default"/>
        </w:rPr>
        <w:t>/</w:t>
      </w:r>
      <w:r>
        <w:rPr/>
        <w:t>股。</w:t>
      </w:r>
    </w:p>
    <w:p>
      <w:pPr>
        <w:spacing w:after="0" w:line="357"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4" w:footer="1085" w:top="1300" w:bottom="1280" w:left="1080" w:right="840"/>
        </w:sectPr>
      </w:pPr>
    </w:p>
    <w:p>
      <w:pPr>
        <w:pStyle w:val="Heading2"/>
        <w:spacing w:line="367" w:lineRule="exact"/>
        <w:ind w:right="-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26"/>
        <w:ind w:left="1101" w:right="-7"/>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840"/>
          <w:cols w:num="2" w:equalWidth="0">
            <w:col w:w="4355" w:space="3300"/>
            <w:col w:w="2335"/>
          </w:cols>
        </w:sectPr>
      </w:pP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4794"/>
        <w:gridCol w:w="4412"/>
      </w:tblGrid>
      <w:tr>
        <w:trPr>
          <w:trHeight w:val="634"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55" w:right="94" w:hanging="1155"/>
              <w:jc w:val="left"/>
              <w:rPr>
                <w:rFonts w:ascii="宋体" w:hAnsi="宋体" w:cs="宋体" w:eastAsia="宋体" w:hint="default"/>
                <w:sz w:val="21"/>
                <w:szCs w:val="21"/>
              </w:rPr>
            </w:pPr>
            <w:r>
              <w:rPr>
                <w:rFonts w:ascii="宋体" w:hAnsi="宋体" w:cs="宋体" w:eastAsia="宋体" w:hint="default"/>
                <w:spacing w:val="-2"/>
                <w:sz w:val="21"/>
                <w:szCs w:val="21"/>
              </w:rPr>
              <w:t>当日未考虑限制性因素的权益工具价值扣除限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制性因素带来的成本</w:t>
            </w:r>
          </w:p>
        </w:tc>
      </w:tr>
      <w:tr>
        <w:trPr>
          <w:trHeight w:val="946"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4"/>
              <w:jc w:val="center"/>
              <w:rPr>
                <w:rFonts w:ascii="宋体" w:hAnsi="宋体" w:cs="宋体" w:eastAsia="宋体" w:hint="default"/>
                <w:sz w:val="21"/>
                <w:szCs w:val="21"/>
              </w:rPr>
            </w:pPr>
            <w:r>
              <w:rPr>
                <w:rFonts w:ascii="宋体" w:hAnsi="宋体" w:cs="宋体" w:eastAsia="宋体" w:hint="default"/>
                <w:spacing w:val="-2"/>
                <w:sz w:val="21"/>
                <w:szCs w:val="21"/>
              </w:rPr>
              <w:t>锁定期的每个资产负债表日，根据最新取得的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业绩指标完成情况等后续信息，修正预计可解</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锁的限制性股票数量</w:t>
            </w:r>
          </w:p>
        </w:tc>
      </w:tr>
      <w:tr>
        <w:trPr>
          <w:trHeight w:val="32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3"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Calibri" w:hAnsi="Calibri" w:cs="Calibri" w:eastAsia="Calibri" w:hint="default"/>
                <w:sz w:val="21"/>
                <w:szCs w:val="21"/>
              </w:rPr>
            </w:pPr>
            <w:r>
              <w:rPr>
                <w:rFonts w:ascii="Calibri"/>
                <w:sz w:val="21"/>
              </w:rPr>
              <w:t>15,796,688.51</w:t>
            </w:r>
          </w:p>
        </w:tc>
      </w:tr>
      <w:tr>
        <w:trPr>
          <w:trHeight w:val="322" w:hRule="exact"/>
        </w:trPr>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1,396,122.39</w:t>
            </w:r>
          </w:p>
        </w:tc>
      </w:tr>
    </w:tbl>
    <w:p>
      <w:pPr>
        <w:pStyle w:val="Heading2"/>
        <w:spacing w:line="380" w:lineRule="exact"/>
        <w:ind w:right="225"/>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92" w:lineRule="auto" w:before="126"/>
        <w:ind w:left="1101" w:right="5625" w:firstLine="0"/>
        <w:jc w:val="left"/>
        <w:rPr>
          <w:rFonts w:ascii="宋体" w:hAnsi="宋体" w:cs="宋体" w:eastAsia="宋体" w:hint="default"/>
          <w:sz w:val="24"/>
          <w:szCs w:val="24"/>
        </w:rPr>
      </w:pPr>
      <w:r>
        <w:rPr>
          <w:rFonts w:ascii="Calibri" w:hAnsi="Calibri" w:cs="Calibri" w:eastAsia="Calibri" w:hint="default"/>
          <w:sz w:val="24"/>
          <w:szCs w:val="24"/>
        </w:rPr>
        <w:t>□ </w:t>
      </w:r>
      <w:r>
        <w:rPr>
          <w:rFonts w:ascii="宋体" w:hAnsi="宋体" w:cs="宋体" w:eastAsia="宋体" w:hint="default"/>
          <w:sz w:val="24"/>
          <w:szCs w:val="24"/>
        </w:rPr>
        <w:t>适用 </w:t>
      </w:r>
      <w:r>
        <w:rPr>
          <w:rFonts w:ascii="Calibri" w:hAnsi="Calibri" w:cs="Calibri" w:eastAsia="Calibri" w:hint="default"/>
          <w:sz w:val="24"/>
          <w:szCs w:val="24"/>
        </w:rPr>
        <w:t>√</w:t>
      </w:r>
      <w:r>
        <w:rPr>
          <w:rFonts w:ascii="Calibri" w:hAnsi="Calibri" w:cs="Calibri" w:eastAsia="Calibri" w:hint="default"/>
          <w:spacing w:val="21"/>
          <w:sz w:val="24"/>
          <w:szCs w:val="24"/>
        </w:rPr>
        <w:t> </w:t>
      </w:r>
      <w:r>
        <w:rPr>
          <w:rFonts w:ascii="宋体" w:hAnsi="宋体" w:cs="宋体" w:eastAsia="宋体" w:hint="default"/>
          <w:sz w:val="24"/>
          <w:szCs w:val="24"/>
        </w:rPr>
        <w:t>不适用</w:t>
      </w:r>
      <w:r>
        <w:rPr>
          <w:rFonts w:ascii="宋体" w:hAnsi="宋体" w:cs="宋体" w:eastAsia="宋体" w:hint="default"/>
          <w:w w:val="99"/>
          <w:sz w:val="24"/>
          <w:szCs w:val="24"/>
        </w:rPr>
        <w:t> </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、股份支付的修改、终止情况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无</w:t>
      </w:r>
    </w:p>
    <w:p>
      <w:pPr>
        <w:pStyle w:val="Heading2"/>
        <w:spacing w:line="312" w:lineRule="auto" w:before="24"/>
        <w:ind w:right="8025"/>
        <w:jc w:val="left"/>
        <w:rPr>
          <w:rFonts w:ascii="宋体" w:hAnsi="宋体" w:cs="宋体" w:eastAsia="宋体" w:hint="default"/>
          <w:b w:val="0"/>
          <w:bCs w:val="0"/>
        </w:rPr>
      </w:pPr>
      <w:r>
        <w:rPr>
          <w:rFonts w:ascii="Times New Roman" w:hAnsi="Times New Roman" w:cs="Times New Roman" w:eastAsia="Times New Roman" w:hint="default"/>
        </w:rPr>
        <w:t>5</w:t>
      </w:r>
      <w:r>
        <w:rPr/>
        <w:t>、其他 </w:t>
      </w:r>
      <w:r>
        <w:rPr>
          <w:rFonts w:ascii="宋体" w:hAnsi="宋体" w:cs="宋体" w:eastAsia="宋体" w:hint="default"/>
          <w:b w:val="0"/>
          <w:bCs w:val="0"/>
        </w:rPr>
        <w:t>无</w:t>
      </w:r>
    </w:p>
    <w:p>
      <w:pPr>
        <w:pStyle w:val="Heading2"/>
        <w:spacing w:line="333" w:lineRule="exact"/>
        <w:ind w:right="225"/>
        <w:jc w:val="left"/>
        <w:rPr>
          <w:b w:val="0"/>
          <w:bCs w:val="0"/>
        </w:rPr>
      </w:pPr>
      <w:bookmarkStart w:name="_bookmark81" w:id="82"/>
      <w:bookmarkEnd w:id="82"/>
      <w:r>
        <w:rPr>
          <w:b w:val="0"/>
          <w:bCs w:val="0"/>
        </w:rPr>
      </w:r>
      <w:r>
        <w:rPr/>
        <w:t>十三、承诺及或有事项</w:t>
      </w:r>
      <w:r>
        <w:rPr>
          <w:b w:val="0"/>
          <w:bCs w:val="0"/>
        </w:rPr>
      </w:r>
    </w:p>
    <w:p>
      <w:pPr>
        <w:spacing w:line="333" w:lineRule="auto" w:before="0"/>
        <w:ind w:left="1101" w:right="574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、重要承诺事项</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资产负债表日存在的重要承诺 </w:t>
      </w:r>
      <w:r>
        <w:rPr>
          <w:rFonts w:ascii="Calibri" w:hAnsi="Calibri" w:cs="Calibri" w:eastAsia="Calibri" w:hint="default"/>
          <w:sz w:val="24"/>
          <w:szCs w:val="24"/>
        </w:rPr>
        <w:t>1</w:t>
      </w:r>
      <w:r>
        <w:rPr>
          <w:rFonts w:ascii="宋体" w:hAnsi="宋体" w:cs="宋体" w:eastAsia="宋体" w:hint="default"/>
          <w:sz w:val="24"/>
          <w:szCs w:val="24"/>
        </w:rPr>
        <w:t>、重要的承诺事项</w:t>
      </w:r>
    </w:p>
    <w:p>
      <w:pPr>
        <w:pStyle w:val="BodyText"/>
        <w:spacing w:line="333" w:lineRule="auto" w:before="9"/>
        <w:ind w:left="622" w:right="133" w:firstLine="479"/>
        <w:jc w:val="left"/>
      </w:pPr>
      <w:r>
        <w:rPr/>
        <w:t>本集团于</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4</w:t>
      </w:r>
      <w:r>
        <w:rPr/>
        <w:t>日与上海卓超投资管理有限公司（以下简称</w:t>
      </w:r>
      <w:r>
        <w:rPr>
          <w:rFonts w:ascii="Calibri" w:hAnsi="Calibri" w:cs="Calibri" w:eastAsia="Calibri" w:hint="default"/>
        </w:rPr>
        <w:t>“</w:t>
      </w:r>
      <w:r>
        <w:rPr/>
        <w:t>上海卓超</w:t>
      </w:r>
      <w:r>
        <w:rPr>
          <w:rFonts w:ascii="Calibri" w:hAnsi="Calibri" w:cs="Calibri" w:eastAsia="Calibri" w:hint="default"/>
        </w:rPr>
        <w:t>”</w:t>
      </w:r>
      <w:r>
        <w:rPr/>
        <w:t>）以及 宁波思博迈股权投资合伙企业（有限合伙）（以下简称</w:t>
      </w:r>
      <w:r>
        <w:rPr>
          <w:rFonts w:ascii="Calibri" w:hAnsi="Calibri" w:cs="Calibri" w:eastAsia="Calibri" w:hint="default"/>
        </w:rPr>
        <w:t>“</w:t>
      </w:r>
      <w:r>
        <w:rPr/>
        <w:t>思博迈</w:t>
      </w:r>
      <w:r>
        <w:rPr>
          <w:rFonts w:ascii="Calibri" w:hAnsi="Calibri" w:cs="Calibri" w:eastAsia="Calibri" w:hint="default"/>
        </w:rPr>
        <w:t>”</w:t>
      </w:r>
      <w:r>
        <w:rPr/>
        <w:t>）签署了《合作框架协 议》，共同投资设立宁波超图知卓股权投资合伙企业（有限合伙）（暂命名，以工商注 册为准，以下简称</w:t>
      </w:r>
      <w:r>
        <w:rPr>
          <w:rFonts w:ascii="Calibri" w:hAnsi="Calibri" w:cs="Calibri" w:eastAsia="Calibri" w:hint="default"/>
        </w:rPr>
        <w:t>“</w:t>
      </w:r>
      <w:r>
        <w:rPr/>
        <w:t>超图知卓并购基金</w:t>
      </w:r>
      <w:r>
        <w:rPr>
          <w:rFonts w:ascii="Calibri" w:hAnsi="Calibri" w:cs="Calibri" w:eastAsia="Calibri" w:hint="default"/>
        </w:rPr>
        <w:t>”</w:t>
      </w:r>
      <w:r>
        <w:rPr/>
        <w:t>）。超图知卓并购基金目标募集规模预计为</w:t>
      </w:r>
      <w:r>
        <w:rPr>
          <w:rFonts w:ascii="Calibri" w:hAnsi="Calibri" w:cs="Calibri" w:eastAsia="Calibri" w:hint="default"/>
        </w:rPr>
        <w:t>1.5</w:t>
      </w:r>
      <w:r>
        <w:rPr/>
        <w:t>亿 元，其中，上海卓超作为基金的普通合伙人认缴</w:t>
      </w:r>
      <w:r>
        <w:rPr>
          <w:rFonts w:ascii="Calibri" w:hAnsi="Calibri" w:cs="Calibri" w:eastAsia="Calibri" w:hint="default"/>
        </w:rPr>
        <w:t>150</w:t>
      </w:r>
      <w:r>
        <w:rPr/>
        <w:t>万元（占基金规模的</w:t>
      </w:r>
      <w:r>
        <w:rPr>
          <w:rFonts w:ascii="Calibri" w:hAnsi="Calibri" w:cs="Calibri" w:eastAsia="Calibri" w:hint="default"/>
        </w:rPr>
        <w:t>1%</w:t>
      </w:r>
      <w:r>
        <w:rPr/>
        <w:t>）；本集团</w:t>
      </w:r>
    </w:p>
    <w:p>
      <w:pPr>
        <w:pStyle w:val="BodyText"/>
        <w:spacing w:line="338" w:lineRule="auto" w:before="9"/>
        <w:ind w:left="622" w:right="223"/>
        <w:jc w:val="left"/>
      </w:pPr>
      <w:r>
        <w:rPr/>
        <w:t>作为有限合伙人以集团自有资金认缴</w:t>
      </w:r>
      <w:r>
        <w:rPr>
          <w:rFonts w:ascii="Calibri" w:hAnsi="Calibri" w:cs="Calibri" w:eastAsia="Calibri" w:hint="default"/>
        </w:rPr>
        <w:t>1,250</w:t>
      </w:r>
      <w:r>
        <w:rPr/>
        <w:t>万元（占基金规模的</w:t>
      </w:r>
      <w:r>
        <w:rPr>
          <w:rFonts w:ascii="Calibri" w:hAnsi="Calibri" w:cs="Calibri" w:eastAsia="Calibri" w:hint="default"/>
        </w:rPr>
        <w:t>8.33%</w:t>
      </w:r>
      <w:r>
        <w:rPr/>
        <w:t>），思博迈作为有 限合伙人认缴</w:t>
      </w:r>
      <w:r>
        <w:rPr>
          <w:rFonts w:ascii="Calibri" w:hAnsi="Calibri" w:cs="Calibri" w:eastAsia="Calibri" w:hint="default"/>
        </w:rPr>
        <w:t>2,250</w:t>
      </w:r>
      <w:r>
        <w:rPr/>
        <w:t>万元（占基金规模的</w:t>
      </w:r>
      <w:r>
        <w:rPr>
          <w:rFonts w:ascii="Calibri" w:hAnsi="Calibri" w:cs="Calibri" w:eastAsia="Calibri" w:hint="default"/>
        </w:rPr>
        <w:t>15%</w:t>
      </w:r>
      <w:r>
        <w:rPr/>
        <w:t>）。本基金管理人为上海卓超。本事项已经 </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4</w:t>
      </w:r>
      <w:r>
        <w:rPr/>
        <w:t>日公司第三届董事会第十三次会议审议通过，关联董事钟耳顺先生回避了 表决。根据《深圳证券交易所创业板股票上市规则》以及《公司章程》等的规定，本次 投资事项没有超出董事会的审批权限，无需提交股东大会审议。根据《深圳证券交易所 创业板股票上市规则》及相关法律法规的规定，本次对外投资构成关联交易，公司独立</w:t>
      </w:r>
    </w:p>
    <w:p>
      <w:pPr>
        <w:spacing w:after="0" w:line="338" w:lineRule="auto"/>
        <w:jc w:val="left"/>
        <w:sectPr>
          <w:type w:val="continuous"/>
          <w:pgSz w:w="11910" w:h="16840"/>
          <w:pgMar w:top="1100" w:bottom="1280" w:left="1080" w:right="840"/>
        </w:sectPr>
      </w:pPr>
    </w:p>
    <w:p>
      <w:pPr>
        <w:spacing w:line="240" w:lineRule="auto" w:before="7"/>
        <w:rPr>
          <w:rFonts w:ascii="宋体" w:hAnsi="宋体" w:cs="宋体" w:eastAsia="宋体" w:hint="default"/>
          <w:sz w:val="10"/>
          <w:szCs w:val="10"/>
        </w:rPr>
      </w:pPr>
    </w:p>
    <w:p>
      <w:pPr>
        <w:pStyle w:val="BodyText"/>
        <w:spacing w:line="357" w:lineRule="auto" w:before="26"/>
        <w:ind w:left="622" w:right="224"/>
        <w:jc w:val="left"/>
      </w:pPr>
      <w:r>
        <w:rPr/>
        <w:t>董事对本次关联交易进行了事前认可并发表独立意见。本事项不属于《上市公司重大资 产重组管理办法》规定的重大资产重组。</w:t>
      </w:r>
    </w:p>
    <w:p>
      <w:pPr>
        <w:pStyle w:val="BodyText"/>
        <w:spacing w:line="336" w:lineRule="auto"/>
        <w:ind w:left="622" w:right="218" w:firstLine="479"/>
        <w:jc w:val="left"/>
      </w:pPr>
      <w:r>
        <w:rPr/>
        <w:t>本集团拟以自有资金</w:t>
      </w:r>
      <w:r>
        <w:rPr>
          <w:rFonts w:ascii="Calibri" w:hAnsi="Calibri" w:cs="Calibri" w:eastAsia="Calibri" w:hint="default"/>
        </w:rPr>
        <w:t>1500</w:t>
      </w:r>
      <w:r>
        <w:rPr/>
        <w:t>万元对全资子公司北京超图信息技术有限公司进行增资。 增资后，北京超图信息技术有限公司的注册资本将由目前的</w:t>
      </w:r>
      <w:r>
        <w:rPr>
          <w:rFonts w:ascii="Calibri" w:hAnsi="Calibri" w:cs="Calibri" w:eastAsia="Calibri" w:hint="default"/>
        </w:rPr>
        <w:t>500</w:t>
      </w:r>
      <w:r>
        <w:rPr/>
        <w:t>万元增加至</w:t>
      </w:r>
      <w:r>
        <w:rPr>
          <w:rFonts w:ascii="Calibri" w:hAnsi="Calibri" w:cs="Calibri" w:eastAsia="Calibri" w:hint="default"/>
        </w:rPr>
        <w:t>2000</w:t>
      </w:r>
      <w:r>
        <w:rPr/>
        <w:t>万元。 本次增资不会对公司财务及经营状况产生不利影响，不存在损害公司及全体股东利益的 情形。</w:t>
      </w:r>
    </w:p>
    <w:p>
      <w:pPr>
        <w:pStyle w:val="BodyText"/>
        <w:spacing w:line="240" w:lineRule="auto" w:before="58"/>
        <w:ind w:left="1101" w:right="225"/>
        <w:jc w:val="left"/>
        <w:rPr>
          <w:rFonts w:ascii="Calibri" w:hAnsi="Calibri" w:cs="Calibri" w:eastAsia="Calibri" w:hint="default"/>
        </w:rPr>
      </w:pPr>
      <w:r>
        <w:rPr/>
        <w:t>本集团拟以自有资金出资人民币</w:t>
      </w:r>
      <w:r>
        <w:rPr>
          <w:rFonts w:ascii="Calibri" w:hAnsi="Calibri" w:cs="Calibri" w:eastAsia="Calibri" w:hint="default"/>
        </w:rPr>
        <w:t>5000</w:t>
      </w:r>
      <w:r>
        <w:rPr/>
        <w:t>万元在成都设立</w:t>
      </w:r>
      <w:r>
        <w:rPr>
          <w:rFonts w:ascii="Calibri" w:hAnsi="Calibri" w:cs="Calibri" w:eastAsia="Calibri" w:hint="default"/>
        </w:rPr>
        <w:t>“</w:t>
      </w:r>
      <w:r>
        <w:rPr/>
        <w:t>成都超图数据技术有限公司</w:t>
      </w:r>
      <w:r>
        <w:rPr>
          <w:rFonts w:ascii="Calibri" w:hAnsi="Calibri" w:cs="Calibri" w:eastAsia="Calibri" w:hint="default"/>
        </w:rPr>
        <w:t>”</w:t>
      </w:r>
    </w:p>
    <w:p>
      <w:pPr>
        <w:pStyle w:val="BodyText"/>
        <w:spacing w:line="350" w:lineRule="auto" w:before="123"/>
        <w:ind w:left="622" w:right="207"/>
        <w:jc w:val="left"/>
      </w:pPr>
      <w:r>
        <w:rPr/>
        <w:t>（暂定，以最终工商登记名称为准，以下简称</w:t>
      </w:r>
      <w:r>
        <w:rPr>
          <w:rFonts w:ascii="Calibri" w:hAnsi="Calibri" w:cs="Calibri" w:eastAsia="Calibri" w:hint="default"/>
        </w:rPr>
        <w:t>“</w:t>
      </w:r>
      <w:r>
        <w:rPr/>
        <w:t>超图数据</w:t>
      </w:r>
      <w:r>
        <w:rPr>
          <w:rFonts w:ascii="Calibri" w:hAnsi="Calibri" w:cs="Calibri" w:eastAsia="Calibri" w:hint="default"/>
        </w:rPr>
        <w:t>”</w:t>
      </w:r>
      <w:r>
        <w:rPr/>
        <w:t>），公司持有成都数据</w:t>
      </w:r>
      <w:r>
        <w:rPr>
          <w:rFonts w:ascii="Calibri" w:hAnsi="Calibri" w:cs="Calibri" w:eastAsia="Calibri" w:hint="default"/>
        </w:rPr>
        <w:t>100%</w:t>
      </w:r>
      <w:r>
        <w:rPr/>
        <w:t>股 权，超图数据为公司全资子公司。该公司设立完成之后将主要从事与地理信息大数据服 务、商业地理分析和地理信息系统应用云服务解决方案等业务。此外，该公司将成为公 司未来投资各类地理信息大数据服务、商业地理分析和地理信息系统应用云服务类公司 的投资平台。本事项已经</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1</w:t>
      </w:r>
      <w:r>
        <w:rPr/>
        <w:t>日公司第三届董事会第十二次会议审议通过。根 据《深圳证券交易所创业板股票上市规则》以及《公司章程》、公司《对外投资管理制 度》等的规定，本次投资事项没有超出董事会的审批权限，无需提交股东大会审议。根 据《深圳证券交易所创业板股票上市规则》及相关法律法规的规定，本次对外投资不构 成关联交易，不属于《上市公司重大资产重组管理办法》规定的重大资产重组。</w:t>
      </w:r>
    </w:p>
    <w:p>
      <w:pPr>
        <w:pStyle w:val="BodyText"/>
        <w:spacing w:line="240" w:lineRule="auto" w:before="43"/>
        <w:ind w:left="1226" w:right="225"/>
        <w:jc w:val="left"/>
      </w:pPr>
      <w:r>
        <w:rPr/>
        <w:t>截至</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日，本集团不存在其他应披露的承诺事项。</w:t>
      </w:r>
    </w:p>
    <w:p>
      <w:pPr>
        <w:pStyle w:val="BodyText"/>
        <w:spacing w:line="468" w:lineRule="exact" w:before="29"/>
        <w:ind w:left="1101" w:right="452"/>
        <w:jc w:val="left"/>
        <w:rPr>
          <w:rFonts w:ascii="Microsoft JhengHei" w:hAnsi="Microsoft JhengHei" w:cs="Microsoft JhengHei" w:eastAsia="Microsoft JhengHei" w:hint="default"/>
        </w:rPr>
      </w:pPr>
      <w:r>
        <w:rPr>
          <w:rFonts w:ascii="Calibri" w:hAnsi="Calibri" w:cs="Calibri" w:eastAsia="Calibri" w:hint="default"/>
        </w:rPr>
        <w:t>2</w:t>
      </w:r>
      <w:r>
        <w:rPr/>
        <w:t>、或有事项 截至</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日，本集团不存在应披露的未决诉讼、对外担保等或有事项。 </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、或有事项</w:t>
      </w:r>
      <w:r>
        <w:rPr>
          <w:rFonts w:ascii="Microsoft JhengHei" w:hAnsi="Microsoft JhengHei" w:cs="Microsoft JhengHei" w:eastAsia="Microsoft JhengHei" w:hint="default"/>
        </w:rPr>
      </w:r>
    </w:p>
    <w:p>
      <w:pPr>
        <w:pStyle w:val="Heading2"/>
        <w:spacing w:line="312" w:lineRule="auto" w:before="17"/>
        <w:ind w:right="4665"/>
        <w:jc w:val="left"/>
        <w:rPr>
          <w:rFonts w:ascii="宋体" w:hAnsi="宋体" w:cs="宋体" w:eastAsia="宋体" w:hint="default"/>
          <w:b w:val="0"/>
          <w:bCs w:val="0"/>
        </w:rPr>
      </w:pPr>
      <w:r>
        <w:rPr/>
        <w:t>（</w:t>
      </w:r>
      <w:r>
        <w:rPr>
          <w:rFonts w:ascii="Times New Roman" w:hAnsi="Times New Roman" w:cs="Times New Roman" w:eastAsia="Times New Roman" w:hint="default"/>
        </w:rPr>
        <w:t>1</w:t>
      </w:r>
      <w:r>
        <w:rPr/>
        <w:t>）资产负债表日存在的重要或有事项</w:t>
      </w:r>
      <w:r>
        <w:rPr>
          <w:spacing w:val="-47"/>
        </w:rPr>
        <w:t> </w:t>
      </w:r>
      <w:r>
        <w:rPr>
          <w:spacing w:val="-47"/>
        </w:rPr>
      </w:r>
      <w:r>
        <w:rPr>
          <w:rFonts w:ascii="宋体" w:hAnsi="宋体" w:cs="宋体" w:eastAsia="宋体" w:hint="default"/>
          <w:b w:val="0"/>
          <w:bCs w:val="0"/>
        </w:rPr>
        <w:t>无</w:t>
      </w:r>
    </w:p>
    <w:p>
      <w:pPr>
        <w:spacing w:line="312" w:lineRule="auto" w:before="6"/>
        <w:ind w:left="1101" w:right="22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）公司没有需要披露的重要或有事项，也应予以说明</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公司不存在需要披露的重要或有事项。</w:t>
      </w:r>
    </w:p>
    <w:p>
      <w:pPr>
        <w:pStyle w:val="Heading2"/>
        <w:spacing w:line="312" w:lineRule="auto" w:before="5"/>
        <w:ind w:right="8025"/>
        <w:jc w:val="left"/>
        <w:rPr>
          <w:rFonts w:ascii="宋体" w:hAnsi="宋体" w:cs="宋体" w:eastAsia="宋体" w:hint="default"/>
          <w:b w:val="0"/>
          <w:bCs w:val="0"/>
        </w:rPr>
      </w:pPr>
      <w:r>
        <w:rPr>
          <w:rFonts w:ascii="Times New Roman" w:hAnsi="Times New Roman" w:cs="Times New Roman" w:eastAsia="Times New Roman" w:hint="default"/>
        </w:rPr>
        <w:t>3</w:t>
      </w:r>
      <w:r>
        <w:rPr/>
        <w:t>、其他 </w:t>
      </w:r>
      <w:r>
        <w:rPr>
          <w:rFonts w:ascii="宋体" w:hAnsi="宋体" w:cs="宋体" w:eastAsia="宋体" w:hint="default"/>
          <w:b w:val="0"/>
          <w:bCs w:val="0"/>
        </w:rPr>
        <w:t>无</w:t>
      </w:r>
    </w:p>
    <w:p>
      <w:pPr>
        <w:pStyle w:val="Heading2"/>
        <w:spacing w:line="332" w:lineRule="exact"/>
        <w:ind w:right="225"/>
        <w:jc w:val="left"/>
        <w:rPr>
          <w:b w:val="0"/>
          <w:bCs w:val="0"/>
        </w:rPr>
      </w:pPr>
      <w:bookmarkStart w:name="_bookmark82" w:id="83"/>
      <w:bookmarkEnd w:id="83"/>
      <w:r>
        <w:rPr>
          <w:b w:val="0"/>
          <w:bCs w:val="0"/>
        </w:rPr>
      </w:r>
      <w:r>
        <w:rPr/>
        <w:t>十四、资产负债表日后事项</w:t>
      </w:r>
      <w:r>
        <w:rPr>
          <w:b w:val="0"/>
          <w:bCs w:val="0"/>
        </w:rPr>
      </w:r>
    </w:p>
    <w:p>
      <w:pPr>
        <w:spacing w:line="312" w:lineRule="auto" w:before="0"/>
        <w:ind w:left="1101" w:right="658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、重要的非调整事项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无</w:t>
      </w:r>
    </w:p>
    <w:p>
      <w:pPr>
        <w:spacing w:after="0" w:line="312" w:lineRule="auto"/>
        <w:jc w:val="left"/>
        <w:rPr>
          <w:rFonts w:ascii="宋体" w:hAnsi="宋体" w:cs="宋体" w:eastAsia="宋体" w:hint="default"/>
          <w:sz w:val="24"/>
          <w:szCs w:val="24"/>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spacing w:line="367" w:lineRule="exact" w:before="0"/>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、利润分配情况</w:t>
      </w:r>
      <w:r>
        <w:rPr>
          <w:rFonts w:ascii="Microsoft JhengHei" w:hAnsi="Microsoft JhengHei" w:cs="Microsoft JhengHei" w:eastAsia="Microsoft JhengHei" w:hint="default"/>
          <w:sz w:val="24"/>
          <w:szCs w:val="24"/>
        </w:rPr>
      </w:r>
    </w:p>
    <w:p>
      <w:pPr>
        <w:pStyle w:val="BodyText"/>
        <w:spacing w:line="240" w:lineRule="auto" w:before="126"/>
        <w:ind w:left="1101" w:right="131"/>
        <w:jc w:val="left"/>
      </w:pPr>
      <w:r>
        <w:rPr>
          <w:rFonts w:ascii="Calibri" w:hAnsi="Calibri" w:cs="Calibri" w:eastAsia="Calibri" w:hint="default"/>
        </w:rPr>
        <w:t>2016</w:t>
      </w:r>
      <w:r>
        <w:rPr>
          <w:rFonts w:ascii="Calibri" w:hAnsi="Calibri" w:cs="Calibri" w:eastAsia="Calibri" w:hint="default"/>
          <w:spacing w:val="5"/>
        </w:rPr>
        <w:t> </w:t>
      </w:r>
      <w:r>
        <w:rPr/>
        <w:t>年</w:t>
      </w:r>
      <w:r>
        <w:rPr>
          <w:spacing w:val="-64"/>
        </w:rPr>
        <w:t> </w:t>
      </w:r>
      <w:r>
        <w:rPr>
          <w:rFonts w:ascii="Calibri" w:hAnsi="Calibri" w:cs="Calibri" w:eastAsia="Calibri" w:hint="default"/>
        </w:rPr>
        <w:t>3</w:t>
      </w:r>
      <w:r>
        <w:rPr>
          <w:rFonts w:ascii="Calibri" w:hAnsi="Calibri" w:cs="Calibri" w:eastAsia="Calibri" w:hint="default"/>
          <w:spacing w:val="5"/>
        </w:rPr>
        <w:t> </w:t>
      </w:r>
      <w:r>
        <w:rPr/>
        <w:t>月</w:t>
      </w:r>
      <w:r>
        <w:rPr>
          <w:spacing w:val="-61"/>
        </w:rPr>
        <w:t> </w:t>
      </w:r>
      <w:r>
        <w:rPr>
          <w:rFonts w:ascii="Calibri" w:hAnsi="Calibri" w:cs="Calibri" w:eastAsia="Calibri" w:hint="default"/>
        </w:rPr>
        <w:t>18</w:t>
      </w:r>
      <w:r>
        <w:rPr>
          <w:rFonts w:ascii="Calibri" w:hAnsi="Calibri" w:cs="Calibri" w:eastAsia="Calibri" w:hint="default"/>
          <w:spacing w:val="6"/>
        </w:rPr>
        <w:t> </w:t>
      </w:r>
      <w:r>
        <w:rPr/>
        <w:t>日，公司第三届董事会第十五次会议审议通过了公司</w:t>
      </w:r>
      <w:r>
        <w:rPr>
          <w:spacing w:val="-60"/>
        </w:rPr>
        <w:t> </w:t>
      </w:r>
      <w:r>
        <w:rPr>
          <w:rFonts w:ascii="Calibri" w:hAnsi="Calibri" w:cs="Calibri" w:eastAsia="Calibri" w:hint="default"/>
        </w:rPr>
        <w:t>2015</w:t>
      </w:r>
      <w:r>
        <w:rPr>
          <w:rFonts w:ascii="Calibri" w:hAnsi="Calibri" w:cs="Calibri" w:eastAsia="Calibri" w:hint="default"/>
          <w:spacing w:val="5"/>
        </w:rPr>
        <w:t> </w:t>
      </w:r>
      <w:r>
        <w:rPr/>
        <w:t>年度利润</w:t>
      </w:r>
    </w:p>
    <w:p>
      <w:pPr>
        <w:pStyle w:val="BodyText"/>
        <w:spacing w:line="240" w:lineRule="auto" w:before="123"/>
        <w:ind w:left="622" w:right="225"/>
        <w:jc w:val="left"/>
      </w:pPr>
      <w:r>
        <w:rPr/>
        <w:t>分配以及资本公积金转增股本的预案：以截止</w:t>
      </w:r>
      <w:r>
        <w:rPr>
          <w:spacing w:val="-61"/>
        </w:rPr>
        <w:t> </w:t>
      </w:r>
      <w:r>
        <w:rPr>
          <w:rFonts w:ascii="Calibri" w:hAnsi="Calibri" w:cs="Calibri" w:eastAsia="Calibri" w:hint="default"/>
        </w:rPr>
        <w:t>2015</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日公司总股本</w:t>
      </w:r>
    </w:p>
    <w:p>
      <w:pPr>
        <w:pStyle w:val="BodyText"/>
        <w:spacing w:line="240" w:lineRule="auto" w:before="123"/>
        <w:ind w:left="622" w:right="0"/>
        <w:jc w:val="left"/>
      </w:pPr>
      <w:r>
        <w:rPr>
          <w:rFonts w:ascii="Calibri" w:hAnsi="Calibri" w:cs="Calibri" w:eastAsia="Calibri" w:hint="default"/>
        </w:rPr>
        <w:t>1</w:t>
      </w:r>
      <w:r>
        <w:rPr>
          <w:rFonts w:ascii="Calibri" w:hAnsi="Calibri" w:cs="Calibri" w:eastAsia="Calibri" w:hint="default"/>
          <w:spacing w:val="1"/>
        </w:rPr>
        <w:t>9</w:t>
      </w:r>
      <w:r>
        <w:rPr>
          <w:rFonts w:ascii="Calibri" w:hAnsi="Calibri" w:cs="Calibri" w:eastAsia="Calibri" w:hint="default"/>
        </w:rPr>
        <w:t>5,</w:t>
      </w:r>
      <w:r>
        <w:rPr>
          <w:rFonts w:ascii="Calibri" w:hAnsi="Calibri" w:cs="Calibri" w:eastAsia="Calibri" w:hint="default"/>
          <w:spacing w:val="-1"/>
        </w:rPr>
        <w:t>8</w:t>
      </w:r>
      <w:r>
        <w:rPr>
          <w:rFonts w:ascii="Calibri" w:hAnsi="Calibri" w:cs="Calibri" w:eastAsia="Calibri" w:hint="default"/>
        </w:rPr>
        <w:t>2</w:t>
      </w:r>
      <w:r>
        <w:rPr>
          <w:rFonts w:ascii="Calibri" w:hAnsi="Calibri" w:cs="Calibri" w:eastAsia="Calibri" w:hint="default"/>
          <w:spacing w:val="1"/>
        </w:rPr>
        <w:t>1</w:t>
      </w:r>
      <w:r>
        <w:rPr>
          <w:rFonts w:ascii="Calibri" w:hAnsi="Calibri" w:cs="Calibri" w:eastAsia="Calibri" w:hint="default"/>
        </w:rPr>
        <w:t>,</w:t>
      </w:r>
      <w:r>
        <w:rPr>
          <w:rFonts w:ascii="Calibri" w:hAnsi="Calibri" w:cs="Calibri" w:eastAsia="Calibri" w:hint="default"/>
          <w:spacing w:val="-2"/>
        </w:rPr>
        <w:t>6</w:t>
      </w:r>
      <w:r>
        <w:rPr>
          <w:rFonts w:ascii="Calibri" w:hAnsi="Calibri" w:cs="Calibri" w:eastAsia="Calibri" w:hint="default"/>
        </w:rPr>
        <w:t>70</w:t>
      </w:r>
      <w:r>
        <w:rPr>
          <w:rFonts w:ascii="Calibri" w:hAnsi="Calibri" w:cs="Calibri" w:eastAsia="Calibri" w:hint="default"/>
          <w:spacing w:val="7"/>
        </w:rPr>
        <w:t> </w:t>
      </w:r>
      <w:r>
        <w:rPr/>
        <w:t>股为基</w:t>
      </w:r>
      <w:r>
        <w:rPr>
          <w:spacing w:val="-3"/>
        </w:rPr>
        <w:t>数</w:t>
      </w:r>
      <w:r>
        <w:rPr/>
        <w:t>，向全体股东每</w:t>
      </w:r>
      <w:r>
        <w:rPr>
          <w:spacing w:val="-60"/>
        </w:rPr>
        <w:t> </w:t>
      </w:r>
      <w:r>
        <w:rPr>
          <w:rFonts w:ascii="Calibri" w:hAnsi="Calibri" w:cs="Calibri" w:eastAsia="Calibri" w:hint="default"/>
        </w:rPr>
        <w:t>10</w:t>
      </w:r>
      <w:r>
        <w:rPr>
          <w:rFonts w:ascii="Calibri" w:hAnsi="Calibri" w:cs="Calibri" w:eastAsia="Calibri" w:hint="default"/>
          <w:spacing w:val="6"/>
        </w:rPr>
        <w:t> </w:t>
      </w:r>
      <w:r>
        <w:rPr>
          <w:spacing w:val="-3"/>
        </w:rPr>
        <w:t>股</w:t>
      </w:r>
      <w:r>
        <w:rPr/>
        <w:t>派发现金红利</w:t>
      </w:r>
      <w:r>
        <w:rPr>
          <w:spacing w:val="-60"/>
        </w:rPr>
        <w:t> </w:t>
      </w:r>
      <w:r>
        <w:rPr>
          <w:rFonts w:ascii="Calibri" w:hAnsi="Calibri" w:cs="Calibri" w:eastAsia="Calibri" w:hint="default"/>
        </w:rPr>
        <w:t>1</w:t>
      </w:r>
      <w:r>
        <w:rPr>
          <w:rFonts w:ascii="Calibri" w:hAnsi="Calibri" w:cs="Calibri" w:eastAsia="Calibri" w:hint="default"/>
          <w:spacing w:val="6"/>
        </w:rPr>
        <w:t> </w:t>
      </w:r>
      <w:r>
        <w:rPr/>
        <w:t>元（含税</w:t>
      </w:r>
      <w:r>
        <w:rPr>
          <w:spacing w:val="-120"/>
        </w:rPr>
        <w:t>）</w:t>
      </w:r>
      <w:r>
        <w:rPr/>
        <w:t>，送红股</w:t>
      </w:r>
      <w:r>
        <w:rPr>
          <w:spacing w:val="-60"/>
        </w:rPr>
        <w:t> </w:t>
      </w:r>
      <w:r>
        <w:rPr>
          <w:rFonts w:ascii="Calibri" w:hAnsi="Calibri" w:cs="Calibri" w:eastAsia="Calibri" w:hint="default"/>
        </w:rPr>
        <w:t>0</w:t>
      </w:r>
      <w:r>
        <w:rPr>
          <w:rFonts w:ascii="Calibri" w:hAnsi="Calibri" w:cs="Calibri" w:eastAsia="Calibri" w:hint="default"/>
          <w:spacing w:val="6"/>
        </w:rPr>
        <w:t> </w:t>
      </w:r>
      <w:r>
        <w:rPr/>
        <w:t>股（含</w:t>
      </w:r>
    </w:p>
    <w:p>
      <w:pPr>
        <w:pStyle w:val="BodyText"/>
        <w:spacing w:line="240" w:lineRule="auto" w:before="123"/>
        <w:ind w:left="622" w:right="225"/>
        <w:jc w:val="left"/>
      </w:pPr>
      <w:r>
        <w:rPr/>
        <w:t>税</w:t>
      </w:r>
      <w:r>
        <w:rPr>
          <w:spacing w:val="-120"/>
        </w:rPr>
        <w:t>）</w:t>
      </w:r>
      <w:r>
        <w:rPr/>
        <w:t>，以资本公积金向全体股东每</w:t>
      </w:r>
      <w:r>
        <w:rPr>
          <w:spacing w:val="-60"/>
        </w:rPr>
        <w:t> </w:t>
      </w:r>
      <w:r>
        <w:rPr>
          <w:rFonts w:ascii="Calibri" w:hAnsi="Calibri" w:cs="Calibri" w:eastAsia="Calibri" w:hint="default"/>
        </w:rPr>
        <w:t>10</w:t>
      </w:r>
      <w:r>
        <w:rPr>
          <w:rFonts w:ascii="Calibri" w:hAnsi="Calibri" w:cs="Calibri" w:eastAsia="Calibri" w:hint="default"/>
          <w:spacing w:val="6"/>
        </w:rPr>
        <w:t> </w:t>
      </w:r>
      <w:r>
        <w:rPr/>
        <w:t>股转增</w:t>
      </w:r>
      <w:r>
        <w:rPr>
          <w:spacing w:val="-62"/>
        </w:rPr>
        <w:t> </w:t>
      </w:r>
      <w:r>
        <w:rPr>
          <w:rFonts w:ascii="Calibri" w:hAnsi="Calibri" w:cs="Calibri" w:eastAsia="Calibri" w:hint="default"/>
        </w:rPr>
        <w:t>10</w:t>
      </w:r>
      <w:r>
        <w:rPr>
          <w:rFonts w:ascii="Calibri" w:hAnsi="Calibri" w:cs="Calibri" w:eastAsia="Calibri" w:hint="default"/>
          <w:spacing w:val="6"/>
        </w:rPr>
        <w:t> </w:t>
      </w:r>
      <w:r>
        <w:rPr/>
        <w:t>股。</w:t>
      </w:r>
    </w:p>
    <w:p>
      <w:pPr>
        <w:pStyle w:val="Heading2"/>
        <w:spacing w:line="312" w:lineRule="auto" w:before="47"/>
        <w:ind w:right="7545"/>
        <w:jc w:val="left"/>
        <w:rPr>
          <w:rFonts w:ascii="宋体" w:hAnsi="宋体" w:cs="宋体" w:eastAsia="宋体" w:hint="default"/>
          <w:b w:val="0"/>
          <w:bCs w:val="0"/>
        </w:rPr>
      </w:pPr>
      <w:r>
        <w:rPr>
          <w:rFonts w:ascii="Times New Roman" w:hAnsi="Times New Roman" w:cs="Times New Roman" w:eastAsia="Times New Roman" w:hint="default"/>
        </w:rPr>
        <w:t>3</w:t>
      </w:r>
      <w:r>
        <w:rPr/>
        <w:t>、销售退回</w:t>
      </w:r>
      <w:r>
        <w:rPr>
          <w:spacing w:val="-56"/>
        </w:rPr>
        <w:t> </w:t>
      </w:r>
      <w:r>
        <w:rPr>
          <w:spacing w:val="-56"/>
        </w:rPr>
      </w:r>
      <w:r>
        <w:rPr>
          <w:rFonts w:ascii="宋体" w:hAnsi="宋体" w:cs="宋体" w:eastAsia="宋体" w:hint="default"/>
          <w:b w:val="0"/>
          <w:bCs w:val="0"/>
        </w:rPr>
        <w:t>无</w:t>
      </w:r>
    </w:p>
    <w:p>
      <w:pPr>
        <w:spacing w:before="5"/>
        <w:ind w:left="1101" w:right="2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、其他资产负债表日后事项说明</w:t>
      </w:r>
      <w:r>
        <w:rPr>
          <w:rFonts w:ascii="Microsoft JhengHei" w:hAnsi="Microsoft JhengHei" w:cs="Microsoft JhengHei" w:eastAsia="Microsoft JhengHei" w:hint="default"/>
          <w:sz w:val="24"/>
          <w:szCs w:val="24"/>
        </w:rPr>
      </w:r>
    </w:p>
    <w:p>
      <w:pPr>
        <w:pStyle w:val="BodyText"/>
        <w:spacing w:line="240" w:lineRule="auto" w:before="127"/>
        <w:ind w:left="1101" w:right="225"/>
        <w:jc w:val="left"/>
      </w:pPr>
      <w:r>
        <w:rPr>
          <w:rFonts w:ascii="Calibri" w:hAnsi="Calibri" w:cs="Calibri" w:eastAsia="Calibri" w:hint="default"/>
        </w:rPr>
        <w:t>1</w:t>
      </w:r>
      <w:r>
        <w:rPr/>
        <w:t>、重要的资产负债表日后事项说明</w:t>
      </w:r>
    </w:p>
    <w:p>
      <w:pPr>
        <w:pStyle w:val="BodyText"/>
        <w:spacing w:line="468" w:lineRule="exact" w:before="29"/>
        <w:ind w:left="622" w:right="239" w:firstLine="479"/>
        <w:jc w:val="left"/>
      </w:pPr>
      <w:r>
        <w:rPr>
          <w:rFonts w:ascii="Calibri" w:hAnsi="Calibri" w:cs="Calibri" w:eastAsia="Calibri" w:hint="default"/>
        </w:rPr>
        <w:t>2015</w:t>
      </w:r>
      <w:r>
        <w:rPr/>
        <w:t>年</w:t>
      </w:r>
      <w:r>
        <w:rPr>
          <w:rFonts w:ascii="Calibri" w:hAnsi="Calibri" w:cs="Calibri" w:eastAsia="Calibri" w:hint="default"/>
        </w:rPr>
        <w:t>11</w:t>
      </w:r>
      <w:r>
        <w:rPr/>
        <w:t>月</w:t>
      </w:r>
      <w:r>
        <w:rPr>
          <w:rFonts w:ascii="Calibri" w:hAnsi="Calibri" w:cs="Calibri" w:eastAsia="Calibri" w:hint="default"/>
        </w:rPr>
        <w:t>5</w:t>
      </w:r>
      <w:r>
        <w:rPr/>
        <w:t>日，公司第三届董事会薪酬与考核委员会第五次会议对《激励计划》 首次授予的限制性股票第二个解锁期解锁条件是否达成情况及激励对象名单进行了核 查，认为：除邹继媛、史大伟、范新国和仇巍巍等</w:t>
      </w:r>
      <w:r>
        <w:rPr>
          <w:rFonts w:ascii="Calibri" w:hAnsi="Calibri" w:cs="Calibri" w:eastAsia="Calibri" w:hint="default"/>
        </w:rPr>
        <w:t>4</w:t>
      </w:r>
      <w:r>
        <w:rPr/>
        <w:t>名原激励对象因个人原因已离职， 不满足解锁条件外，其余</w:t>
      </w:r>
      <w:r>
        <w:rPr>
          <w:rFonts w:ascii="Calibri" w:hAnsi="Calibri" w:cs="Calibri" w:eastAsia="Calibri" w:hint="default"/>
        </w:rPr>
        <w:t>89</w:t>
      </w:r>
      <w:r>
        <w:rPr/>
        <w:t>名激励对象其资格符合《上市公司股权激励管理办法（试 行）》、《股权激励有关事项备忘录</w:t>
      </w:r>
      <w:r>
        <w:rPr>
          <w:rFonts w:ascii="Calibri" w:hAnsi="Calibri" w:cs="Calibri" w:eastAsia="Calibri" w:hint="default"/>
        </w:rPr>
        <w:t>1-3</w:t>
      </w:r>
      <w:r>
        <w:rPr>
          <w:rFonts w:ascii="Calibri" w:hAnsi="Calibri" w:cs="Calibri" w:eastAsia="Calibri" w:hint="default"/>
          <w:spacing w:val="14"/>
        </w:rPr>
        <w:t> </w:t>
      </w:r>
      <w:r>
        <w:rPr/>
        <w:t>号》及公司《激励计划》等相关规定，且前述 </w:t>
      </w:r>
      <w:r>
        <w:rPr>
          <w:rFonts w:ascii="Calibri" w:hAnsi="Calibri" w:cs="Calibri" w:eastAsia="Calibri" w:hint="default"/>
        </w:rPr>
        <w:t>89</w:t>
      </w:r>
      <w:r>
        <w:rPr/>
        <w:t>名激励对象在考核年度内个人工作绩效考核结果均达到合格或以上标准，已满足公司</w:t>
      </w:r>
    </w:p>
    <w:p>
      <w:pPr>
        <w:pStyle w:val="BodyText"/>
        <w:spacing w:line="336" w:lineRule="auto" w:before="94"/>
        <w:ind w:left="622" w:right="213"/>
        <w:jc w:val="left"/>
      </w:pPr>
      <w:r>
        <w:rPr/>
        <w:t>《激励计划》、《限制性股票激励计划实施考核管理办法（修订稿）》等规定的解锁条 件，</w:t>
      </w:r>
      <w:r>
        <w:rPr>
          <w:rFonts w:ascii="Calibri" w:hAnsi="Calibri" w:cs="Calibri" w:eastAsia="Calibri" w:hint="default"/>
        </w:rPr>
        <w:t>89</w:t>
      </w:r>
      <w:r>
        <w:rPr/>
        <w:t>名可解锁的激励对象的主体资格合法、有效，且公司业绩指标以及其他第二个解 锁期解锁条件均已达成，同意公司按照《激励计划》的相关规定办理首次授予的限制性 股票第二个解锁期解锁相关事宜，解锁数量共计</w:t>
      </w:r>
      <w:r>
        <w:rPr>
          <w:rFonts w:ascii="Calibri" w:hAnsi="Calibri" w:cs="Calibri" w:eastAsia="Calibri" w:hint="default"/>
        </w:rPr>
        <w:t>1,011,365</w:t>
      </w:r>
      <w:r>
        <w:rPr/>
        <w:t>股。本次解锁的限制性股票上 市流通日为</w:t>
      </w:r>
      <w:r>
        <w:rPr>
          <w:rFonts w:ascii="Calibri" w:hAnsi="Calibri" w:cs="Calibri" w:eastAsia="Calibri" w:hint="default"/>
        </w:rPr>
        <w:t>2016</w:t>
      </w:r>
      <w:r>
        <w:rPr/>
        <w:t>年</w:t>
      </w:r>
      <w:r>
        <w:rPr>
          <w:rFonts w:ascii="Calibri" w:hAnsi="Calibri" w:cs="Calibri" w:eastAsia="Calibri" w:hint="default"/>
        </w:rPr>
        <w:t>1</w:t>
      </w:r>
      <w:r>
        <w:rPr/>
        <w:t>月</w:t>
      </w:r>
      <w:r>
        <w:rPr>
          <w:rFonts w:ascii="Calibri" w:hAnsi="Calibri" w:cs="Calibri" w:eastAsia="Calibri" w:hint="default"/>
        </w:rPr>
        <w:t>27</w:t>
      </w:r>
      <w:r>
        <w:rPr/>
        <w:t>日，本次限制性股票第二个解锁期的解锁数量为</w:t>
      </w:r>
      <w:r>
        <w:rPr>
          <w:rFonts w:ascii="Calibri" w:hAnsi="Calibri" w:cs="Calibri" w:eastAsia="Calibri" w:hint="default"/>
        </w:rPr>
        <w:t>1,011,365</w:t>
      </w:r>
      <w:r>
        <w:rPr/>
        <w:t>股， 占目前公司股本总额的</w:t>
      </w:r>
      <w:r>
        <w:rPr>
          <w:rFonts w:ascii="Calibri" w:hAnsi="Calibri" w:cs="Calibri" w:eastAsia="Calibri" w:hint="default"/>
        </w:rPr>
        <w:t>0.5165%</w:t>
      </w:r>
      <w:r>
        <w:rPr/>
        <w:t>；实际可上市流通数量为</w:t>
      </w:r>
      <w:r>
        <w:rPr>
          <w:rFonts w:ascii="Calibri" w:hAnsi="Calibri" w:cs="Calibri" w:eastAsia="Calibri" w:hint="default"/>
        </w:rPr>
        <w:t>1,011,365</w:t>
      </w:r>
      <w:r>
        <w:rPr/>
        <w:t>股，占公司股本总额 的</w:t>
      </w:r>
      <w:r>
        <w:rPr>
          <w:rFonts w:ascii="Calibri" w:hAnsi="Calibri" w:cs="Calibri" w:eastAsia="Calibri" w:hint="default"/>
        </w:rPr>
        <w:t>0.5165%</w:t>
      </w:r>
      <w:r>
        <w:rPr/>
        <w:t>。</w:t>
      </w:r>
    </w:p>
    <w:p>
      <w:pPr>
        <w:pStyle w:val="BodyText"/>
        <w:spacing w:line="340" w:lineRule="auto" w:before="6"/>
        <w:ind w:left="622" w:right="226" w:firstLine="479"/>
        <w:jc w:val="left"/>
      </w:pPr>
      <w:r>
        <w:rPr>
          <w:rFonts w:ascii="Calibri" w:hAnsi="Calibri" w:cs="Calibri" w:eastAsia="Calibri" w:hint="default"/>
        </w:rPr>
        <w:t>2</w:t>
      </w:r>
      <w:r>
        <w:rPr/>
        <w:t>、</w:t>
      </w:r>
      <w:r>
        <w:rPr>
          <w:rFonts w:ascii="Calibri" w:hAnsi="Calibri" w:cs="Calibri" w:eastAsia="Calibri" w:hint="default"/>
        </w:rPr>
        <w:t>2016</w:t>
      </w:r>
      <w:r>
        <w:rPr/>
        <w:t>年</w:t>
      </w:r>
      <w:r>
        <w:rPr>
          <w:rFonts w:ascii="Calibri" w:hAnsi="Calibri" w:cs="Calibri" w:eastAsia="Calibri" w:hint="default"/>
        </w:rPr>
        <w:t>1</w:t>
      </w:r>
      <w:r>
        <w:rPr/>
        <w:t>月</w:t>
      </w:r>
      <w:r>
        <w:rPr>
          <w:rFonts w:ascii="Calibri" w:hAnsi="Calibri" w:cs="Calibri" w:eastAsia="Calibri" w:hint="default"/>
        </w:rPr>
        <w:t>1</w:t>
      </w:r>
      <w:r>
        <w:rPr/>
        <w:t>日，公司召开了第三届董事会第十四次会议，会议审议通过了《关 于本次发行股份及支付现金购买资产并募集配套资金暨关联交易的方案的议案》，公司 拟以发行股份及支付现金方式购买孙在宏、吴长彬、蒋斌、张伟良、刘新平、王履华、 王亚华、胡永珍、吉波、江苏人才创新创业投资合伙企业（有限合伙）和江苏高投科贷 创业投资企业（有限合伙）等</w:t>
      </w:r>
      <w:r>
        <w:rPr>
          <w:rFonts w:ascii="Calibri" w:hAnsi="Calibri" w:cs="Calibri" w:eastAsia="Calibri" w:hint="default"/>
        </w:rPr>
        <w:t>11</w:t>
      </w:r>
      <w:r>
        <w:rPr/>
        <w:t>名股东合计持有的南京国图信息产业股份有限公司（以 下简称</w:t>
      </w:r>
      <w:r>
        <w:rPr>
          <w:rFonts w:ascii="Calibri" w:hAnsi="Calibri" w:cs="Calibri" w:eastAsia="Calibri" w:hint="default"/>
        </w:rPr>
        <w:t>“</w:t>
      </w:r>
      <w:r>
        <w:rPr/>
        <w:t>南京国图</w:t>
      </w:r>
      <w:r>
        <w:rPr>
          <w:rFonts w:ascii="Calibri" w:hAnsi="Calibri" w:cs="Calibri" w:eastAsia="Calibri" w:hint="default"/>
        </w:rPr>
        <w:t>”</w:t>
      </w:r>
      <w:r>
        <w:rPr/>
        <w:t>）</w:t>
      </w:r>
      <w:r>
        <w:rPr>
          <w:rFonts w:ascii="Calibri" w:hAnsi="Calibri" w:cs="Calibri" w:eastAsia="Calibri" w:hint="default"/>
        </w:rPr>
        <w:t>100%</w:t>
      </w:r>
      <w:r>
        <w:rPr/>
        <w:t>股权，同时，本集团拟向南京毅达汇聚股权投资企业（有限合 伙）、西南证券</w:t>
      </w:r>
      <w:r>
        <w:rPr>
          <w:rFonts w:ascii="Calibri" w:hAnsi="Calibri" w:cs="Calibri" w:eastAsia="Calibri" w:hint="default"/>
        </w:rPr>
        <w:t>-</w:t>
      </w:r>
      <w:r>
        <w:rPr/>
        <w:t>超图软件</w:t>
      </w:r>
      <w:r>
        <w:rPr>
          <w:rFonts w:ascii="Calibri" w:hAnsi="Calibri" w:cs="Calibri" w:eastAsia="Calibri" w:hint="default"/>
        </w:rPr>
        <w:t>1</w:t>
      </w:r>
      <w:r>
        <w:rPr/>
        <w:t>号定向资产管理计划、王继青、兴证资管鑫众</w:t>
      </w:r>
      <w:r>
        <w:rPr>
          <w:rFonts w:ascii="Calibri" w:hAnsi="Calibri" w:cs="Calibri" w:eastAsia="Calibri" w:hint="default"/>
        </w:rPr>
        <w:t>58</w:t>
      </w:r>
      <w:r>
        <w:rPr/>
        <w:t>号集合资产</w:t>
      </w:r>
    </w:p>
    <w:p>
      <w:pPr>
        <w:spacing w:after="0" w:line="340" w:lineRule="auto"/>
        <w:jc w:val="left"/>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BodyText"/>
        <w:spacing w:line="326" w:lineRule="auto" w:before="26"/>
        <w:ind w:left="622" w:right="166"/>
        <w:jc w:val="left"/>
      </w:pPr>
      <w:r>
        <w:rPr/>
        <w:t>管理计划、谛都融成基金投资（三明）有限公司等</w:t>
      </w:r>
      <w:r>
        <w:rPr>
          <w:rFonts w:ascii="Calibri" w:hAnsi="Calibri" w:cs="Calibri" w:eastAsia="Calibri" w:hint="default"/>
        </w:rPr>
        <w:t>5</w:t>
      </w:r>
      <w:r>
        <w:rPr/>
        <w:t>名特定对象非公开发行股份募集配 套资金不超过</w:t>
      </w:r>
      <w:r>
        <w:rPr>
          <w:rFonts w:ascii="Calibri" w:hAnsi="Calibri" w:cs="Calibri" w:eastAsia="Calibri" w:hint="default"/>
        </w:rPr>
        <w:t>46,800</w:t>
      </w:r>
      <w:r>
        <w:rPr/>
        <w:t>万元。</w:t>
      </w:r>
      <w:r>
        <w:rPr>
          <w:rFonts w:ascii="Calibri" w:hAnsi="Calibri" w:cs="Calibri" w:eastAsia="Calibri" w:hint="default"/>
        </w:rPr>
        <w:t>2016</w:t>
      </w:r>
      <w:r>
        <w:rPr/>
        <w:t>年</w:t>
      </w:r>
      <w:r>
        <w:rPr>
          <w:rFonts w:ascii="Calibri" w:hAnsi="Calibri" w:cs="Calibri" w:eastAsia="Calibri" w:hint="default"/>
        </w:rPr>
        <w:t>3</w:t>
      </w:r>
      <w:r>
        <w:rPr/>
        <w:t>月</w:t>
      </w:r>
      <w:r>
        <w:rPr>
          <w:rFonts w:ascii="Calibri" w:hAnsi="Calibri" w:cs="Calibri" w:eastAsia="Calibri" w:hint="default"/>
        </w:rPr>
        <w:t>9</w:t>
      </w:r>
      <w:r>
        <w:rPr/>
        <w:t>日，经中国证券监督管理委员会（以下简称</w:t>
      </w:r>
      <w:r>
        <w:rPr>
          <w:rFonts w:ascii="Calibri" w:hAnsi="Calibri" w:cs="Calibri" w:eastAsia="Calibri" w:hint="default"/>
        </w:rPr>
        <w:t>“</w:t>
      </w:r>
      <w:r>
        <w:rPr/>
        <w:t>中国 证监会</w:t>
      </w:r>
      <w:r>
        <w:rPr>
          <w:rFonts w:ascii="Calibri" w:hAnsi="Calibri" w:cs="Calibri" w:eastAsia="Calibri" w:hint="default"/>
        </w:rPr>
        <w:t>”</w:t>
      </w:r>
      <w:r>
        <w:rPr/>
        <w:t>）上市公司并购重组审核委员会</w:t>
      </w:r>
      <w:r>
        <w:rPr>
          <w:rFonts w:ascii="Calibri" w:hAnsi="Calibri" w:cs="Calibri" w:eastAsia="Calibri" w:hint="default"/>
        </w:rPr>
        <w:t>2016</w:t>
      </w:r>
      <w:r>
        <w:rPr/>
        <w:t>年第</w:t>
      </w:r>
      <w:r>
        <w:rPr>
          <w:rFonts w:ascii="Calibri" w:hAnsi="Calibri" w:cs="Calibri" w:eastAsia="Calibri" w:hint="default"/>
        </w:rPr>
        <w:t>17</w:t>
      </w:r>
      <w:r>
        <w:rPr/>
        <w:t>次并购重组委工作会议审核，本集 团发行股份购买资产并募集配套资金暨关联交易事项获得有条件通过。</w:t>
      </w:r>
    </w:p>
    <w:p>
      <w:pPr>
        <w:pStyle w:val="BodyText"/>
        <w:spacing w:line="240" w:lineRule="auto" w:before="67"/>
        <w:ind w:left="1101" w:right="225"/>
        <w:jc w:val="left"/>
      </w:pPr>
      <w:r>
        <w:rPr>
          <w:rFonts w:ascii="Calibri" w:hAnsi="Calibri" w:cs="Calibri" w:eastAsia="Calibri" w:hint="default"/>
        </w:rPr>
        <w:t>3</w:t>
      </w:r>
      <w:r>
        <w:rPr/>
        <w:t>、其他资产负债表日后事项说明</w:t>
      </w:r>
    </w:p>
    <w:p>
      <w:pPr>
        <w:pStyle w:val="BodyText"/>
        <w:spacing w:line="326" w:lineRule="auto" w:before="123"/>
        <w:ind w:left="622" w:right="214" w:firstLine="479"/>
        <w:jc w:val="both"/>
      </w:pPr>
      <w:r>
        <w:rPr>
          <w:rFonts w:ascii="Calibri" w:hAnsi="Calibri" w:cs="Calibri" w:eastAsia="Calibri" w:hint="default"/>
        </w:rPr>
        <w:t>2016</w:t>
      </w:r>
      <w:r>
        <w:rPr/>
        <w:t>年</w:t>
      </w:r>
      <w:r>
        <w:rPr>
          <w:rFonts w:ascii="Calibri" w:hAnsi="Calibri" w:cs="Calibri" w:eastAsia="Calibri" w:hint="default"/>
        </w:rPr>
        <w:t>2</w:t>
      </w:r>
      <w:r>
        <w:rPr/>
        <w:t>月</w:t>
      </w:r>
      <w:r>
        <w:rPr>
          <w:rFonts w:ascii="Calibri" w:hAnsi="Calibri" w:cs="Calibri" w:eastAsia="Calibri" w:hint="default"/>
        </w:rPr>
        <w:t>16</w:t>
      </w:r>
      <w:r>
        <w:rPr/>
        <w:t>日，本集团与全资子公司成都超图数据技术有限公司（以下简称</w:t>
      </w:r>
      <w:r>
        <w:rPr>
          <w:rFonts w:ascii="Calibri" w:hAnsi="Calibri" w:cs="Calibri" w:eastAsia="Calibri" w:hint="default"/>
        </w:rPr>
        <w:t>“</w:t>
      </w:r>
      <w:r>
        <w:rPr/>
        <w:t>超图 数据</w:t>
      </w:r>
      <w:r>
        <w:rPr>
          <w:rFonts w:ascii="Calibri" w:hAnsi="Calibri" w:cs="Calibri" w:eastAsia="Calibri" w:hint="default"/>
        </w:rPr>
        <w:t>”</w:t>
      </w:r>
      <w:r>
        <w:rPr/>
        <w:t>）签署《出资转让协议书》。公司将在成都地图慧科技有限公司（以下简称</w:t>
      </w:r>
      <w:r>
        <w:rPr>
          <w:rFonts w:ascii="Calibri" w:hAnsi="Calibri" w:cs="Calibri" w:eastAsia="Calibri" w:hint="default"/>
        </w:rPr>
        <w:t>“</w:t>
      </w:r>
      <w:r>
        <w:rPr/>
        <w:t>地图 慧</w:t>
      </w:r>
      <w:r>
        <w:rPr>
          <w:rFonts w:ascii="Calibri" w:hAnsi="Calibri" w:cs="Calibri" w:eastAsia="Calibri" w:hint="default"/>
        </w:rPr>
        <w:t>”</w:t>
      </w:r>
      <w:r>
        <w:rPr/>
        <w:t>）的全部出资</w:t>
      </w:r>
      <w:r>
        <w:rPr>
          <w:rFonts w:ascii="Calibri" w:hAnsi="Calibri" w:cs="Calibri" w:eastAsia="Calibri" w:hint="default"/>
        </w:rPr>
        <w:t>880</w:t>
      </w:r>
      <w:r>
        <w:rPr/>
        <w:t>万元（占公司注册资本的</w:t>
      </w:r>
      <w:r>
        <w:rPr>
          <w:rFonts w:ascii="Calibri" w:hAnsi="Calibri" w:cs="Calibri" w:eastAsia="Calibri" w:hint="default"/>
        </w:rPr>
        <w:t>80%</w:t>
      </w:r>
      <w:r>
        <w:rPr/>
        <w:t>）转让给超图数据，本次股权转让的 转让价款为</w:t>
      </w:r>
      <w:r>
        <w:rPr>
          <w:rFonts w:ascii="Calibri" w:hAnsi="Calibri" w:cs="Calibri" w:eastAsia="Calibri" w:hint="default"/>
        </w:rPr>
        <w:t>880</w:t>
      </w:r>
      <w:r>
        <w:rPr/>
        <w:t>万元。其中，无形资产出资部分</w:t>
      </w:r>
      <w:r>
        <w:rPr>
          <w:rFonts w:ascii="Calibri" w:hAnsi="Calibri" w:cs="Calibri" w:eastAsia="Calibri" w:hint="default"/>
        </w:rPr>
        <w:t>697.23</w:t>
      </w:r>
      <w:r>
        <w:rPr/>
        <w:t>万元的转让价格为人民币</w:t>
      </w:r>
      <w:r>
        <w:rPr>
          <w:rFonts w:ascii="Calibri" w:hAnsi="Calibri" w:cs="Calibri" w:eastAsia="Calibri" w:hint="default"/>
        </w:rPr>
        <w:t>697.23</w:t>
      </w:r>
      <w:r>
        <w:rPr/>
        <w:t>万 元，货币出资</w:t>
      </w:r>
      <w:r>
        <w:rPr>
          <w:rFonts w:ascii="Calibri" w:hAnsi="Calibri" w:cs="Calibri" w:eastAsia="Calibri" w:hint="default"/>
        </w:rPr>
        <w:t>182.77</w:t>
      </w:r>
      <w:r>
        <w:rPr/>
        <w:t>万元的转让价格为人民币</w:t>
      </w:r>
      <w:r>
        <w:rPr>
          <w:rFonts w:ascii="Calibri" w:hAnsi="Calibri" w:cs="Calibri" w:eastAsia="Calibri" w:hint="default"/>
        </w:rPr>
        <w:t>182.77</w:t>
      </w:r>
      <w:r>
        <w:rPr/>
        <w:t>万元。根据《深圳证券交易所股票</w:t>
      </w:r>
    </w:p>
    <w:p>
      <w:pPr>
        <w:pStyle w:val="BodyText"/>
        <w:spacing w:line="357" w:lineRule="auto" w:before="17"/>
        <w:ind w:left="622" w:right="224"/>
        <w:jc w:val="left"/>
      </w:pPr>
      <w:r>
        <w:rPr/>
        <w:t>上市规则》和《公司章程》的有关规定，该项交易无需提交公司董事会和股东大会审 批，仅需要提交公司总经理办公会审议，公司已经履行了相应的审批程序，地图慧公司 召开了股东会审议通过。超图数据为公司的全资子公司，本次出售股权事项不构成关联 交易，也不构成《上市公司重大资产重组管理办法》规定的重大资产重组。</w:t>
      </w:r>
    </w:p>
    <w:p>
      <w:pPr>
        <w:pStyle w:val="BodyText"/>
        <w:spacing w:line="240" w:lineRule="auto"/>
        <w:ind w:left="1101" w:right="225"/>
        <w:jc w:val="left"/>
      </w:pPr>
      <w:r>
        <w:rPr/>
        <w:t>截至</w:t>
      </w:r>
      <w:r>
        <w:rPr>
          <w:rFonts w:ascii="Calibri" w:hAnsi="Calibri" w:cs="Calibri" w:eastAsia="Calibri" w:hint="default"/>
        </w:rPr>
        <w:t>2016</w:t>
      </w:r>
      <w:r>
        <w:rPr/>
        <w:t>年</w:t>
      </w:r>
      <w:r>
        <w:rPr>
          <w:rFonts w:ascii="Calibri" w:hAnsi="Calibri" w:cs="Calibri" w:eastAsia="Calibri" w:hint="default"/>
        </w:rPr>
        <w:t>3</w:t>
      </w:r>
      <w:r>
        <w:rPr/>
        <w:t>月</w:t>
      </w:r>
      <w:r>
        <w:rPr>
          <w:rFonts w:ascii="Calibri" w:hAnsi="Calibri" w:cs="Calibri" w:eastAsia="Calibri" w:hint="default"/>
        </w:rPr>
        <w:t>18</w:t>
      </w:r>
      <w:r>
        <w:rPr/>
        <w:t>日，本集团不存在其他应披露的资产负债表日后事项。</w:t>
      </w:r>
    </w:p>
    <w:p>
      <w:pPr>
        <w:spacing w:line="240" w:lineRule="auto" w:before="7"/>
        <w:rPr>
          <w:rFonts w:ascii="宋体" w:hAnsi="宋体" w:cs="宋体" w:eastAsia="宋体" w:hint="default"/>
          <w:sz w:val="33"/>
          <w:szCs w:val="33"/>
        </w:rPr>
      </w:pPr>
    </w:p>
    <w:p>
      <w:pPr>
        <w:pStyle w:val="Heading2"/>
        <w:spacing w:line="403" w:lineRule="exact"/>
        <w:ind w:right="225"/>
        <w:jc w:val="left"/>
        <w:rPr>
          <w:b w:val="0"/>
          <w:bCs w:val="0"/>
        </w:rPr>
      </w:pPr>
      <w:bookmarkStart w:name="_bookmark83" w:id="84"/>
      <w:bookmarkEnd w:id="84"/>
      <w:r>
        <w:rPr>
          <w:b w:val="0"/>
          <w:bCs w:val="0"/>
        </w:rPr>
      </w:r>
      <w:r>
        <w:rPr/>
        <w:t>十五、其他重要事项</w:t>
      </w:r>
      <w:r>
        <w:rPr>
          <w:b w:val="0"/>
          <w:bCs w:val="0"/>
        </w:rPr>
      </w:r>
    </w:p>
    <w:p>
      <w:pPr>
        <w:spacing w:line="312" w:lineRule="auto" w:before="0"/>
        <w:ind w:left="1101" w:right="658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、前期会计差错更正</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无</w:t>
      </w:r>
    </w:p>
    <w:p>
      <w:pPr>
        <w:spacing w:line="307" w:lineRule="auto" w:before="5"/>
        <w:ind w:left="1101" w:right="7425"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、债务重组</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、资产置换</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、年金计划</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、终止经营</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不存在此情形 </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、分部信息</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无</w:t>
      </w:r>
    </w:p>
    <w:p>
      <w:pPr>
        <w:spacing w:after="0" w:line="307" w:lineRule="auto"/>
        <w:jc w:val="left"/>
        <w:rPr>
          <w:rFonts w:ascii="宋体" w:hAnsi="宋体" w:cs="宋体" w:eastAsia="宋体" w:hint="default"/>
          <w:sz w:val="24"/>
          <w:szCs w:val="24"/>
        </w:rPr>
        <w:sectPr>
          <w:pgSz w:w="11910" w:h="16840"/>
          <w:pgMar w:header="884" w:footer="1085" w:top="1300" w:bottom="1280" w:left="1080" w:right="840"/>
        </w:sectPr>
      </w:pPr>
    </w:p>
    <w:p>
      <w:pPr>
        <w:spacing w:line="240" w:lineRule="auto" w:before="7"/>
        <w:rPr>
          <w:rFonts w:ascii="宋体" w:hAnsi="宋体" w:cs="宋体" w:eastAsia="宋体" w:hint="default"/>
          <w:sz w:val="10"/>
          <w:szCs w:val="10"/>
        </w:rPr>
      </w:pPr>
    </w:p>
    <w:p>
      <w:pPr>
        <w:pStyle w:val="Heading2"/>
        <w:spacing w:line="367" w:lineRule="exact"/>
        <w:ind w:right="2025"/>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pStyle w:val="BodyText"/>
        <w:spacing w:line="240" w:lineRule="auto" w:before="126"/>
        <w:ind w:left="1101" w:right="2025"/>
        <w:jc w:val="left"/>
      </w:pPr>
      <w:r>
        <w:rPr/>
        <w:t>无</w:t>
      </w:r>
    </w:p>
    <w:p>
      <w:pPr>
        <w:pStyle w:val="BodyText"/>
        <w:spacing w:line="312" w:lineRule="auto" w:before="77"/>
        <w:ind w:left="1101" w:right="585"/>
        <w:jc w:val="left"/>
      </w:pPr>
      <w:r>
        <w:rPr>
          <w:rFonts w:ascii="Times New Roman" w:hAnsi="Times New Roman" w:cs="Times New Roman" w:eastAsia="Times New Roman" w:hint="default"/>
          <w:b/>
          <w:bCs/>
        </w:rPr>
        <w:t>8</w:t>
      </w:r>
      <w:r>
        <w:rPr>
          <w:rFonts w:ascii="Microsoft JhengHei" w:hAnsi="Microsoft JhengHei" w:cs="Microsoft JhengHei" w:eastAsia="Microsoft JhengHei" w:hint="default"/>
          <w:b/>
          <w:bCs/>
        </w:rPr>
        <w:t>、其他 </w:t>
      </w:r>
      <w:r>
        <w:rPr/>
        <w:t>本集团拟以地图慧业务资产出资与现有地图慧业务部分员工共同设立控股子公司成</w:t>
      </w:r>
    </w:p>
    <w:p>
      <w:pPr>
        <w:pStyle w:val="BodyText"/>
        <w:spacing w:line="326" w:lineRule="auto" w:before="82"/>
        <w:ind w:left="622" w:right="584"/>
        <w:jc w:val="left"/>
      </w:pPr>
      <w:r>
        <w:rPr/>
        <w:t>都地图慧科技有限公司（暂定，以最终工商登记名称为准，以下简称：</w:t>
      </w:r>
      <w:r>
        <w:rPr>
          <w:rFonts w:ascii="Calibri" w:hAnsi="Calibri" w:cs="Calibri" w:eastAsia="Calibri" w:hint="default"/>
        </w:rPr>
        <w:t>“</w:t>
      </w:r>
      <w:r>
        <w:rPr/>
        <w:t>地图慧公 司</w:t>
      </w:r>
      <w:r>
        <w:rPr>
          <w:rFonts w:ascii="Calibri" w:hAnsi="Calibri" w:cs="Calibri" w:eastAsia="Calibri" w:hint="default"/>
        </w:rPr>
        <w:t>”</w:t>
      </w:r>
      <w:r>
        <w:rPr/>
        <w:t>），该公司设立完成之后将成为公司地图慧业务的主体，主要提供互联网地</w:t>
      </w:r>
      <w:r>
        <w:rPr>
          <w:spacing w:val="5"/>
        </w:rPr>
        <w:t> </w:t>
      </w:r>
      <w:r>
        <w:rPr/>
        <w:t>图服</w:t>
      </w:r>
      <w:r>
        <w:rPr/>
        <w:t> 务、企业级</w:t>
      </w:r>
      <w:r>
        <w:rPr>
          <w:rFonts w:ascii="Calibri" w:hAnsi="Calibri" w:cs="Calibri" w:eastAsia="Calibri" w:hint="default"/>
        </w:rPr>
        <w:t>GIS</w:t>
      </w:r>
      <w:r>
        <w:rPr/>
        <w:t>和</w:t>
      </w:r>
      <w:r>
        <w:rPr>
          <w:rFonts w:ascii="Calibri" w:hAnsi="Calibri" w:cs="Calibri" w:eastAsia="Calibri" w:hint="default"/>
        </w:rPr>
        <w:t>LBS</w:t>
      </w:r>
      <w:r>
        <w:rPr/>
        <w:t>应用服务、商业分析服务以及位置相关大数据服务。本事项已经 </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1</w:t>
      </w:r>
      <w:r>
        <w:rPr/>
        <w:t>日公司第三届董事会第十二次会议审议通过。根据《深圳证券交易所创业 板股票上市规则》以及《公司章程》、公司《对外投资管理制度》等的规定，本次投资</w:t>
      </w:r>
    </w:p>
    <w:p>
      <w:pPr>
        <w:pStyle w:val="BodyText"/>
        <w:spacing w:line="357" w:lineRule="auto" w:before="67"/>
        <w:ind w:left="622" w:right="602"/>
        <w:jc w:val="both"/>
      </w:pPr>
      <w:r>
        <w:rPr/>
        <w:t>事项没有超出董事会的审批权限，无需提交股东大会审议。根据《深圳证券交易所创业 板股票上市规则》及相关法律法规的规定，本次对外投资不构成关联交易，不属于《上 市公司重大资产重组管理办法》规定的重大资产重组。</w:t>
      </w:r>
    </w:p>
    <w:p>
      <w:pPr>
        <w:pStyle w:val="BodyText"/>
        <w:spacing w:line="326" w:lineRule="auto"/>
        <w:ind w:left="622" w:right="692" w:firstLine="479"/>
        <w:jc w:val="both"/>
      </w:pP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28</w:t>
      </w:r>
      <w:r>
        <w:rPr/>
        <w:t>日，本集团公司控股股东、实际控制人钟耳顺先生因个人资金需要将 其所持有的公司高管锁定股</w:t>
      </w:r>
      <w:r>
        <w:rPr>
          <w:rFonts w:ascii="Calibri" w:hAnsi="Calibri" w:cs="Calibri" w:eastAsia="Calibri" w:hint="default"/>
        </w:rPr>
        <w:t>120</w:t>
      </w:r>
      <w:r>
        <w:rPr/>
        <w:t>万股质押给国元证券股份有限公司，办理股票质押式回 购业务，初始交易日为</w:t>
      </w: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28</w:t>
      </w:r>
      <w:r>
        <w:rPr/>
        <w:t>日，购回交易日为</w:t>
      </w:r>
      <w:r>
        <w:rPr>
          <w:rFonts w:ascii="Calibri" w:hAnsi="Calibri" w:cs="Calibri" w:eastAsia="Calibri" w:hint="default"/>
        </w:rPr>
        <w:t>2016</w:t>
      </w:r>
      <w:r>
        <w:rPr/>
        <w:t>年</w:t>
      </w:r>
      <w:r>
        <w:rPr>
          <w:rFonts w:ascii="Calibri" w:hAnsi="Calibri" w:cs="Calibri" w:eastAsia="Calibri" w:hint="default"/>
        </w:rPr>
        <w:t>4</w:t>
      </w:r>
      <w:r>
        <w:rPr>
          <w:rFonts w:ascii="Calibri" w:hAnsi="Calibri" w:cs="Calibri" w:eastAsia="Calibri" w:hint="default"/>
          <w:spacing w:val="6"/>
        </w:rPr>
        <w:t> </w:t>
      </w:r>
      <w:r>
        <w:rPr/>
        <w:t>月</w:t>
      </w:r>
      <w:r>
        <w:rPr>
          <w:rFonts w:ascii="Calibri" w:hAnsi="Calibri" w:cs="Calibri" w:eastAsia="Calibri" w:hint="default"/>
        </w:rPr>
        <w:t>28</w:t>
      </w:r>
      <w:r>
        <w:rPr/>
        <w:t>日。本次业务相关 股权质押登记手续已于</w:t>
      </w:r>
      <w:r>
        <w:rPr>
          <w:rFonts w:ascii="Calibri" w:hAnsi="Calibri" w:cs="Calibri" w:eastAsia="Calibri" w:hint="default"/>
        </w:rPr>
        <w:t>2015</w:t>
      </w:r>
      <w:r>
        <w:rPr/>
        <w:t>年</w:t>
      </w:r>
      <w:r>
        <w:rPr>
          <w:rFonts w:ascii="Calibri" w:hAnsi="Calibri" w:cs="Calibri" w:eastAsia="Calibri" w:hint="default"/>
        </w:rPr>
        <w:t>4</w:t>
      </w:r>
      <w:r>
        <w:rPr/>
        <w:t>月</w:t>
      </w:r>
      <w:r>
        <w:rPr>
          <w:rFonts w:ascii="Calibri" w:hAnsi="Calibri" w:cs="Calibri" w:eastAsia="Calibri" w:hint="default"/>
        </w:rPr>
        <w:t>28</w:t>
      </w:r>
      <w:r>
        <w:rPr/>
        <w:t>日通过中国证券登记结算有限责任公司深圳分公司 办理。</w:t>
      </w:r>
    </w:p>
    <w:p>
      <w:pPr>
        <w:pStyle w:val="BodyText"/>
        <w:spacing w:line="240" w:lineRule="auto" w:before="67"/>
        <w:ind w:left="1101" w:right="2025"/>
        <w:jc w:val="left"/>
      </w:pPr>
      <w:r>
        <w:rPr/>
        <w:t>截至</w:t>
      </w:r>
      <w:r>
        <w:rPr>
          <w:rFonts w:ascii="Calibri" w:hAnsi="Calibri" w:cs="Calibri" w:eastAsia="Calibri" w:hint="default"/>
        </w:rPr>
        <w:t>2015</w:t>
      </w:r>
      <w:r>
        <w:rPr/>
        <w:t>年</w:t>
      </w:r>
      <w:r>
        <w:rPr>
          <w:rFonts w:ascii="Calibri" w:hAnsi="Calibri" w:cs="Calibri" w:eastAsia="Calibri" w:hint="default"/>
        </w:rPr>
        <w:t>12</w:t>
      </w:r>
      <w:r>
        <w:rPr/>
        <w:t>月</w:t>
      </w:r>
      <w:r>
        <w:rPr>
          <w:rFonts w:ascii="Calibri" w:hAnsi="Calibri" w:cs="Calibri" w:eastAsia="Calibri" w:hint="default"/>
        </w:rPr>
        <w:t>31</w:t>
      </w:r>
      <w:r>
        <w:rPr/>
        <w:t>日，本集团不存在应披露的其他重要事项。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4" w:footer="1085" w:top="1300" w:bottom="1280" w:left="1080" w:right="480"/>
        </w:sectPr>
      </w:pPr>
    </w:p>
    <w:p>
      <w:pPr>
        <w:pStyle w:val="Heading2"/>
        <w:spacing w:line="353" w:lineRule="exact"/>
        <w:ind w:right="-7"/>
        <w:jc w:val="left"/>
        <w:rPr>
          <w:b w:val="0"/>
          <w:bCs w:val="0"/>
        </w:rPr>
      </w:pPr>
      <w:bookmarkStart w:name="_bookmark84" w:id="85"/>
      <w:bookmarkEnd w:id="85"/>
      <w:r>
        <w:rPr>
          <w:b w:val="0"/>
          <w:bCs w:val="0"/>
        </w:rPr>
      </w:r>
      <w:r>
        <w:rPr/>
        <w:t>十六、母公司财务报表主要项目注释</w:t>
      </w:r>
      <w:r>
        <w:rPr>
          <w:b w:val="0"/>
          <w:bCs w:val="0"/>
        </w:rPr>
      </w:r>
    </w:p>
    <w:p>
      <w:pPr>
        <w:spacing w:line="403" w:lineRule="exact" w:before="0"/>
        <w:ind w:left="1101" w:right="-7"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spacing w:before="50"/>
        <w:ind w:left="1101" w:right="-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）应收账款分类披露</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1"/>
        <w:rPr>
          <w:rFonts w:ascii="Microsoft JhengHei" w:hAnsi="Microsoft JhengHei" w:cs="Microsoft JhengHei" w:eastAsia="Microsoft JhengHei" w:hint="default"/>
          <w:b/>
          <w:bCs/>
          <w:sz w:val="29"/>
          <w:szCs w:val="29"/>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480"/>
          <w:cols w:num="2" w:equalWidth="0">
            <w:col w:w="4955" w:space="2700"/>
            <w:col w:w="2695"/>
          </w:cols>
        </w:sectPr>
      </w:pPr>
    </w:p>
    <w:p>
      <w:pPr>
        <w:spacing w:line="240" w:lineRule="auto" w:before="12"/>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1634"/>
        <w:gridCol w:w="764"/>
        <w:gridCol w:w="761"/>
        <w:gridCol w:w="763"/>
        <w:gridCol w:w="761"/>
        <w:gridCol w:w="790"/>
        <w:gridCol w:w="766"/>
        <w:gridCol w:w="850"/>
        <w:gridCol w:w="850"/>
        <w:gridCol w:w="696"/>
        <w:gridCol w:w="934"/>
      </w:tblGrid>
      <w:tr>
        <w:trPr>
          <w:trHeight w:val="31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48"/>
              <w:ind w:left="283" w:right="7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4" w:right="7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 w:right="0"/>
              <w:jc w:val="left"/>
              <w:rPr>
                <w:rFonts w:ascii="Calibri" w:hAnsi="Calibri" w:cs="Calibri" w:eastAsia="Calibri" w:hint="default"/>
                <w:sz w:val="21"/>
                <w:szCs w:val="21"/>
              </w:rPr>
            </w:pPr>
            <w:r>
              <w:rPr>
                <w:rFonts w:ascii="Calibri"/>
                <w:sz w:val="21"/>
              </w:rPr>
              <w:t>189,241</w:t>
            </w:r>
          </w:p>
          <w:p>
            <w:pPr>
              <w:pStyle w:val="TableParagraph"/>
              <w:spacing w:line="240" w:lineRule="auto" w:before="55"/>
              <w:ind w:left="91" w:right="0"/>
              <w:jc w:val="left"/>
              <w:rPr>
                <w:rFonts w:ascii="Calibri" w:hAnsi="Calibri" w:cs="Calibri" w:eastAsia="Calibri" w:hint="default"/>
                <w:sz w:val="21"/>
                <w:szCs w:val="21"/>
              </w:rPr>
            </w:pPr>
            <w:r>
              <w:rPr>
                <w:rFonts w:ascii="Calibri"/>
                <w:sz w:val="21"/>
              </w:rPr>
              <w:t>,774.18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22"/>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1" w:right="0"/>
              <w:jc w:val="left"/>
              <w:rPr>
                <w:rFonts w:ascii="Calibri" w:hAnsi="Calibri" w:cs="Calibri" w:eastAsia="Calibri" w:hint="default"/>
                <w:sz w:val="21"/>
                <w:szCs w:val="21"/>
              </w:rPr>
            </w:pPr>
            <w:r>
              <w:rPr>
                <w:rFonts w:ascii="Calibri"/>
                <w:sz w:val="21"/>
              </w:rPr>
              <w:t>41,803,</w:t>
            </w:r>
          </w:p>
          <w:p>
            <w:pPr>
              <w:pStyle w:val="TableParagraph"/>
              <w:spacing w:line="240" w:lineRule="auto" w:before="55"/>
              <w:ind w:left="141" w:right="0"/>
              <w:jc w:val="left"/>
              <w:rPr>
                <w:rFonts w:ascii="Calibri" w:hAnsi="Calibri" w:cs="Calibri" w:eastAsia="Calibri" w:hint="default"/>
                <w:sz w:val="21"/>
                <w:szCs w:val="21"/>
              </w:rPr>
            </w:pPr>
            <w:r>
              <w:rPr>
                <w:rFonts w:ascii="Calibri"/>
                <w:sz w:val="21"/>
              </w:rPr>
              <w:t>125.43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22.09%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4" w:right="0"/>
              <w:jc w:val="left"/>
              <w:rPr>
                <w:rFonts w:ascii="Calibri" w:hAnsi="Calibri" w:cs="Calibri" w:eastAsia="Calibri" w:hint="default"/>
                <w:sz w:val="21"/>
                <w:szCs w:val="21"/>
              </w:rPr>
            </w:pPr>
            <w:r>
              <w:rPr>
                <w:rFonts w:ascii="Calibri"/>
                <w:sz w:val="21"/>
              </w:rPr>
              <w:t>147,438</w:t>
            </w:r>
          </w:p>
          <w:p>
            <w:pPr>
              <w:pStyle w:val="TableParagraph"/>
              <w:spacing w:line="240" w:lineRule="auto" w:before="55"/>
              <w:ind w:left="117" w:right="0"/>
              <w:jc w:val="left"/>
              <w:rPr>
                <w:rFonts w:ascii="Calibri" w:hAnsi="Calibri" w:cs="Calibri" w:eastAsia="Calibri" w:hint="default"/>
                <w:sz w:val="21"/>
                <w:szCs w:val="21"/>
              </w:rPr>
            </w:pPr>
            <w:r>
              <w:rPr>
                <w:rFonts w:ascii="Calibri"/>
                <w:sz w:val="21"/>
              </w:rPr>
              <w:t>,648.75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left"/>
              <w:rPr>
                <w:rFonts w:ascii="Calibri" w:hAnsi="Calibri" w:cs="Calibri" w:eastAsia="Calibri" w:hint="default"/>
                <w:sz w:val="21"/>
                <w:szCs w:val="21"/>
              </w:rPr>
            </w:pPr>
            <w:r>
              <w:rPr>
                <w:rFonts w:ascii="Calibri"/>
                <w:sz w:val="21"/>
              </w:rPr>
              <w:t>172,622</w:t>
            </w:r>
          </w:p>
          <w:p>
            <w:pPr>
              <w:pStyle w:val="TableParagraph"/>
              <w:spacing w:line="240" w:lineRule="auto" w:before="55"/>
              <w:ind w:left="93" w:right="0"/>
              <w:jc w:val="left"/>
              <w:rPr>
                <w:rFonts w:ascii="Calibri" w:hAnsi="Calibri" w:cs="Calibri" w:eastAsia="Calibri" w:hint="default"/>
                <w:sz w:val="21"/>
                <w:szCs w:val="21"/>
              </w:rPr>
            </w:pPr>
            <w:r>
              <w:rPr>
                <w:rFonts w:ascii="Calibri"/>
                <w:sz w:val="21"/>
              </w:rPr>
              <w:t>,017.87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8" w:right="0"/>
              <w:jc w:val="center"/>
              <w:rPr>
                <w:rFonts w:ascii="Calibri" w:hAnsi="Calibri" w:cs="Calibri" w:eastAsia="Calibri" w:hint="default"/>
                <w:sz w:val="21"/>
                <w:szCs w:val="21"/>
              </w:rPr>
            </w:pPr>
            <w:r>
              <w:rPr>
                <w:rFonts w:ascii="Calibri"/>
                <w:sz w:val="21"/>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4" w:right="0"/>
              <w:jc w:val="left"/>
              <w:rPr>
                <w:rFonts w:ascii="Calibri" w:hAnsi="Calibri" w:cs="Calibri" w:eastAsia="Calibri" w:hint="default"/>
                <w:sz w:val="21"/>
                <w:szCs w:val="21"/>
              </w:rPr>
            </w:pPr>
            <w:r>
              <w:rPr>
                <w:rFonts w:ascii="Calibri"/>
                <w:sz w:val="21"/>
              </w:rPr>
              <w:t>38,051,3</w:t>
            </w:r>
          </w:p>
          <w:p>
            <w:pPr>
              <w:pStyle w:val="TableParagraph"/>
              <w:spacing w:line="240" w:lineRule="auto" w:before="55"/>
              <w:ind w:left="340" w:right="0"/>
              <w:jc w:val="left"/>
              <w:rPr>
                <w:rFonts w:ascii="Calibri" w:hAnsi="Calibri" w:cs="Calibri" w:eastAsia="Calibri" w:hint="default"/>
                <w:sz w:val="21"/>
                <w:szCs w:val="21"/>
              </w:rPr>
            </w:pPr>
            <w:r>
              <w:rPr>
                <w:rFonts w:ascii="Calibri"/>
                <w:sz w:val="21"/>
              </w:rPr>
              <w:t>20.85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5" w:right="0"/>
              <w:jc w:val="left"/>
              <w:rPr>
                <w:rFonts w:ascii="Calibri" w:hAnsi="Calibri" w:cs="Calibri" w:eastAsia="Calibri" w:hint="default"/>
                <w:sz w:val="21"/>
                <w:szCs w:val="21"/>
              </w:rPr>
            </w:pPr>
            <w:r>
              <w:rPr>
                <w:rFonts w:ascii="Calibri"/>
                <w:sz w:val="21"/>
              </w:rPr>
              <w:t>22.04%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134,570,6</w:t>
            </w:r>
          </w:p>
          <w:p>
            <w:pPr>
              <w:pStyle w:val="TableParagraph"/>
              <w:spacing w:line="240" w:lineRule="auto" w:before="55"/>
              <w:ind w:left="422" w:right="0"/>
              <w:jc w:val="left"/>
              <w:rPr>
                <w:rFonts w:ascii="Calibri" w:hAnsi="Calibri" w:cs="Calibri" w:eastAsia="Calibri" w:hint="default"/>
                <w:sz w:val="21"/>
                <w:szCs w:val="21"/>
              </w:rPr>
            </w:pPr>
            <w:r>
              <w:rPr>
                <w:rFonts w:ascii="Calibri"/>
                <w:sz w:val="21"/>
              </w:rPr>
              <w:t>97.02</w:t>
            </w:r>
          </w:p>
        </w:tc>
      </w:tr>
      <w:tr>
        <w:trPr>
          <w:trHeight w:val="63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 w:right="0"/>
              <w:jc w:val="left"/>
              <w:rPr>
                <w:rFonts w:ascii="Calibri" w:hAnsi="Calibri" w:cs="Calibri" w:eastAsia="Calibri" w:hint="default"/>
                <w:sz w:val="21"/>
                <w:szCs w:val="21"/>
              </w:rPr>
            </w:pPr>
            <w:r>
              <w:rPr>
                <w:rFonts w:ascii="Calibri"/>
                <w:sz w:val="21"/>
              </w:rPr>
              <w:t>189,241</w:t>
            </w:r>
          </w:p>
          <w:p>
            <w:pPr>
              <w:pStyle w:val="TableParagraph"/>
              <w:spacing w:line="240" w:lineRule="auto" w:before="55"/>
              <w:ind w:left="91" w:right="0"/>
              <w:jc w:val="left"/>
              <w:rPr>
                <w:rFonts w:ascii="Calibri" w:hAnsi="Calibri" w:cs="Calibri" w:eastAsia="Calibri" w:hint="default"/>
                <w:sz w:val="21"/>
                <w:szCs w:val="21"/>
              </w:rPr>
            </w:pPr>
            <w:r>
              <w:rPr>
                <w:rFonts w:ascii="Calibri"/>
                <w:sz w:val="21"/>
              </w:rPr>
              <w:t>,774.18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 w:right="0"/>
              <w:jc w:val="left"/>
              <w:rPr>
                <w:rFonts w:ascii="Calibri" w:hAnsi="Calibri" w:cs="Calibri" w:eastAsia="Calibri" w:hint="default"/>
                <w:sz w:val="21"/>
                <w:szCs w:val="21"/>
              </w:rPr>
            </w:pPr>
            <w:r>
              <w:rPr>
                <w:rFonts w:ascii="Calibri"/>
                <w:sz w:val="21"/>
              </w:rPr>
              <w:t>41,803,</w:t>
            </w:r>
          </w:p>
          <w:p>
            <w:pPr>
              <w:pStyle w:val="TableParagraph"/>
              <w:spacing w:line="240" w:lineRule="auto" w:before="55"/>
              <w:ind w:left="141" w:right="0"/>
              <w:jc w:val="left"/>
              <w:rPr>
                <w:rFonts w:ascii="Calibri" w:hAnsi="Calibri" w:cs="Calibri" w:eastAsia="Calibri" w:hint="default"/>
                <w:sz w:val="21"/>
                <w:szCs w:val="21"/>
              </w:rPr>
            </w:pPr>
            <w:r>
              <w:rPr>
                <w:rFonts w:ascii="Calibri"/>
                <w:sz w:val="21"/>
              </w:rPr>
              <w:t>125.43</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 w:right="0"/>
              <w:jc w:val="left"/>
              <w:rPr>
                <w:rFonts w:ascii="Calibri" w:hAnsi="Calibri" w:cs="Calibri" w:eastAsia="Calibri" w:hint="default"/>
                <w:sz w:val="21"/>
                <w:szCs w:val="21"/>
              </w:rPr>
            </w:pPr>
            <w:r>
              <w:rPr>
                <w:rFonts w:ascii="Calibri"/>
                <w:sz w:val="21"/>
              </w:rPr>
              <w:t>147,438</w:t>
            </w:r>
          </w:p>
          <w:p>
            <w:pPr>
              <w:pStyle w:val="TableParagraph"/>
              <w:spacing w:line="240" w:lineRule="auto" w:before="55"/>
              <w:ind w:left="117" w:right="0"/>
              <w:jc w:val="left"/>
              <w:rPr>
                <w:rFonts w:ascii="Calibri" w:hAnsi="Calibri" w:cs="Calibri" w:eastAsia="Calibri" w:hint="default"/>
                <w:sz w:val="21"/>
                <w:szCs w:val="21"/>
              </w:rPr>
            </w:pPr>
            <w:r>
              <w:rPr>
                <w:rFonts w:ascii="Calibri"/>
                <w:sz w:val="21"/>
              </w:rPr>
              <w:t>,648.75</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 w:right="0"/>
              <w:jc w:val="left"/>
              <w:rPr>
                <w:rFonts w:ascii="Calibri" w:hAnsi="Calibri" w:cs="Calibri" w:eastAsia="Calibri" w:hint="default"/>
                <w:sz w:val="21"/>
                <w:szCs w:val="21"/>
              </w:rPr>
            </w:pPr>
            <w:r>
              <w:rPr>
                <w:rFonts w:ascii="Calibri"/>
                <w:sz w:val="21"/>
              </w:rPr>
              <w:t>172,622</w:t>
            </w:r>
          </w:p>
          <w:p>
            <w:pPr>
              <w:pStyle w:val="TableParagraph"/>
              <w:spacing w:line="240" w:lineRule="auto" w:before="55"/>
              <w:ind w:left="93" w:right="0"/>
              <w:jc w:val="left"/>
              <w:rPr>
                <w:rFonts w:ascii="Calibri" w:hAnsi="Calibri" w:cs="Calibri" w:eastAsia="Calibri" w:hint="default"/>
                <w:sz w:val="21"/>
                <w:szCs w:val="21"/>
              </w:rPr>
            </w:pPr>
            <w:r>
              <w:rPr>
                <w:rFonts w:ascii="Calibri"/>
                <w:sz w:val="21"/>
              </w:rPr>
              <w:t>,017.87</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 w:right="0"/>
              <w:jc w:val="left"/>
              <w:rPr>
                <w:rFonts w:ascii="Calibri" w:hAnsi="Calibri" w:cs="Calibri" w:eastAsia="Calibri" w:hint="default"/>
                <w:sz w:val="21"/>
                <w:szCs w:val="21"/>
              </w:rPr>
            </w:pPr>
            <w:r>
              <w:rPr>
                <w:rFonts w:ascii="Calibri"/>
                <w:sz w:val="21"/>
              </w:rPr>
              <w:t>38,051,3</w:t>
            </w:r>
          </w:p>
          <w:p>
            <w:pPr>
              <w:pStyle w:val="TableParagraph"/>
              <w:spacing w:line="240" w:lineRule="auto" w:before="55"/>
              <w:ind w:left="340" w:right="0"/>
              <w:jc w:val="left"/>
              <w:rPr>
                <w:rFonts w:ascii="Calibri" w:hAnsi="Calibri" w:cs="Calibri" w:eastAsia="Calibri" w:hint="default"/>
                <w:sz w:val="21"/>
                <w:szCs w:val="21"/>
              </w:rPr>
            </w:pPr>
            <w:r>
              <w:rPr>
                <w:rFonts w:ascii="Calibri"/>
                <w:sz w:val="21"/>
              </w:rPr>
              <w:t>20.85</w:t>
            </w:r>
          </w:p>
        </w:tc>
        <w:tc>
          <w:tcPr>
            <w:tcW w:w="69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Calibri" w:hAnsi="Calibri" w:cs="Calibri" w:eastAsia="Calibri" w:hint="default"/>
                <w:sz w:val="21"/>
                <w:szCs w:val="21"/>
              </w:rPr>
            </w:pPr>
            <w:r>
              <w:rPr>
                <w:rFonts w:ascii="Calibri"/>
                <w:sz w:val="21"/>
              </w:rPr>
              <w:t>134,570,6</w:t>
            </w:r>
          </w:p>
          <w:p>
            <w:pPr>
              <w:pStyle w:val="TableParagraph"/>
              <w:spacing w:line="240" w:lineRule="auto" w:before="55"/>
              <w:ind w:left="422" w:right="0"/>
              <w:jc w:val="left"/>
              <w:rPr>
                <w:rFonts w:ascii="Calibri" w:hAnsi="Calibri" w:cs="Calibri" w:eastAsia="Calibri" w:hint="default"/>
                <w:sz w:val="21"/>
                <w:szCs w:val="21"/>
              </w:rPr>
            </w:pPr>
            <w:r>
              <w:rPr>
                <w:rFonts w:ascii="Calibri"/>
                <w:sz w:val="21"/>
              </w:rPr>
              <w:t>97.02</w:t>
            </w:r>
          </w:p>
        </w:tc>
      </w:tr>
    </w:tbl>
    <w:p>
      <w:pPr>
        <w:pStyle w:val="BodyText"/>
        <w:spacing w:line="240" w:lineRule="auto" w:before="39"/>
        <w:ind w:left="1101" w:right="2025"/>
        <w:jc w:val="left"/>
      </w:pPr>
      <w:r>
        <w:rPr/>
        <w:t>期末单项金额重大并单项计提坏账准备的应收账款：</w:t>
      </w:r>
    </w:p>
    <w:p>
      <w:pPr>
        <w:spacing w:after="0" w:line="240" w:lineRule="auto"/>
        <w:jc w:val="left"/>
        <w:sectPr>
          <w:type w:val="continuous"/>
          <w:pgSz w:w="11910" w:h="16840"/>
          <w:pgMar w:top="1100" w:bottom="1280" w:left="1080" w:right="480"/>
        </w:sectPr>
      </w:pP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4" w:footer="1085" w:top="1300" w:bottom="1280" w:left="1080" w:right="480"/>
        </w:sectPr>
      </w:pPr>
    </w:p>
    <w:p>
      <w:pPr>
        <w:pStyle w:val="BodyText"/>
        <w:spacing w:line="326" w:lineRule="auto" w:before="26"/>
        <w:ind w:left="1101" w:right="-19"/>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组合中，按账龄分析法计提坏账准备的应收账款：</w:t>
      </w:r>
    </w:p>
    <w:p>
      <w:pPr>
        <w:pStyle w:val="BodyText"/>
        <w:spacing w:line="240" w:lineRule="auto" w:before="67"/>
        <w:ind w:left="1101" w:right="-1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3"/>
        <w:ind w:left="1102" w:right="0"/>
        <w:jc w:val="left"/>
      </w:pPr>
      <w:r>
        <w:rPr/>
        <w:t>单位： 元</w:t>
      </w:r>
    </w:p>
    <w:p>
      <w:pPr>
        <w:spacing w:after="0" w:line="240" w:lineRule="auto"/>
        <w:jc w:val="left"/>
        <w:sectPr>
          <w:type w:val="continuous"/>
          <w:pgSz w:w="11910" w:h="16840"/>
          <w:pgMar w:top="1100" w:bottom="1280" w:left="1080" w:right="480"/>
          <w:cols w:num="2" w:equalWidth="0">
            <w:col w:w="6383" w:space="1273"/>
            <w:col w:w="2694"/>
          </w:cols>
        </w:sectPr>
      </w:pP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2494"/>
        <w:gridCol w:w="2295"/>
        <w:gridCol w:w="2391"/>
        <w:gridCol w:w="2388"/>
      </w:tblGrid>
      <w:tr>
        <w:trPr>
          <w:trHeight w:val="16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42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15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16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年以内分项</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3"/>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126,503,714.82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1"/>
                <w:sz w:val="21"/>
              </w:rPr>
              <w:t>6,325,185.74</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5.00%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27,479,792.02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5,495,958.40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10,552,572.11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5,276,286.06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24,705,695.23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24,705,695.23</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189,241,774.18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41,803,125.43</w:t>
            </w:r>
          </w:p>
        </w:tc>
        <w:tc>
          <w:tcPr>
            <w:tcW w:w="23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39"/>
        <w:ind w:left="1101" w:right="3465"/>
        <w:jc w:val="left"/>
      </w:pPr>
      <w:r>
        <w:rPr/>
        <w:t>确定该组合依据的说明： 组合中，采用余额百分比法计提坏账准备的应收账款：</w:t>
      </w:r>
    </w:p>
    <w:p>
      <w:pPr>
        <w:pStyle w:val="BodyText"/>
        <w:spacing w:line="326" w:lineRule="auto"/>
        <w:ind w:left="1101" w:right="3945"/>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组合中，采用其他方法计提坏账准备的应收账款：</w:t>
      </w:r>
    </w:p>
    <w:p>
      <w:pPr>
        <w:pStyle w:val="BodyText"/>
        <w:spacing w:line="240" w:lineRule="auto" w:before="67"/>
        <w:ind w:left="110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02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26"/>
        <w:ind w:left="1101" w:right="585"/>
        <w:jc w:val="left"/>
      </w:pPr>
      <w:r>
        <w:rPr/>
        <w:t>本期计提坏账准备金额</w:t>
      </w:r>
      <w:r>
        <w:rPr>
          <w:spacing w:val="-62"/>
        </w:rPr>
        <w:t> </w:t>
      </w:r>
      <w:r>
        <w:rPr>
          <w:rFonts w:ascii="Calibri" w:hAnsi="Calibri" w:cs="Calibri" w:eastAsia="Calibri" w:hint="default"/>
        </w:rPr>
        <w:t>3,751,804.58</w:t>
      </w:r>
      <w:r>
        <w:rPr>
          <w:rFonts w:ascii="Calibri" w:hAnsi="Calibri" w:cs="Calibri" w:eastAsia="Calibri" w:hint="default"/>
          <w:spacing w:val="5"/>
        </w:rPr>
        <w:t> </w:t>
      </w:r>
      <w:r>
        <w:rPr/>
        <w:t>元；本期收回或转回坏账准备金额</w:t>
      </w:r>
      <w:r>
        <w:rPr>
          <w:spacing w:val="-62"/>
        </w:rPr>
        <w:t> </w:t>
      </w:r>
      <w:r>
        <w:rPr>
          <w:rFonts w:ascii="Calibri" w:hAnsi="Calibri" w:cs="Calibri" w:eastAsia="Calibri" w:hint="default"/>
        </w:rPr>
        <w:t>0.00</w:t>
      </w:r>
      <w:r>
        <w:rPr>
          <w:rFonts w:ascii="Calibri" w:hAnsi="Calibri" w:cs="Calibri" w:eastAsia="Calibri" w:hint="default"/>
          <w:spacing w:val="4"/>
        </w:rPr>
        <w:t> </w:t>
      </w:r>
      <w:r>
        <w:rPr/>
        <w:t>元。</w:t>
      </w:r>
    </w:p>
    <w:p>
      <w:pPr>
        <w:pStyle w:val="Heading2"/>
        <w:spacing w:line="312" w:lineRule="auto" w:before="47"/>
        <w:ind w:right="550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）本期实际核销的应收账款情况</w:t>
      </w:r>
      <w:r>
        <w:rPr>
          <w:spacing w:val="-49"/>
        </w:rPr>
        <w:t> </w:t>
      </w:r>
      <w:r>
        <w:rPr>
          <w:spacing w:val="-49"/>
        </w:rPr>
      </w:r>
      <w:r>
        <w:rPr>
          <w:rFonts w:ascii="宋体" w:hAnsi="宋体" w:cs="宋体" w:eastAsia="宋体" w:hint="default"/>
          <w:b w:val="0"/>
          <w:bCs w:val="0"/>
        </w:rPr>
        <w:t>无</w:t>
      </w:r>
    </w:p>
    <w:p>
      <w:pPr>
        <w:spacing w:line="312" w:lineRule="auto" w:before="5"/>
        <w:ind w:left="1101" w:right="628"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）按欠款方归集的期末余额前五名的应收账款情况</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本期按欠款方归集的期末余额前五名应收账款汇总金额</w:t>
      </w:r>
      <w:r>
        <w:rPr>
          <w:rFonts w:ascii="Calibri" w:hAnsi="Calibri" w:cs="Calibri" w:eastAsia="Calibri" w:hint="default"/>
          <w:sz w:val="24"/>
          <w:szCs w:val="24"/>
        </w:rPr>
        <w:t>26,885,142.00</w:t>
      </w:r>
      <w:r>
        <w:rPr>
          <w:rFonts w:ascii="宋体" w:hAnsi="宋体" w:cs="宋体" w:eastAsia="宋体" w:hint="default"/>
          <w:sz w:val="24"/>
          <w:szCs w:val="24"/>
        </w:rPr>
        <w:t>元，占应收账</w:t>
      </w:r>
    </w:p>
    <w:p>
      <w:pPr>
        <w:pStyle w:val="BodyText"/>
        <w:spacing w:line="240" w:lineRule="auto" w:before="35"/>
        <w:ind w:left="622" w:right="585"/>
        <w:jc w:val="left"/>
        <w:rPr>
          <w:rFonts w:ascii="Calibri" w:hAnsi="Calibri" w:cs="Calibri" w:eastAsia="Calibri" w:hint="default"/>
        </w:rPr>
      </w:pPr>
      <w:r>
        <w:rPr/>
        <w:t>款期末余额合计数的比例</w:t>
      </w:r>
      <w:r>
        <w:rPr>
          <w:rFonts w:ascii="Calibri" w:hAnsi="Calibri" w:cs="Calibri" w:eastAsia="Calibri" w:hint="default"/>
        </w:rPr>
        <w:t>14.21%</w:t>
      </w:r>
      <w:r>
        <w:rPr/>
        <w:t>，相应计提的坏账准备期末余额汇总金额</w:t>
      </w:r>
      <w:r>
        <w:rPr>
          <w:spacing w:val="1"/>
        </w:rPr>
        <w:t> </w:t>
      </w:r>
      <w:r>
        <w:rPr>
          <w:rFonts w:ascii="Calibri" w:hAnsi="Calibri" w:cs="Calibri" w:eastAsia="Calibri" w:hint="default"/>
        </w:rPr>
        <w:t>5,488,342.50</w:t>
      </w:r>
    </w:p>
    <w:p>
      <w:pPr>
        <w:pStyle w:val="BodyText"/>
        <w:spacing w:line="240" w:lineRule="auto" w:before="123"/>
        <w:ind w:left="622" w:right="2025"/>
        <w:jc w:val="left"/>
      </w:pPr>
      <w:r>
        <w:rPr/>
        <w:t>元。</w:t>
      </w:r>
    </w:p>
    <w:p>
      <w:pPr>
        <w:pStyle w:val="Heading2"/>
        <w:spacing w:line="312" w:lineRule="auto" w:before="78"/>
        <w:ind w:right="4345"/>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）因金融资产转移而终止确认的应收账款</w:t>
      </w:r>
      <w:r>
        <w:rPr>
          <w:spacing w:val="-45"/>
        </w:rPr>
        <w:t> </w:t>
      </w:r>
      <w:r>
        <w:rPr>
          <w:spacing w:val="-45"/>
        </w:rPr>
      </w:r>
      <w:r>
        <w:rPr>
          <w:rFonts w:ascii="宋体" w:hAnsi="宋体" w:cs="宋体" w:eastAsia="宋体" w:hint="default"/>
          <w:b w:val="0"/>
          <w:bCs w:val="0"/>
        </w:rPr>
        <w:t>无</w:t>
      </w:r>
    </w:p>
    <w:p>
      <w:pPr>
        <w:spacing w:line="312" w:lineRule="auto" w:before="5"/>
        <w:ind w:left="1101" w:right="346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）转移应收账款且继续涉入形成的资产、负债金额</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无</w:t>
      </w:r>
    </w:p>
    <w:p>
      <w:pPr>
        <w:spacing w:before="5"/>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、其他应收款</w:t>
      </w:r>
      <w:r>
        <w:rPr>
          <w:rFonts w:ascii="Microsoft JhengHei" w:hAnsi="Microsoft JhengHei" w:cs="Microsoft JhengHei" w:eastAsia="Microsoft JhengHei" w:hint="default"/>
          <w:sz w:val="24"/>
          <w:szCs w:val="24"/>
        </w:rPr>
      </w:r>
    </w:p>
    <w:p>
      <w:pPr>
        <w:spacing w:before="50"/>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）其他应收款分类披露</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 元</w:t>
      </w:r>
    </w:p>
    <w:p>
      <w:pPr>
        <w:spacing w:after="0" w:line="240" w:lineRule="auto"/>
        <w:jc w:val="right"/>
        <w:sectPr>
          <w:type w:val="continuous"/>
          <w:pgSz w:w="11910" w:h="16840"/>
          <w:pgMar w:top="1100" w:bottom="1280" w:left="1080" w:right="480"/>
        </w:sectPr>
      </w:pPr>
    </w:p>
    <w:p>
      <w:pPr>
        <w:spacing w:line="240" w:lineRule="auto" w:before="7"/>
        <w:rPr>
          <w:rFonts w:ascii="宋体" w:hAnsi="宋体" w:cs="宋体" w:eastAsia="宋体" w:hint="default"/>
          <w:sz w:val="9"/>
          <w:szCs w:val="9"/>
        </w:rPr>
      </w:pPr>
    </w:p>
    <w:tbl>
      <w:tblPr>
        <w:tblW w:w="0" w:type="auto"/>
        <w:jc w:val="left"/>
        <w:tblInd w:w="650" w:type="dxa"/>
        <w:tblLayout w:type="fixed"/>
        <w:tblCellMar>
          <w:top w:w="0" w:type="dxa"/>
          <w:left w:w="0" w:type="dxa"/>
          <w:bottom w:w="0" w:type="dxa"/>
          <w:right w:w="0" w:type="dxa"/>
        </w:tblCellMar>
        <w:tblLook w:val="01E0"/>
      </w:tblPr>
      <w:tblGrid>
        <w:gridCol w:w="1418"/>
        <w:gridCol w:w="980"/>
        <w:gridCol w:w="761"/>
        <w:gridCol w:w="763"/>
        <w:gridCol w:w="761"/>
        <w:gridCol w:w="790"/>
        <w:gridCol w:w="766"/>
        <w:gridCol w:w="651"/>
        <w:gridCol w:w="1049"/>
        <w:gridCol w:w="696"/>
        <w:gridCol w:w="934"/>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6" w:hRule="exact"/>
        </w:trPr>
        <w:tc>
          <w:tcPr>
            <w:tcW w:w="1418" w:type="dxa"/>
            <w:vMerge/>
            <w:tcBorders>
              <w:left w:val="single" w:sz="4" w:space="0" w:color="000000"/>
              <w:right w:val="single" w:sz="4" w:space="0" w:color="000000"/>
            </w:tcBorders>
            <w:shd w:val="clear" w:color="auto" w:fill="D2D2D2"/>
          </w:tcPr>
          <w:p>
            <w:pP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49"/>
              <w:ind w:left="283" w:right="7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26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 w:right="72"/>
              <w:jc w:val="center"/>
              <w:rPr>
                <w:rFonts w:ascii="宋体" w:hAnsi="宋体" w:cs="宋体" w:eastAsia="宋体" w:hint="default"/>
                <w:sz w:val="21"/>
                <w:szCs w:val="21"/>
              </w:rPr>
            </w:pPr>
            <w:r>
              <w:rPr>
                <w:rFonts w:ascii="宋体" w:hAnsi="宋体" w:cs="宋体" w:eastAsia="宋体" w:hint="default"/>
                <w:spacing w:val="-1"/>
                <w:sz w:val="21"/>
                <w:szCs w:val="21"/>
              </w:rPr>
              <w:t>按信用风险特</w:t>
            </w:r>
            <w:r>
              <w:rPr>
                <w:rFonts w:ascii="宋体" w:hAnsi="宋体" w:cs="宋体" w:eastAsia="宋体" w:hint="default"/>
                <w:w w:val="100"/>
                <w:sz w:val="21"/>
                <w:szCs w:val="21"/>
              </w:rPr>
              <w:t> </w:t>
            </w:r>
            <w:r>
              <w:rPr>
                <w:rFonts w:ascii="宋体" w:hAnsi="宋体" w:cs="宋体" w:eastAsia="宋体" w:hint="default"/>
                <w:spacing w:val="-1"/>
                <w:sz w:val="21"/>
                <w:szCs w:val="21"/>
              </w:rPr>
              <w:t>征组合计提坏</w:t>
            </w:r>
            <w:r>
              <w:rPr>
                <w:rFonts w:ascii="宋体" w:hAnsi="宋体" w:cs="宋体" w:eastAsia="宋体" w:hint="default"/>
                <w:w w:val="100"/>
                <w:sz w:val="21"/>
                <w:szCs w:val="21"/>
              </w:rPr>
              <w:t> </w:t>
            </w:r>
            <w:r>
              <w:rPr>
                <w:rFonts w:ascii="宋体" w:hAnsi="宋体" w:cs="宋体" w:eastAsia="宋体" w:hint="default"/>
                <w:spacing w:val="-1"/>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6" w:right="0"/>
              <w:jc w:val="left"/>
              <w:rPr>
                <w:rFonts w:ascii="Calibri" w:hAnsi="Calibri" w:cs="Calibri" w:eastAsia="Calibri" w:hint="default"/>
                <w:sz w:val="21"/>
                <w:szCs w:val="21"/>
              </w:rPr>
            </w:pPr>
            <w:r>
              <w:rPr>
                <w:rFonts w:ascii="Calibri"/>
                <w:sz w:val="21"/>
              </w:rPr>
              <w:t>34,454,88</w:t>
            </w:r>
          </w:p>
          <w:p>
            <w:pPr>
              <w:pStyle w:val="TableParagraph"/>
              <w:spacing w:line="240" w:lineRule="auto" w:before="55"/>
              <w:ind w:left="574" w:right="0"/>
              <w:jc w:val="left"/>
              <w:rPr>
                <w:rFonts w:ascii="Calibri" w:hAnsi="Calibri" w:cs="Calibri" w:eastAsia="Calibri" w:hint="default"/>
                <w:sz w:val="21"/>
                <w:szCs w:val="21"/>
              </w:rPr>
            </w:pPr>
            <w:r>
              <w:rPr>
                <w:rFonts w:ascii="Calibri"/>
                <w:sz w:val="21"/>
              </w:rPr>
              <w:t>6.49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22"/>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1" w:right="0"/>
              <w:jc w:val="left"/>
              <w:rPr>
                <w:rFonts w:ascii="Calibri" w:hAnsi="Calibri" w:cs="Calibri" w:eastAsia="Calibri" w:hint="default"/>
                <w:sz w:val="21"/>
                <w:szCs w:val="21"/>
              </w:rPr>
            </w:pPr>
            <w:r>
              <w:rPr>
                <w:rFonts w:ascii="Calibri"/>
                <w:sz w:val="21"/>
              </w:rPr>
              <w:t>12,069,</w:t>
            </w:r>
          </w:p>
          <w:p>
            <w:pPr>
              <w:pStyle w:val="TableParagraph"/>
              <w:spacing w:line="240" w:lineRule="auto" w:before="55"/>
              <w:ind w:left="141" w:right="0"/>
              <w:jc w:val="left"/>
              <w:rPr>
                <w:rFonts w:ascii="Calibri" w:hAnsi="Calibri" w:cs="Calibri" w:eastAsia="Calibri" w:hint="default"/>
                <w:sz w:val="21"/>
                <w:szCs w:val="21"/>
              </w:rPr>
            </w:pPr>
            <w:r>
              <w:rPr>
                <w:rFonts w:ascii="Calibri"/>
                <w:sz w:val="21"/>
              </w:rPr>
              <w:t>804.62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35.03%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9" w:right="0"/>
              <w:jc w:val="left"/>
              <w:rPr>
                <w:rFonts w:ascii="Calibri" w:hAnsi="Calibri" w:cs="Calibri" w:eastAsia="Calibri" w:hint="default"/>
                <w:sz w:val="21"/>
                <w:szCs w:val="21"/>
              </w:rPr>
            </w:pPr>
            <w:r>
              <w:rPr>
                <w:rFonts w:ascii="Calibri"/>
                <w:sz w:val="21"/>
              </w:rPr>
              <w:t>22,385,</w:t>
            </w:r>
          </w:p>
          <w:p>
            <w:pPr>
              <w:pStyle w:val="TableParagraph"/>
              <w:spacing w:line="240" w:lineRule="auto" w:before="55"/>
              <w:ind w:left="170" w:right="0"/>
              <w:jc w:val="left"/>
              <w:rPr>
                <w:rFonts w:ascii="Calibri" w:hAnsi="Calibri" w:cs="Calibri" w:eastAsia="Calibri" w:hint="default"/>
                <w:sz w:val="21"/>
                <w:szCs w:val="21"/>
              </w:rPr>
            </w:pPr>
            <w:r>
              <w:rPr>
                <w:rFonts w:ascii="Calibri"/>
                <w:sz w:val="21"/>
              </w:rPr>
              <w:t>081.87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6" w:right="0"/>
              <w:jc w:val="left"/>
              <w:rPr>
                <w:rFonts w:ascii="Calibri" w:hAnsi="Calibri" w:cs="Calibri" w:eastAsia="Calibri" w:hint="default"/>
                <w:sz w:val="21"/>
                <w:szCs w:val="21"/>
              </w:rPr>
            </w:pPr>
            <w:r>
              <w:rPr>
                <w:rFonts w:ascii="Calibri"/>
                <w:sz w:val="21"/>
              </w:rPr>
              <w:t>30,414,</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398.61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22"/>
              <w:jc w:val="right"/>
              <w:rPr>
                <w:rFonts w:ascii="Calibri" w:hAnsi="Calibri" w:cs="Calibri" w:eastAsia="Calibri" w:hint="default"/>
                <w:sz w:val="21"/>
                <w:szCs w:val="21"/>
              </w:rPr>
            </w:pPr>
            <w:r>
              <w:rPr>
                <w:rFonts w:ascii="Calibri"/>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13,296,745</w:t>
            </w:r>
          </w:p>
          <w:p>
            <w:pPr>
              <w:pStyle w:val="TableParagraph"/>
              <w:spacing w:line="240" w:lineRule="auto" w:before="55"/>
              <w:ind w:right="18"/>
              <w:jc w:val="right"/>
              <w:rPr>
                <w:rFonts w:ascii="Calibri" w:hAnsi="Calibri" w:cs="Calibri" w:eastAsia="Calibri" w:hint="default"/>
                <w:sz w:val="21"/>
                <w:szCs w:val="21"/>
              </w:rPr>
            </w:pPr>
            <w:r>
              <w:rPr>
                <w:rFonts w:ascii="Calibri"/>
                <w:spacing w:val="-1"/>
                <w:sz w:val="21"/>
              </w:rPr>
              <w:t>.98</w:t>
            </w:r>
            <w:r>
              <w:rPr>
                <w:rFonts w:ascii="Calibri"/>
                <w:sz w:val="21"/>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left"/>
              <w:rPr>
                <w:rFonts w:ascii="Calibri" w:hAnsi="Calibri" w:cs="Calibri" w:eastAsia="Calibri" w:hint="default"/>
                <w:sz w:val="21"/>
                <w:szCs w:val="21"/>
              </w:rPr>
            </w:pPr>
            <w:r>
              <w:rPr>
                <w:rFonts w:ascii="Calibri"/>
                <w:sz w:val="21"/>
              </w:rPr>
              <w:t>43.72%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17,117,65</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2.63</w:t>
            </w:r>
          </w:p>
        </w:tc>
      </w:tr>
      <w:tr>
        <w:trPr>
          <w:trHeight w:val="63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left"/>
              <w:rPr>
                <w:rFonts w:ascii="Calibri" w:hAnsi="Calibri" w:cs="Calibri" w:eastAsia="Calibri" w:hint="default"/>
                <w:sz w:val="21"/>
                <w:szCs w:val="21"/>
              </w:rPr>
            </w:pPr>
            <w:r>
              <w:rPr>
                <w:rFonts w:ascii="Calibri"/>
                <w:sz w:val="21"/>
              </w:rPr>
              <w:t>34,454,88</w:t>
            </w:r>
          </w:p>
          <w:p>
            <w:pPr>
              <w:pStyle w:val="TableParagraph"/>
              <w:spacing w:line="240" w:lineRule="auto" w:before="55"/>
              <w:ind w:left="574" w:right="0"/>
              <w:jc w:val="left"/>
              <w:rPr>
                <w:rFonts w:ascii="Calibri" w:hAnsi="Calibri" w:cs="Calibri" w:eastAsia="Calibri" w:hint="default"/>
                <w:sz w:val="21"/>
                <w:szCs w:val="21"/>
              </w:rPr>
            </w:pPr>
            <w:r>
              <w:rPr>
                <w:rFonts w:ascii="Calibri"/>
                <w:sz w:val="21"/>
              </w:rPr>
              <w:t>6.49</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1" w:right="0"/>
              <w:jc w:val="left"/>
              <w:rPr>
                <w:rFonts w:ascii="Calibri" w:hAnsi="Calibri" w:cs="Calibri" w:eastAsia="Calibri" w:hint="default"/>
                <w:sz w:val="21"/>
                <w:szCs w:val="21"/>
              </w:rPr>
            </w:pPr>
            <w:r>
              <w:rPr>
                <w:rFonts w:ascii="Calibri"/>
                <w:sz w:val="21"/>
              </w:rPr>
              <w:t>12,069,</w:t>
            </w:r>
          </w:p>
          <w:p>
            <w:pPr>
              <w:pStyle w:val="TableParagraph"/>
              <w:spacing w:line="240" w:lineRule="auto" w:before="55"/>
              <w:ind w:left="141" w:right="0"/>
              <w:jc w:val="left"/>
              <w:rPr>
                <w:rFonts w:ascii="Calibri" w:hAnsi="Calibri" w:cs="Calibri" w:eastAsia="Calibri" w:hint="default"/>
                <w:sz w:val="21"/>
                <w:szCs w:val="21"/>
              </w:rPr>
            </w:pPr>
            <w:r>
              <w:rPr>
                <w:rFonts w:ascii="Calibri"/>
                <w:sz w:val="21"/>
              </w:rPr>
              <w:t>804.62</w:t>
            </w: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Calibri" w:hAnsi="Calibri" w:cs="Calibri" w:eastAsia="Calibri" w:hint="default"/>
                <w:sz w:val="21"/>
                <w:szCs w:val="21"/>
              </w:rPr>
            </w:pPr>
            <w:r>
              <w:rPr>
                <w:rFonts w:ascii="Calibri"/>
                <w:sz w:val="21"/>
              </w:rPr>
              <w:t>22,385,</w:t>
            </w:r>
          </w:p>
          <w:p>
            <w:pPr>
              <w:pStyle w:val="TableParagraph"/>
              <w:spacing w:line="240" w:lineRule="auto" w:before="55"/>
              <w:ind w:left="170" w:right="0"/>
              <w:jc w:val="left"/>
              <w:rPr>
                <w:rFonts w:ascii="Calibri" w:hAnsi="Calibri" w:cs="Calibri" w:eastAsia="Calibri" w:hint="default"/>
                <w:sz w:val="21"/>
                <w:szCs w:val="21"/>
              </w:rPr>
            </w:pPr>
            <w:r>
              <w:rPr>
                <w:rFonts w:ascii="Calibri"/>
                <w:sz w:val="21"/>
              </w:rPr>
              <w:t>081.87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 w:right="0"/>
              <w:jc w:val="left"/>
              <w:rPr>
                <w:rFonts w:ascii="Calibri" w:hAnsi="Calibri" w:cs="Calibri" w:eastAsia="Calibri" w:hint="default"/>
                <w:sz w:val="21"/>
                <w:szCs w:val="21"/>
              </w:rPr>
            </w:pPr>
            <w:r>
              <w:rPr>
                <w:rFonts w:ascii="Calibri"/>
                <w:sz w:val="21"/>
              </w:rPr>
              <w:t>30,414,</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398.61</w:t>
            </w:r>
          </w:p>
        </w:tc>
        <w:tc>
          <w:tcPr>
            <w:tcW w:w="651"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13,296,745</w:t>
            </w:r>
          </w:p>
          <w:p>
            <w:pPr>
              <w:pStyle w:val="TableParagraph"/>
              <w:spacing w:line="240" w:lineRule="auto" w:before="55"/>
              <w:ind w:right="18"/>
              <w:jc w:val="right"/>
              <w:rPr>
                <w:rFonts w:ascii="Calibri" w:hAnsi="Calibri" w:cs="Calibri" w:eastAsia="Calibri" w:hint="default"/>
                <w:sz w:val="21"/>
                <w:szCs w:val="21"/>
              </w:rPr>
            </w:pPr>
            <w:r>
              <w:rPr>
                <w:rFonts w:ascii="Calibri"/>
                <w:spacing w:val="-1"/>
                <w:sz w:val="21"/>
              </w:rPr>
              <w:t>.98</w:t>
            </w:r>
            <w:r>
              <w:rPr>
                <w:rFonts w:ascii="Calibri"/>
                <w:sz w:val="21"/>
              </w:rPr>
            </w:r>
          </w:p>
        </w:tc>
        <w:tc>
          <w:tcPr>
            <w:tcW w:w="696"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 w:right="0"/>
              <w:jc w:val="left"/>
              <w:rPr>
                <w:rFonts w:ascii="Calibri" w:hAnsi="Calibri" w:cs="Calibri" w:eastAsia="Calibri" w:hint="default"/>
                <w:sz w:val="21"/>
                <w:szCs w:val="21"/>
              </w:rPr>
            </w:pPr>
            <w:r>
              <w:rPr>
                <w:rFonts w:ascii="Calibri"/>
                <w:sz w:val="21"/>
              </w:rPr>
              <w:t>17,117,65</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2.63</w:t>
            </w:r>
          </w:p>
        </w:tc>
      </w:tr>
    </w:tbl>
    <w:p>
      <w:pPr>
        <w:spacing w:after="0" w:line="240" w:lineRule="auto"/>
        <w:jc w:val="left"/>
        <w:rPr>
          <w:rFonts w:ascii="Calibri" w:hAnsi="Calibri" w:cs="Calibri" w:eastAsia="Calibri" w:hint="default"/>
          <w:sz w:val="21"/>
          <w:szCs w:val="21"/>
        </w:rPr>
        <w:sectPr>
          <w:footerReference w:type="default" r:id="rId61"/>
          <w:pgSz w:w="11910" w:h="16840"/>
          <w:pgMar w:footer="1085" w:header="884" w:top="1300" w:bottom="1280" w:left="1080" w:right="480"/>
        </w:sectPr>
      </w:pPr>
    </w:p>
    <w:p>
      <w:pPr>
        <w:pStyle w:val="BodyText"/>
        <w:spacing w:line="240" w:lineRule="auto" w:before="39"/>
        <w:ind w:left="1101" w:right="-19"/>
        <w:jc w:val="left"/>
      </w:pPr>
      <w:r>
        <w:rPr/>
        <w:t>期末单项金额重大并单项计提坏账准备的其他应收款：</w:t>
      </w:r>
    </w:p>
    <w:p>
      <w:pPr>
        <w:pStyle w:val="BodyText"/>
        <w:spacing w:line="326" w:lineRule="auto" w:before="154"/>
        <w:ind w:left="1101" w:right="221"/>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组合中，按账龄分析法计提坏账准备的其他应收款：</w:t>
      </w:r>
    </w:p>
    <w:p>
      <w:pPr>
        <w:pStyle w:val="BodyText"/>
        <w:spacing w:line="240" w:lineRule="auto" w:before="67"/>
        <w:ind w:left="1101" w:right="-1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480"/>
          <w:cols w:num="2" w:equalWidth="0">
            <w:col w:w="6863" w:space="793"/>
            <w:col w:w="2694"/>
          </w:cols>
        </w:sectPr>
      </w:pP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2494"/>
        <w:gridCol w:w="2295"/>
        <w:gridCol w:w="2391"/>
        <w:gridCol w:w="2388"/>
      </w:tblGrid>
      <w:tr>
        <w:trPr>
          <w:trHeight w:val="16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42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15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074" w:type="dxa"/>
            <w:gridSpan w:val="3"/>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6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16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年以内分项</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3"/>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30" w:right="0"/>
              <w:jc w:val="left"/>
              <w:rPr>
                <w:rFonts w:ascii="Calibri" w:hAnsi="Calibri" w:cs="Calibri" w:eastAsia="Calibri" w:hint="default"/>
                <w:sz w:val="21"/>
                <w:szCs w:val="21"/>
              </w:rPr>
            </w:pPr>
            <w:r>
              <w:rPr>
                <w:rFonts w:ascii="Calibri"/>
                <w:sz w:val="21"/>
              </w:rPr>
              <w:t>17,442,345.65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
              <w:jc w:val="center"/>
              <w:rPr>
                <w:rFonts w:ascii="Calibri" w:hAnsi="Calibri" w:cs="Calibri" w:eastAsia="Calibri" w:hint="default"/>
                <w:sz w:val="21"/>
                <w:szCs w:val="21"/>
              </w:rPr>
            </w:pPr>
            <w:r>
              <w:rPr>
                <w:rFonts w:ascii="Calibri"/>
                <w:sz w:val="21"/>
              </w:rPr>
              <w:t>872,117.28</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5.00%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3" w:right="0"/>
              <w:jc w:val="left"/>
              <w:rPr>
                <w:rFonts w:ascii="Calibri" w:hAnsi="Calibri" w:cs="Calibri" w:eastAsia="Calibri" w:hint="default"/>
                <w:sz w:val="21"/>
                <w:szCs w:val="21"/>
              </w:rPr>
            </w:pPr>
            <w:r>
              <w:rPr>
                <w:rFonts w:ascii="Calibri"/>
                <w:sz w:val="21"/>
              </w:rPr>
              <w:t>5,729,247.77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1,145,849.55</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3" w:right="0"/>
              <w:jc w:val="left"/>
              <w:rPr>
                <w:rFonts w:ascii="Calibri" w:hAnsi="Calibri" w:cs="Calibri" w:eastAsia="Calibri" w:hint="default"/>
                <w:sz w:val="21"/>
                <w:szCs w:val="21"/>
              </w:rPr>
            </w:pPr>
            <w:r>
              <w:rPr>
                <w:rFonts w:ascii="Calibri"/>
                <w:sz w:val="21"/>
              </w:rPr>
              <w:t>2,462,910.55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1,231,455.27</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3" w:right="0"/>
              <w:jc w:val="left"/>
              <w:rPr>
                <w:rFonts w:ascii="Calibri" w:hAnsi="Calibri" w:cs="Calibri" w:eastAsia="Calibri" w:hint="default"/>
                <w:sz w:val="21"/>
                <w:szCs w:val="21"/>
              </w:rPr>
            </w:pPr>
            <w:r>
              <w:rPr>
                <w:rFonts w:ascii="Calibri"/>
                <w:sz w:val="21"/>
              </w:rPr>
              <w:t>8,820,382.52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8,820,382.52</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100.00%</w:t>
            </w:r>
          </w:p>
        </w:tc>
      </w:tr>
      <w:tr>
        <w:trPr>
          <w:trHeight w:val="32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0" w:right="0"/>
              <w:jc w:val="left"/>
              <w:rPr>
                <w:rFonts w:ascii="Calibri" w:hAnsi="Calibri" w:cs="Calibri" w:eastAsia="Calibri" w:hint="default"/>
                <w:sz w:val="21"/>
                <w:szCs w:val="21"/>
              </w:rPr>
            </w:pPr>
            <w:r>
              <w:rPr>
                <w:rFonts w:ascii="Calibri"/>
                <w:sz w:val="21"/>
              </w:rPr>
              <w:t>34,454,886.49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Calibri" w:hAnsi="Calibri" w:cs="Calibri" w:eastAsia="Calibri" w:hint="default"/>
                <w:sz w:val="21"/>
                <w:szCs w:val="21"/>
              </w:rPr>
            </w:pPr>
            <w:r>
              <w:rPr>
                <w:rFonts w:ascii="Calibri"/>
                <w:sz w:val="21"/>
              </w:rPr>
              <w:t>12,069,804.62</w:t>
            </w:r>
          </w:p>
        </w:tc>
        <w:tc>
          <w:tcPr>
            <w:tcW w:w="23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39"/>
        <w:ind w:left="1101" w:right="3225"/>
        <w:jc w:val="left"/>
      </w:pPr>
      <w:r>
        <w:rPr/>
        <w:t>确定该组合依据的说明： 组合中，采用余额百分比法计提坏账准备的其他应收款：</w:t>
      </w:r>
    </w:p>
    <w:p>
      <w:pPr>
        <w:pStyle w:val="BodyText"/>
        <w:spacing w:line="326" w:lineRule="auto"/>
        <w:ind w:left="1101" w:right="3705"/>
        <w:jc w:val="left"/>
      </w:pPr>
      <w:r>
        <w:rPr>
          <w:rFonts w:ascii="Calibri" w:hAnsi="Calibri" w:cs="Calibri" w:eastAsia="Calibri" w:hint="default"/>
        </w:rPr>
        <w:t>□ </w:t>
      </w:r>
      <w:r>
        <w:rPr/>
        <w:t>适用 </w:t>
      </w:r>
      <w:r>
        <w:rPr>
          <w:rFonts w:ascii="Calibri" w:hAnsi="Calibri" w:cs="Calibri" w:eastAsia="Calibri" w:hint="default"/>
        </w:rPr>
        <w:t>√</w:t>
      </w:r>
      <w:r>
        <w:rPr>
          <w:rFonts w:ascii="Calibri" w:hAnsi="Calibri" w:cs="Calibri" w:eastAsia="Calibri" w:hint="default"/>
          <w:spacing w:val="21"/>
        </w:rPr>
        <w:t> </w:t>
      </w:r>
      <w:r>
        <w:rPr/>
        <w:t>不适用</w:t>
      </w:r>
      <w:r>
        <w:rPr>
          <w:w w:val="99"/>
        </w:rPr>
        <w:t> </w:t>
      </w:r>
      <w:r>
        <w:rPr/>
        <w:t>组合中，采用其他方法计提坏账准备的其他应收款：</w:t>
      </w:r>
    </w:p>
    <w:p>
      <w:pPr>
        <w:pStyle w:val="BodyText"/>
        <w:spacing w:line="240" w:lineRule="auto" w:before="67"/>
        <w:ind w:left="110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025"/>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26"/>
        <w:ind w:left="1101" w:right="585"/>
        <w:jc w:val="left"/>
      </w:pPr>
      <w:r>
        <w:rPr/>
        <w:t>本期计提坏账准备金额</w:t>
      </w:r>
      <w:r>
        <w:rPr>
          <w:spacing w:val="-61"/>
        </w:rPr>
        <w:t> </w:t>
      </w:r>
      <w:r>
        <w:rPr>
          <w:rFonts w:ascii="Calibri" w:hAnsi="Calibri" w:cs="Calibri" w:eastAsia="Calibri" w:hint="default"/>
        </w:rPr>
        <w:t>0.00</w:t>
      </w:r>
      <w:r>
        <w:rPr>
          <w:rFonts w:ascii="Calibri" w:hAnsi="Calibri" w:cs="Calibri" w:eastAsia="Calibri" w:hint="default"/>
          <w:spacing w:val="5"/>
        </w:rPr>
        <w:t> </w:t>
      </w:r>
      <w:r>
        <w:rPr/>
        <w:t>元；本期收回或转回坏账准备金额</w:t>
      </w:r>
      <w:r>
        <w:rPr>
          <w:spacing w:val="-60"/>
        </w:rPr>
        <w:t> </w:t>
      </w:r>
      <w:r>
        <w:rPr>
          <w:rFonts w:ascii="Calibri" w:hAnsi="Calibri" w:cs="Calibri" w:eastAsia="Calibri" w:hint="default"/>
        </w:rPr>
        <w:t>1,226,941.36</w:t>
      </w:r>
      <w:r>
        <w:rPr>
          <w:rFonts w:ascii="Calibri" w:hAnsi="Calibri" w:cs="Calibri" w:eastAsia="Calibri" w:hint="default"/>
          <w:spacing w:val="6"/>
        </w:rPr>
        <w:t> </w:t>
      </w:r>
      <w:r>
        <w:rPr/>
        <w:t>元。</w:t>
      </w:r>
    </w:p>
    <w:p>
      <w:pPr>
        <w:pStyle w:val="Heading2"/>
        <w:spacing w:line="312" w:lineRule="auto" w:before="47"/>
        <w:ind w:right="5265"/>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）本期实际核销的其他应收款情况</w:t>
      </w:r>
      <w:r>
        <w:rPr>
          <w:spacing w:val="-47"/>
        </w:rPr>
        <w:t> </w:t>
      </w:r>
      <w:r>
        <w:rPr>
          <w:spacing w:val="-47"/>
        </w:rPr>
      </w:r>
      <w:r>
        <w:rPr>
          <w:rFonts w:ascii="宋体" w:hAnsi="宋体" w:cs="宋体" w:eastAsia="宋体" w:hint="default"/>
          <w:b w:val="0"/>
          <w:bCs w:val="0"/>
        </w:rPr>
        <w:t>无</w:t>
      </w:r>
    </w:p>
    <w:p>
      <w:pPr>
        <w:spacing w:before="5"/>
        <w:ind w:left="1101" w:right="20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）其他应收款按款项性质分类情况</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0" w:right="507"/>
        <w:jc w:val="right"/>
      </w:pPr>
      <w:r>
        <w:rPr/>
        <w:t>单位： 元</w:t>
      </w:r>
    </w:p>
    <w:p>
      <w:pPr>
        <w:spacing w:line="240" w:lineRule="auto" w:before="12"/>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3241"/>
        <w:gridCol w:w="2984"/>
        <w:gridCol w:w="2982"/>
      </w:tblGrid>
      <w:tr>
        <w:trPr>
          <w:trHeight w:val="32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款项性质</w:t>
            </w:r>
            <w:r>
              <w:rPr>
                <w:rFonts w:ascii="Microsoft JhengHei" w:hAnsi="Microsoft JhengHei" w:cs="Microsoft JhengHei" w:eastAsia="Microsoft JhengHei" w:hint="default"/>
                <w:sz w:val="21"/>
                <w:szCs w:val="21"/>
              </w:rPr>
            </w:r>
          </w:p>
        </w:tc>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0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0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r>
        <w:trPr>
          <w:trHeight w:val="322" w:hRule="exact"/>
        </w:trPr>
        <w:tc>
          <w:tcPr>
            <w:tcW w:w="3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3" w:right="0"/>
              <w:jc w:val="left"/>
              <w:rPr>
                <w:rFonts w:ascii="Calibri" w:hAnsi="Calibri" w:cs="Calibri" w:eastAsia="Calibri" w:hint="default"/>
                <w:sz w:val="21"/>
                <w:szCs w:val="21"/>
              </w:rPr>
            </w:pPr>
            <w:r>
              <w:rPr>
                <w:rFonts w:ascii="Calibri"/>
                <w:sz w:val="21"/>
              </w:rPr>
              <w:t>13,118,362.34</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4" w:right="0"/>
              <w:jc w:val="left"/>
              <w:rPr>
                <w:rFonts w:ascii="Calibri" w:hAnsi="Calibri" w:cs="Calibri" w:eastAsia="Calibri" w:hint="default"/>
                <w:sz w:val="21"/>
                <w:szCs w:val="21"/>
              </w:rPr>
            </w:pPr>
            <w:r>
              <w:rPr>
                <w:rFonts w:ascii="Calibri"/>
                <w:sz w:val="21"/>
              </w:rPr>
              <w:t>14,333,486.80</w:t>
            </w:r>
          </w:p>
        </w:tc>
      </w:tr>
    </w:tbl>
    <w:p>
      <w:pPr>
        <w:spacing w:after="0" w:line="240" w:lineRule="auto"/>
        <w:jc w:val="left"/>
        <w:rPr>
          <w:rFonts w:ascii="Calibri" w:hAnsi="Calibri" w:cs="Calibri" w:eastAsia="Calibri" w:hint="default"/>
          <w:sz w:val="21"/>
          <w:szCs w:val="21"/>
        </w:rPr>
        <w:sectPr>
          <w:type w:val="continuous"/>
          <w:pgSz w:w="11910" w:h="16840"/>
          <w:pgMar w:top="1100" w:bottom="1280" w:left="1080" w:right="48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3240"/>
        <w:gridCol w:w="2984"/>
        <w:gridCol w:w="2982"/>
      </w:tblGrid>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10,548,075.46</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5,397,393.43</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9,176,170.78</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9,324,040.64</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房租</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1,612,277.91</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1,359,477.74</w:t>
            </w:r>
          </w:p>
        </w:tc>
      </w:tr>
      <w:tr>
        <w:trPr>
          <w:trHeight w:val="324" w:hRule="exact"/>
        </w:trPr>
        <w:tc>
          <w:tcPr>
            <w:tcW w:w="3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Calibri" w:hAnsi="Calibri" w:cs="Calibri" w:eastAsia="Calibri" w:hint="default"/>
                <w:sz w:val="21"/>
                <w:szCs w:val="21"/>
              </w:rPr>
            </w:pPr>
            <w:r>
              <w:rPr>
                <w:rFonts w:ascii="Calibri"/>
                <w:sz w:val="21"/>
              </w:rPr>
              <w:t>34,454,886.49</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30,414,398.61</w:t>
            </w:r>
          </w:p>
        </w:tc>
      </w:tr>
    </w:tbl>
    <w:p>
      <w:pPr>
        <w:pStyle w:val="Heading2"/>
        <w:spacing w:line="380"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pStyle w:val="BodyText"/>
        <w:spacing w:line="240" w:lineRule="auto" w:before="126"/>
        <w:ind w:left="0" w:right="28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620"/>
        <w:gridCol w:w="1491"/>
        <w:gridCol w:w="1493"/>
        <w:gridCol w:w="1493"/>
        <w:gridCol w:w="1556"/>
        <w:gridCol w:w="1553"/>
      </w:tblGrid>
      <w:tr>
        <w:trPr>
          <w:trHeight w:val="946"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款项的性质</w:t>
            </w:r>
            <w:r>
              <w:rPr>
                <w:rFonts w:ascii="Microsoft JhengHei" w:hAnsi="Microsoft JhengHei" w:cs="Microsoft JhengHei" w:eastAsia="Microsoft JhengHei"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占其他应收款期</w:t>
            </w:r>
            <w:r>
              <w:rPr>
                <w:rFonts w:ascii="Microsoft JhengHei" w:hAnsi="Microsoft JhengHei" w:cs="Microsoft JhengHei" w:eastAsia="Microsoft JhengHei" w:hint="default"/>
                <w:sz w:val="21"/>
                <w:szCs w:val="21"/>
              </w:rPr>
            </w:r>
          </w:p>
          <w:p>
            <w:pPr>
              <w:pStyle w:val="TableParagraph"/>
              <w:spacing w:line="312" w:lineRule="exact" w:before="35"/>
              <w:ind w:left="562" w:right="32" w:hanging="52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末余额合计数的</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664" w:right="33" w:hanging="63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坏账准备期末余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5" w:right="67" w:hanging="209"/>
              <w:jc w:val="left"/>
              <w:rPr>
                <w:rFonts w:ascii="宋体" w:hAnsi="宋体" w:cs="宋体" w:eastAsia="宋体" w:hint="default"/>
                <w:sz w:val="21"/>
                <w:szCs w:val="21"/>
              </w:rPr>
            </w:pPr>
            <w:r>
              <w:rPr>
                <w:rFonts w:ascii="宋体" w:hAnsi="宋体" w:cs="宋体" w:eastAsia="宋体" w:hint="default"/>
                <w:sz w:val="21"/>
                <w:szCs w:val="21"/>
              </w:rPr>
              <w:t>北京东方园林股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房租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1,359,477.74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3.95%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271,895.55</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高剑</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1,320,631.00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1" w:right="0"/>
              <w:jc w:val="left"/>
              <w:rPr>
                <w:rFonts w:ascii="Calibri" w:hAnsi="Calibri" w:cs="Calibri" w:eastAsia="Calibri" w:hint="default"/>
                <w:sz w:val="21"/>
                <w:szCs w:val="21"/>
              </w:rPr>
            </w:pPr>
            <w:r>
              <w:rPr>
                <w:rFonts w:ascii="Calibri"/>
                <w:sz w:val="21"/>
              </w:rPr>
              <w:t>3.84%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66,031.55</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1" w:right="67" w:hanging="315"/>
              <w:jc w:val="left"/>
              <w:rPr>
                <w:rFonts w:ascii="宋体" w:hAnsi="宋体" w:cs="宋体" w:eastAsia="宋体" w:hint="default"/>
                <w:sz w:val="21"/>
                <w:szCs w:val="21"/>
              </w:rPr>
            </w:pPr>
            <w:r>
              <w:rPr>
                <w:rFonts w:ascii="宋体" w:hAnsi="宋体" w:cs="宋体" w:eastAsia="宋体" w:hint="default"/>
                <w:sz w:val="21"/>
                <w:szCs w:val="21"/>
              </w:rPr>
              <w:t>中科软科技股份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1,040,050.00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3.02%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52,002.50</w:t>
            </w:r>
          </w:p>
        </w:tc>
      </w:tr>
      <w:tr>
        <w:trPr>
          <w:trHeight w:val="63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67" w:hanging="420"/>
              <w:jc w:val="left"/>
              <w:rPr>
                <w:rFonts w:ascii="宋体" w:hAnsi="宋体" w:cs="宋体" w:eastAsia="宋体" w:hint="default"/>
                <w:sz w:val="21"/>
                <w:szCs w:val="21"/>
              </w:rPr>
            </w:pPr>
            <w:r>
              <w:rPr>
                <w:rFonts w:ascii="宋体" w:hAnsi="宋体" w:cs="宋体" w:eastAsia="宋体" w:hint="default"/>
                <w:sz w:val="21"/>
                <w:szCs w:val="21"/>
              </w:rPr>
              <w:t>广西鸿雁食品有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540,000.00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1.57%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540,000.00</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2" w:right="67" w:hanging="106"/>
              <w:jc w:val="left"/>
              <w:rPr>
                <w:rFonts w:ascii="宋体" w:hAnsi="宋体" w:cs="宋体" w:eastAsia="宋体" w:hint="default"/>
                <w:sz w:val="21"/>
                <w:szCs w:val="21"/>
              </w:rPr>
            </w:pPr>
            <w:r>
              <w:rPr>
                <w:rFonts w:ascii="宋体" w:hAnsi="宋体" w:cs="宋体" w:eastAsia="宋体" w:hint="default"/>
                <w:sz w:val="21"/>
                <w:szCs w:val="21"/>
              </w:rPr>
              <w:t>贵州阳光产权交</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易所有限公司</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1.45%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500,000.00</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4,760,158.74</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8" w:right="0"/>
              <w:jc w:val="left"/>
              <w:rPr>
                <w:rFonts w:ascii="Calibri" w:hAnsi="Calibri" w:cs="Calibri" w:eastAsia="Calibri" w:hint="default"/>
                <w:sz w:val="21"/>
                <w:szCs w:val="21"/>
              </w:rPr>
            </w:pPr>
            <w:r>
              <w:rPr>
                <w:rFonts w:ascii="Calibri"/>
                <w:sz w:val="21"/>
              </w:rPr>
              <w:t>13.82%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1,429,929.60</w:t>
            </w:r>
            <w:r>
              <w:rPr>
                <w:rFonts w:ascii="Calibri"/>
                <w:sz w:val="21"/>
              </w:rPr>
            </w:r>
          </w:p>
        </w:tc>
      </w:tr>
    </w:tbl>
    <w:p>
      <w:pPr>
        <w:spacing w:after="0" w:line="240" w:lineRule="auto"/>
        <w:jc w:val="right"/>
        <w:rPr>
          <w:rFonts w:ascii="Calibri" w:hAnsi="Calibri" w:cs="Calibri" w:eastAsia="Calibri" w:hint="default"/>
          <w:sz w:val="21"/>
          <w:szCs w:val="21"/>
        </w:rPr>
        <w:sectPr>
          <w:footerReference w:type="default" r:id="rId62"/>
          <w:pgSz w:w="11910" w:h="16840"/>
          <w:pgMar w:footer="1085" w:header="884" w:top="1300" w:bottom="1280" w:left="1080" w:right="700"/>
          <w:pgNumType w:start="191"/>
        </w:sectPr>
      </w:pPr>
    </w:p>
    <w:p>
      <w:pPr>
        <w:pStyle w:val="Heading2"/>
        <w:spacing w:line="380" w:lineRule="exact"/>
        <w:ind w:right="76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pStyle w:val="BodyText"/>
        <w:spacing w:line="240" w:lineRule="auto" w:before="127"/>
        <w:ind w:left="1101" w:right="762"/>
        <w:jc w:val="left"/>
      </w:pPr>
      <w:r>
        <w:rPr/>
        <w:t>无</w:t>
      </w:r>
    </w:p>
    <w:p>
      <w:pPr>
        <w:pStyle w:val="Heading2"/>
        <w:spacing w:line="312" w:lineRule="auto" w:before="77"/>
        <w:ind w:right="762"/>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spacing w:val="-45"/>
        </w:rPr>
        <w:t> </w:t>
      </w:r>
      <w:r>
        <w:rPr>
          <w:spacing w:val="-45"/>
        </w:rPr>
      </w:r>
      <w:r>
        <w:rPr>
          <w:rFonts w:ascii="宋体" w:hAnsi="宋体" w:cs="宋体" w:eastAsia="宋体" w:hint="default"/>
          <w:b w:val="0"/>
          <w:bCs w:val="0"/>
        </w:rPr>
        <w:t>无</w:t>
      </w:r>
    </w:p>
    <w:p>
      <w:pPr>
        <w:spacing w:line="312" w:lineRule="auto" w:before="5"/>
        <w:ind w:left="1101"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）转移其他应收款且继续涉入形成的资产、负债金额</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z w:val="24"/>
          <w:szCs w:val="24"/>
        </w:rPr>
        <w:t>无</w:t>
      </w:r>
    </w:p>
    <w:p>
      <w:pPr>
        <w:spacing w:before="5"/>
        <w:ind w:left="1101" w:right="762"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8"/>
        <w:rPr>
          <w:rFonts w:ascii="Microsoft JhengHei" w:hAnsi="Microsoft JhengHei" w:cs="Microsoft JhengHei" w:eastAsia="Microsoft JhengHei" w:hint="default"/>
          <w:b/>
          <w:bCs/>
          <w:sz w:val="22"/>
          <w:szCs w:val="22"/>
        </w:rPr>
      </w:pPr>
    </w:p>
    <w:p>
      <w:pPr>
        <w:pStyle w:val="BodyText"/>
        <w:spacing w:line="240" w:lineRule="auto" w:before="0"/>
        <w:ind w:left="1102" w:right="0"/>
        <w:jc w:val="left"/>
      </w:pPr>
      <w:r>
        <w:rPr/>
        <w:t>单位： 元</w:t>
      </w:r>
    </w:p>
    <w:p>
      <w:pPr>
        <w:spacing w:after="0" w:line="240" w:lineRule="auto"/>
        <w:jc w:val="left"/>
        <w:sectPr>
          <w:type w:val="continuous"/>
          <w:pgSz w:w="11910" w:h="16840"/>
          <w:pgMar w:top="1100" w:bottom="1280" w:left="1080" w:right="700"/>
          <w:cols w:num="2" w:equalWidth="0">
            <w:col w:w="7004" w:space="651"/>
            <w:col w:w="2475"/>
          </w:cols>
        </w:sectPr>
      </w:pPr>
    </w:p>
    <w:p>
      <w:pPr>
        <w:spacing w:line="240" w:lineRule="auto" w:before="10"/>
        <w:rPr>
          <w:rFonts w:ascii="宋体" w:hAnsi="宋体" w:cs="宋体" w:eastAsia="宋体" w:hint="default"/>
          <w:sz w:val="8"/>
          <w:szCs w:val="8"/>
        </w:rPr>
      </w:pPr>
    </w:p>
    <w:tbl>
      <w:tblPr>
        <w:tblW w:w="0" w:type="auto"/>
        <w:jc w:val="left"/>
        <w:tblInd w:w="437" w:type="dxa"/>
        <w:tblLayout w:type="fixed"/>
        <w:tblCellMar>
          <w:top w:w="0" w:type="dxa"/>
          <w:left w:w="0" w:type="dxa"/>
          <w:bottom w:w="0" w:type="dxa"/>
          <w:right w:w="0" w:type="dxa"/>
        </w:tblCellMar>
        <w:tblLook w:val="01E0"/>
      </w:tblPr>
      <w:tblGrid>
        <w:gridCol w:w="1368"/>
        <w:gridCol w:w="1436"/>
        <w:gridCol w:w="1301"/>
        <w:gridCol w:w="1392"/>
        <w:gridCol w:w="1342"/>
        <w:gridCol w:w="1366"/>
        <w:gridCol w:w="1368"/>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121,230,228.00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1,000,000.00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120,230,228.00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2"/>
              <w:jc w:val="right"/>
              <w:rPr>
                <w:rFonts w:ascii="Calibri" w:hAnsi="Calibri" w:cs="Calibri" w:eastAsia="Calibri" w:hint="default"/>
                <w:sz w:val="21"/>
                <w:szCs w:val="21"/>
              </w:rPr>
            </w:pPr>
            <w:r>
              <w:rPr>
                <w:rFonts w:ascii="Calibri"/>
                <w:spacing w:val="-2"/>
                <w:sz w:val="21"/>
              </w:rPr>
              <w:t>30,393,851.78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7"/>
              <w:jc w:val="right"/>
              <w:rPr>
                <w:rFonts w:ascii="Calibri" w:hAnsi="Calibri" w:cs="Calibri" w:eastAsia="Calibri" w:hint="default"/>
                <w:sz w:val="21"/>
                <w:szCs w:val="21"/>
              </w:rPr>
            </w:pPr>
            <w:r>
              <w:rPr>
                <w:rFonts w:ascii="Calibri"/>
                <w:spacing w:val="-2"/>
                <w:sz w:val="21"/>
              </w:rPr>
              <w:t>29,393,851.78</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9" w:right="43" w:hanging="209"/>
              <w:jc w:val="left"/>
              <w:rPr>
                <w:rFonts w:ascii="宋体" w:hAnsi="宋体" w:cs="宋体" w:eastAsia="宋体" w:hint="default"/>
                <w:sz w:val="21"/>
                <w:szCs w:val="21"/>
              </w:rPr>
            </w:pPr>
            <w:r>
              <w:rPr>
                <w:rFonts w:ascii="宋体" w:hAnsi="宋体" w:cs="宋体" w:eastAsia="宋体" w:hint="default"/>
                <w:sz w:val="21"/>
                <w:szCs w:val="21"/>
              </w:rPr>
              <w:t>对联营、合营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1,394,528.08</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1,394,528.08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1,347,552.64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0"/>
              <w:jc w:val="right"/>
              <w:rPr>
                <w:rFonts w:ascii="Calibri" w:hAnsi="Calibri" w:cs="Calibri" w:eastAsia="Calibri" w:hint="default"/>
                <w:sz w:val="21"/>
                <w:szCs w:val="21"/>
              </w:rPr>
            </w:pPr>
            <w:r>
              <w:rPr>
                <w:rFonts w:ascii="Calibri"/>
                <w:spacing w:val="-1"/>
                <w:sz w:val="21"/>
              </w:rPr>
              <w:t>1,347,552.64</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122,624,756.08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121,624,756.08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2"/>
              <w:jc w:val="right"/>
              <w:rPr>
                <w:rFonts w:ascii="Calibri" w:hAnsi="Calibri" w:cs="Calibri" w:eastAsia="Calibri" w:hint="default"/>
                <w:sz w:val="21"/>
                <w:szCs w:val="21"/>
              </w:rPr>
            </w:pPr>
            <w:r>
              <w:rPr>
                <w:rFonts w:ascii="Calibri"/>
                <w:spacing w:val="-2"/>
                <w:sz w:val="21"/>
              </w:rPr>
              <w:t>31,741,404.42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
              <w:jc w:val="right"/>
              <w:rPr>
                <w:rFonts w:ascii="Calibri" w:hAnsi="Calibri" w:cs="Calibri" w:eastAsia="Calibri" w:hint="default"/>
                <w:sz w:val="21"/>
                <w:szCs w:val="21"/>
              </w:rPr>
            </w:pPr>
            <w:r>
              <w:rPr>
                <w:rFonts w:ascii="Calibri"/>
                <w:spacing w:val="-2"/>
                <w:sz w:val="21"/>
              </w:rPr>
              <w:t>30,741,404.42</w:t>
            </w:r>
          </w:p>
        </w:tc>
      </w:tr>
    </w:tbl>
    <w:p>
      <w:pPr>
        <w:pStyle w:val="Heading2"/>
        <w:spacing w:line="380"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pStyle w:val="BodyText"/>
        <w:spacing w:line="240" w:lineRule="auto" w:before="126"/>
        <w:ind w:left="0" w:right="287"/>
        <w:jc w:val="right"/>
      </w:pPr>
      <w:r>
        <w:rPr/>
        <w:t>单位： 元</w:t>
      </w:r>
    </w:p>
    <w:p>
      <w:pPr>
        <w:spacing w:line="240" w:lineRule="auto" w:before="10"/>
        <w:rPr>
          <w:rFonts w:ascii="宋体" w:hAnsi="宋体" w:cs="宋体" w:eastAsia="宋体" w:hint="default"/>
          <w:sz w:val="8"/>
          <w:szCs w:val="8"/>
        </w:rPr>
      </w:pPr>
    </w:p>
    <w:tbl>
      <w:tblPr>
        <w:tblW w:w="0" w:type="auto"/>
        <w:jc w:val="left"/>
        <w:tblInd w:w="622" w:type="dxa"/>
        <w:tblLayout w:type="fixed"/>
        <w:tblCellMar>
          <w:top w:w="0" w:type="dxa"/>
          <w:left w:w="0" w:type="dxa"/>
          <w:bottom w:w="0" w:type="dxa"/>
          <w:right w:w="0" w:type="dxa"/>
        </w:tblCellMar>
        <w:tblLook w:val="01E0"/>
      </w:tblPr>
      <w:tblGrid>
        <w:gridCol w:w="1375"/>
        <w:gridCol w:w="1280"/>
        <w:gridCol w:w="1279"/>
        <w:gridCol w:w="1246"/>
        <w:gridCol w:w="1385"/>
        <w:gridCol w:w="1321"/>
        <w:gridCol w:w="1320"/>
      </w:tblGrid>
      <w:tr>
        <w:trPr>
          <w:trHeight w:val="634"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26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本期计提减</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值准备</w:t>
            </w:r>
            <w:r>
              <w:rPr>
                <w:rFonts w:ascii="Microsoft JhengHei" w:hAnsi="Microsoft JhengHei" w:cs="Microsoft JhengHei" w:eastAsia="Microsoft JhengHei"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减值准备期</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末余额</w:t>
            </w:r>
            <w:r>
              <w:rPr>
                <w:rFonts w:ascii="Microsoft JhengHei" w:hAnsi="Microsoft JhengHei" w:cs="Microsoft JhengHei" w:eastAsia="Microsoft JhengHei" w:hint="default"/>
                <w:sz w:val="21"/>
                <w:szCs w:val="21"/>
              </w:rPr>
            </w:r>
          </w:p>
        </w:tc>
      </w:tr>
      <w:tr>
        <w:trPr>
          <w:trHeight w:val="32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5,000,000.00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5"/>
              <w:jc w:val="right"/>
              <w:rPr>
                <w:rFonts w:ascii="Calibri" w:hAnsi="Calibri" w:cs="Calibri" w:eastAsia="Calibri" w:hint="default"/>
                <w:sz w:val="21"/>
                <w:szCs w:val="21"/>
              </w:rPr>
            </w:pPr>
            <w:r>
              <w:rPr>
                <w:rFonts w:ascii="Calibri"/>
                <w:spacing w:val="-1"/>
                <w:sz w:val="21"/>
              </w:rPr>
              <w:t>5,000,000.00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1,000,000.00</w:t>
            </w:r>
          </w:p>
        </w:tc>
      </w:tr>
    </w:tbl>
    <w:p>
      <w:pPr>
        <w:spacing w:after="0" w:line="240" w:lineRule="auto"/>
        <w:jc w:val="left"/>
        <w:rPr>
          <w:rFonts w:ascii="Calibri" w:hAnsi="Calibri" w:cs="Calibri" w:eastAsia="Calibri" w:hint="default"/>
          <w:sz w:val="21"/>
          <w:szCs w:val="21"/>
        </w:rPr>
        <w:sectPr>
          <w:type w:val="continuous"/>
          <w:pgSz w:w="11910" w:h="16840"/>
          <w:pgMar w:top="1100" w:bottom="1280" w:left="1080" w:right="700"/>
        </w:sectPr>
      </w:pPr>
    </w:p>
    <w:p>
      <w:pPr>
        <w:spacing w:line="240" w:lineRule="auto" w:before="7"/>
        <w:rPr>
          <w:rFonts w:ascii="宋体" w:hAnsi="宋体" w:cs="宋体" w:eastAsia="宋体" w:hint="default"/>
          <w:sz w:val="9"/>
          <w:szCs w:val="9"/>
        </w:rPr>
      </w:pPr>
    </w:p>
    <w:tbl>
      <w:tblPr>
        <w:tblW w:w="0" w:type="auto"/>
        <w:jc w:val="left"/>
        <w:tblInd w:w="622" w:type="dxa"/>
        <w:tblLayout w:type="fixed"/>
        <w:tblCellMar>
          <w:top w:w="0" w:type="dxa"/>
          <w:left w:w="0" w:type="dxa"/>
          <w:bottom w:w="0" w:type="dxa"/>
          <w:right w:w="0" w:type="dxa"/>
        </w:tblCellMar>
        <w:tblLook w:val="01E0"/>
      </w:tblPr>
      <w:tblGrid>
        <w:gridCol w:w="1375"/>
        <w:gridCol w:w="1280"/>
        <w:gridCol w:w="1279"/>
        <w:gridCol w:w="1246"/>
        <w:gridCol w:w="1385"/>
        <w:gridCol w:w="1321"/>
        <w:gridCol w:w="1320"/>
      </w:tblGrid>
      <w:tr>
        <w:trPr>
          <w:trHeight w:val="322"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技术有限公司</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50" w:hanging="212"/>
              <w:jc w:val="left"/>
              <w:rPr>
                <w:rFonts w:ascii="宋体" w:hAnsi="宋体" w:cs="宋体" w:eastAsia="宋体" w:hint="default"/>
                <w:sz w:val="21"/>
                <w:szCs w:val="21"/>
              </w:rPr>
            </w:pPr>
            <w:r>
              <w:rPr>
                <w:rFonts w:ascii="宋体" w:hAnsi="宋体" w:cs="宋体" w:eastAsia="宋体" w:hint="default"/>
                <w:sz w:val="21"/>
                <w:szCs w:val="21"/>
              </w:rPr>
              <w:t>上海超途软件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1,000,000.00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50"/>
              <w:jc w:val="center"/>
              <w:rPr>
                <w:rFonts w:ascii="宋体" w:hAnsi="宋体" w:cs="宋体" w:eastAsia="宋体" w:hint="default"/>
                <w:sz w:val="21"/>
                <w:szCs w:val="21"/>
              </w:rPr>
            </w:pPr>
            <w:r>
              <w:rPr>
                <w:rFonts w:ascii="宋体" w:hAnsi="宋体" w:cs="宋体" w:eastAsia="宋体" w:hint="default"/>
                <w:spacing w:val="-1"/>
                <w:sz w:val="21"/>
                <w:szCs w:val="21"/>
              </w:rPr>
              <w:t>克拉玛依超图</w:t>
            </w:r>
            <w:r>
              <w:rPr>
                <w:rFonts w:ascii="宋体" w:hAnsi="宋体" w:cs="宋体" w:eastAsia="宋体" w:hint="default"/>
                <w:w w:val="100"/>
                <w:sz w:val="21"/>
                <w:szCs w:val="21"/>
              </w:rPr>
              <w:t> </w:t>
            </w:r>
            <w:r>
              <w:rPr>
                <w:rFonts w:ascii="宋体" w:hAnsi="宋体" w:cs="宋体" w:eastAsia="宋体" w:hint="default"/>
                <w:spacing w:val="-1"/>
                <w:sz w:val="21"/>
                <w:szCs w:val="21"/>
              </w:rPr>
              <w:t>软件技术有限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1" w:right="0"/>
              <w:jc w:val="left"/>
              <w:rPr>
                <w:rFonts w:ascii="Calibri" w:hAnsi="Calibri" w:cs="Calibri" w:eastAsia="Calibri" w:hint="default"/>
                <w:sz w:val="21"/>
                <w:szCs w:val="21"/>
              </w:rPr>
            </w:pPr>
            <w:r>
              <w:rPr>
                <w:rFonts w:ascii="Calibri"/>
                <w:sz w:val="21"/>
              </w:rPr>
              <w:t>3,000,000.00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1" w:right="0"/>
              <w:jc w:val="left"/>
              <w:rPr>
                <w:rFonts w:ascii="Calibri" w:hAnsi="Calibri" w:cs="Calibri" w:eastAsia="Calibri" w:hint="default"/>
                <w:sz w:val="21"/>
                <w:szCs w:val="21"/>
              </w:rPr>
            </w:pPr>
            <w:r>
              <w:rPr>
                <w:rFonts w:ascii="Calibri"/>
                <w:sz w:val="21"/>
              </w:rPr>
              <w:t>3,000,000.00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0" w:right="50" w:hanging="420"/>
              <w:jc w:val="left"/>
              <w:rPr>
                <w:rFonts w:ascii="宋体" w:hAnsi="宋体" w:cs="宋体" w:eastAsia="宋体" w:hint="default"/>
                <w:sz w:val="21"/>
                <w:szCs w:val="21"/>
              </w:rPr>
            </w:pPr>
            <w:r>
              <w:rPr>
                <w:rFonts w:ascii="宋体" w:hAnsi="宋体" w:cs="宋体" w:eastAsia="宋体" w:hint="default"/>
                <w:sz w:val="21"/>
                <w:szCs w:val="21"/>
              </w:rPr>
              <w:t>超图国际有限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4,303,090.00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4,303,090.00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0" w:right="50" w:hanging="420"/>
              <w:jc w:val="left"/>
              <w:rPr>
                <w:rFonts w:ascii="宋体" w:hAnsi="宋体" w:cs="宋体" w:eastAsia="宋体" w:hint="default"/>
                <w:sz w:val="21"/>
                <w:szCs w:val="21"/>
              </w:rPr>
            </w:pPr>
            <w:r>
              <w:rPr>
                <w:rFonts w:ascii="宋体" w:hAnsi="宋体" w:cs="宋体" w:eastAsia="宋体" w:hint="default"/>
                <w:sz w:val="21"/>
                <w:szCs w:val="21"/>
              </w:rPr>
              <w:t>日本超图株式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17,090,761.78</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17,090,761.78</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50"/>
              <w:jc w:val="left"/>
              <w:rPr>
                <w:rFonts w:ascii="宋体" w:hAnsi="宋体" w:cs="宋体" w:eastAsia="宋体" w:hint="default"/>
                <w:sz w:val="21"/>
                <w:szCs w:val="21"/>
              </w:rPr>
            </w:pPr>
            <w:r>
              <w:rPr>
                <w:rFonts w:ascii="宋体" w:hAnsi="宋体" w:cs="宋体" w:eastAsia="宋体" w:hint="default"/>
                <w:sz w:val="21"/>
                <w:szCs w:val="21"/>
              </w:rPr>
              <w:t>上海南康科技</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87,836,376.22</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87,836,376.22</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1" w:right="50" w:hanging="212"/>
              <w:jc w:val="left"/>
              <w:rPr>
                <w:rFonts w:ascii="宋体" w:hAnsi="宋体" w:cs="宋体" w:eastAsia="宋体" w:hint="default"/>
                <w:sz w:val="21"/>
                <w:szCs w:val="21"/>
              </w:rPr>
            </w:pPr>
            <w:r>
              <w:rPr>
                <w:rFonts w:ascii="宋体" w:hAnsi="宋体" w:cs="宋体" w:eastAsia="宋体" w:hint="default"/>
                <w:sz w:val="21"/>
                <w:szCs w:val="21"/>
              </w:rPr>
              <w:t>山东超图软件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3,000,000.00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3,000,000.00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30,393,851.78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90,836,376.22</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121,230,228.00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1,000,000.00</w:t>
            </w:r>
          </w:p>
        </w:tc>
      </w:tr>
    </w:tbl>
    <w:p>
      <w:pPr>
        <w:spacing w:line="240" w:lineRule="auto" w:before="12"/>
        <w:rPr>
          <w:rFonts w:ascii="宋体" w:hAnsi="宋体" w:cs="宋体" w:eastAsia="宋体" w:hint="default"/>
          <w:sz w:val="23"/>
          <w:szCs w:val="23"/>
        </w:rPr>
      </w:pPr>
    </w:p>
    <w:p>
      <w:pPr>
        <w:pStyle w:val="Heading2"/>
        <w:spacing w:line="367" w:lineRule="exact"/>
        <w:ind w:right="2025"/>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0"/>
        <w:rPr>
          <w:rFonts w:ascii="Microsoft JhengHei" w:hAnsi="Microsoft JhengHei" w:cs="Microsoft JhengHei" w:eastAsia="Microsoft JhengHei" w:hint="default"/>
          <w:b/>
          <w:bCs/>
          <w:sz w:val="23"/>
          <w:szCs w:val="23"/>
        </w:rPr>
      </w:pPr>
    </w:p>
    <w:p>
      <w:pPr>
        <w:pStyle w:val="BodyText"/>
        <w:spacing w:line="240" w:lineRule="auto" w:before="26"/>
        <w:ind w:left="0" w:right="507"/>
        <w:jc w:val="right"/>
      </w:pPr>
      <w:r>
        <w:rPr/>
        <w:t>单位： 元</w:t>
      </w:r>
    </w:p>
    <w:p>
      <w:pPr>
        <w:spacing w:line="240" w:lineRule="auto" w:before="12"/>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794"/>
        <w:gridCol w:w="799"/>
        <w:gridCol w:w="797"/>
        <w:gridCol w:w="797"/>
        <w:gridCol w:w="799"/>
        <w:gridCol w:w="797"/>
        <w:gridCol w:w="799"/>
        <w:gridCol w:w="797"/>
        <w:gridCol w:w="800"/>
        <w:gridCol w:w="797"/>
        <w:gridCol w:w="799"/>
        <w:gridCol w:w="797"/>
      </w:tblGrid>
      <w:tr>
        <w:trPr>
          <w:trHeight w:val="323" w:hRule="exact"/>
        </w:trPr>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2" w:lineRule="exact"/>
              <w:ind w:left="285" w:right="7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sz w:val="21"/>
                <w:szCs w:val="21"/>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2" w:lineRule="exact"/>
              <w:ind w:left="287" w:right="7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本期增减变动</w:t>
            </w:r>
            <w:r>
              <w:rPr>
                <w:rFonts w:ascii="Microsoft JhengHei" w:hAnsi="Microsoft JhengHei" w:cs="Microsoft JhengHei" w:eastAsia="Microsoft JhengHei" w:hint="default"/>
                <w:sz w:val="21"/>
                <w:szCs w:val="21"/>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2" w:lineRule="exact"/>
              <w:ind w:left="285" w:right="79"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3"/>
                <w:szCs w:val="23"/>
              </w:rPr>
            </w:pPr>
          </w:p>
          <w:p>
            <w:pPr>
              <w:pStyle w:val="TableParagraph"/>
              <w:spacing w:line="312" w:lineRule="exact"/>
              <w:ind w:left="74" w:right="7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备期末</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余额</w:t>
            </w:r>
            <w:r>
              <w:rPr>
                <w:rFonts w:ascii="Microsoft JhengHei" w:hAnsi="Microsoft JhengHei" w:cs="Microsoft JhengHei" w:eastAsia="Microsoft JhengHei" w:hint="default"/>
                <w:sz w:val="21"/>
                <w:szCs w:val="21"/>
              </w:rPr>
            </w:r>
          </w:p>
        </w:tc>
      </w:tr>
      <w:tr>
        <w:trPr>
          <w:trHeight w:val="1258" w:hRule="exact"/>
        </w:trPr>
        <w:tc>
          <w:tcPr>
            <w:tcW w:w="794"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286" w:right="7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追加投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285" w:right="7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6"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权益法</w:t>
            </w:r>
            <w:r>
              <w:rPr>
                <w:rFonts w:ascii="Microsoft JhengHei" w:hAnsi="Microsoft JhengHei" w:cs="Microsoft JhengHei" w:eastAsia="Microsoft JhengHei" w:hint="default"/>
                <w:sz w:val="21"/>
                <w:szCs w:val="21"/>
              </w:rPr>
            </w:r>
          </w:p>
          <w:p>
            <w:pPr>
              <w:pStyle w:val="TableParagraph"/>
              <w:spacing w:line="312" w:lineRule="exact" w:before="36"/>
              <w:ind w:left="76" w:right="7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下确认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的投资</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损益</w:t>
            </w:r>
            <w:r>
              <w:rPr>
                <w:rFonts w:ascii="Microsoft JhengHei" w:hAnsi="Microsoft JhengHei" w:cs="Microsoft JhengHei" w:eastAsia="Microsoft JhengHei"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74" w:right="7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其他综</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合收益</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调整</w:t>
            </w:r>
            <w:r>
              <w:rPr>
                <w:rFonts w:ascii="Microsoft JhengHei" w:hAnsi="Microsoft JhengHei" w:cs="Microsoft JhengHei" w:eastAsia="Microsoft JhengHei" w:hint="default"/>
                <w:sz w:val="21"/>
                <w:szCs w:val="21"/>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76" w:right="7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益变动</w:t>
            </w:r>
            <w:r>
              <w:rPr>
                <w:rFonts w:ascii="Microsoft JhengHei" w:hAnsi="Microsoft JhengHei" w:cs="Microsoft JhengHei" w:eastAsia="Microsoft JhengHei"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4"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宣告发</w:t>
            </w:r>
            <w:r>
              <w:rPr>
                <w:rFonts w:ascii="Microsoft JhengHei" w:hAnsi="Microsoft JhengHei" w:cs="Microsoft JhengHei" w:eastAsia="Microsoft JhengHei" w:hint="default"/>
                <w:sz w:val="21"/>
                <w:szCs w:val="21"/>
              </w:rPr>
            </w:r>
          </w:p>
          <w:p>
            <w:pPr>
              <w:pStyle w:val="TableParagraph"/>
              <w:spacing w:line="312" w:lineRule="exact" w:before="36"/>
              <w:ind w:left="74" w:right="7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放现金</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股利或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利润</w:t>
            </w:r>
            <w:r>
              <w:rPr>
                <w:rFonts w:ascii="Microsoft JhengHei" w:hAnsi="Microsoft JhengHei" w:cs="Microsoft JhengHei" w:eastAsia="Microsoft JhengHei" w:hint="default"/>
                <w:sz w:val="21"/>
                <w:szCs w:val="21"/>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74" w:right="8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计提减</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值准备</w:t>
            </w:r>
            <w:r>
              <w:rPr>
                <w:rFonts w:ascii="Microsoft JhengHei" w:hAnsi="Microsoft JhengHei" w:cs="Microsoft JhengHei" w:eastAsia="Microsoft JhengHei"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1"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5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27"/>
              <w:jc w:val="both"/>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科数城</w:t>
            </w:r>
            <w:r>
              <w:rPr>
                <w:rFonts w:ascii="宋体" w:hAnsi="宋体" w:cs="宋体" w:eastAsia="宋体" w:hint="default"/>
                <w:spacing w:val="-102"/>
                <w:sz w:val="21"/>
                <w:szCs w:val="21"/>
              </w:rPr>
              <w:t> </w:t>
            </w:r>
            <w:r>
              <w:rPr>
                <w:rFonts w:ascii="宋体" w:hAnsi="宋体" w:cs="宋体" w:eastAsia="宋体" w:hint="default"/>
                <w:sz w:val="21"/>
                <w:szCs w:val="21"/>
              </w:rPr>
              <w:t>软件有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6" w:right="0"/>
              <w:jc w:val="center"/>
              <w:rPr>
                <w:rFonts w:ascii="Calibri" w:hAnsi="Calibri" w:cs="Calibri" w:eastAsia="Calibri" w:hint="default"/>
                <w:sz w:val="21"/>
                <w:szCs w:val="21"/>
              </w:rPr>
            </w:pPr>
            <w:r>
              <w:rPr>
                <w:rFonts w:ascii="Calibri"/>
                <w:sz w:val="21"/>
              </w:rPr>
              <w:t>1,347,5</w:t>
            </w:r>
          </w:p>
          <w:p>
            <w:pPr>
              <w:pStyle w:val="TableParagraph"/>
              <w:spacing w:line="240" w:lineRule="auto" w:before="55"/>
              <w:ind w:left="264" w:right="0"/>
              <w:jc w:val="center"/>
              <w:rPr>
                <w:rFonts w:ascii="Calibri" w:hAnsi="Calibri" w:cs="Calibri" w:eastAsia="Calibri" w:hint="default"/>
                <w:sz w:val="21"/>
                <w:szCs w:val="21"/>
              </w:rPr>
            </w:pPr>
            <w:r>
              <w:rPr>
                <w:rFonts w:ascii="Calibri"/>
                <w:sz w:val="21"/>
              </w:rPr>
              <w:t>52.64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46,975.</w:t>
            </w:r>
          </w:p>
          <w:p>
            <w:pPr>
              <w:pStyle w:val="TableParagraph"/>
              <w:spacing w:line="240" w:lineRule="auto" w:before="55"/>
              <w:ind w:right="19"/>
              <w:jc w:val="right"/>
              <w:rPr>
                <w:rFonts w:ascii="Calibri" w:hAnsi="Calibri" w:cs="Calibri" w:eastAsia="Calibri" w:hint="default"/>
                <w:sz w:val="21"/>
                <w:szCs w:val="21"/>
              </w:rPr>
            </w:pPr>
            <w:r>
              <w:rPr>
                <w:rFonts w:ascii="Calibri"/>
                <w:sz w:val="21"/>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1" w:right="0"/>
              <w:jc w:val="center"/>
              <w:rPr>
                <w:rFonts w:ascii="Calibri" w:hAnsi="Calibri" w:cs="Calibri" w:eastAsia="Calibri" w:hint="default"/>
                <w:sz w:val="21"/>
                <w:szCs w:val="21"/>
              </w:rPr>
            </w:pPr>
            <w:r>
              <w:rPr>
                <w:rFonts w:ascii="Calibri"/>
                <w:sz w:val="21"/>
              </w:rPr>
              <w:t>1,394,5</w:t>
            </w:r>
          </w:p>
          <w:p>
            <w:pPr>
              <w:pStyle w:val="TableParagraph"/>
              <w:spacing w:line="240" w:lineRule="auto" w:before="55"/>
              <w:ind w:left="260" w:right="0"/>
              <w:jc w:val="center"/>
              <w:rPr>
                <w:rFonts w:ascii="Calibri" w:hAnsi="Calibri" w:cs="Calibri" w:eastAsia="Calibri" w:hint="default"/>
                <w:sz w:val="21"/>
                <w:szCs w:val="21"/>
              </w:rPr>
            </w:pPr>
            <w:r>
              <w:rPr>
                <w:rFonts w:ascii="Calibri"/>
                <w:sz w:val="21"/>
              </w:rPr>
              <w:t>28.08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center"/>
              <w:rPr>
                <w:rFonts w:ascii="Calibri" w:hAnsi="Calibri" w:cs="Calibri" w:eastAsia="Calibri" w:hint="default"/>
                <w:sz w:val="21"/>
                <w:szCs w:val="21"/>
              </w:rPr>
            </w:pPr>
            <w:r>
              <w:rPr>
                <w:rFonts w:ascii="Calibri"/>
                <w:sz w:val="21"/>
              </w:rPr>
              <w:t>1,347,5</w:t>
            </w:r>
          </w:p>
          <w:p>
            <w:pPr>
              <w:pStyle w:val="TableParagraph"/>
              <w:spacing w:line="240" w:lineRule="auto" w:before="55"/>
              <w:ind w:left="264" w:right="0"/>
              <w:jc w:val="center"/>
              <w:rPr>
                <w:rFonts w:ascii="Calibri" w:hAnsi="Calibri" w:cs="Calibri" w:eastAsia="Calibri" w:hint="default"/>
                <w:sz w:val="21"/>
                <w:szCs w:val="21"/>
              </w:rPr>
            </w:pPr>
            <w:r>
              <w:rPr>
                <w:rFonts w:ascii="Calibri"/>
                <w:sz w:val="21"/>
              </w:rPr>
              <w:t>52.64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46,975.</w:t>
            </w:r>
          </w:p>
          <w:p>
            <w:pPr>
              <w:pStyle w:val="TableParagraph"/>
              <w:spacing w:line="240" w:lineRule="auto" w:before="55"/>
              <w:ind w:right="19"/>
              <w:jc w:val="right"/>
              <w:rPr>
                <w:rFonts w:ascii="Calibri" w:hAnsi="Calibri" w:cs="Calibri" w:eastAsia="Calibri" w:hint="default"/>
                <w:sz w:val="21"/>
                <w:szCs w:val="21"/>
              </w:rPr>
            </w:pPr>
            <w:r>
              <w:rPr>
                <w:rFonts w:ascii="Calibri"/>
                <w:sz w:val="21"/>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center"/>
              <w:rPr>
                <w:rFonts w:ascii="Calibri" w:hAnsi="Calibri" w:cs="Calibri" w:eastAsia="Calibri" w:hint="default"/>
                <w:sz w:val="21"/>
                <w:szCs w:val="21"/>
              </w:rPr>
            </w:pPr>
            <w:r>
              <w:rPr>
                <w:rFonts w:ascii="Calibri"/>
                <w:sz w:val="21"/>
              </w:rPr>
              <w:t>1,394,5</w:t>
            </w:r>
          </w:p>
          <w:p>
            <w:pPr>
              <w:pStyle w:val="TableParagraph"/>
              <w:spacing w:line="240" w:lineRule="auto" w:before="55"/>
              <w:ind w:left="260" w:right="0"/>
              <w:jc w:val="center"/>
              <w:rPr>
                <w:rFonts w:ascii="Calibri" w:hAnsi="Calibri" w:cs="Calibri" w:eastAsia="Calibri" w:hint="default"/>
                <w:sz w:val="21"/>
                <w:szCs w:val="21"/>
              </w:rPr>
            </w:pPr>
            <w:r>
              <w:rPr>
                <w:rFonts w:ascii="Calibri"/>
                <w:sz w:val="21"/>
              </w:rPr>
              <w:t>28.08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6" w:right="0"/>
              <w:jc w:val="center"/>
              <w:rPr>
                <w:rFonts w:ascii="Calibri" w:hAnsi="Calibri" w:cs="Calibri" w:eastAsia="Calibri" w:hint="default"/>
                <w:sz w:val="21"/>
                <w:szCs w:val="21"/>
              </w:rPr>
            </w:pPr>
            <w:r>
              <w:rPr>
                <w:rFonts w:ascii="Calibri"/>
                <w:sz w:val="21"/>
              </w:rPr>
              <w:t>1,347,5</w:t>
            </w:r>
          </w:p>
          <w:p>
            <w:pPr>
              <w:pStyle w:val="TableParagraph"/>
              <w:spacing w:line="240" w:lineRule="auto" w:before="55"/>
              <w:ind w:left="264" w:right="0"/>
              <w:jc w:val="center"/>
              <w:rPr>
                <w:rFonts w:ascii="Calibri" w:hAnsi="Calibri" w:cs="Calibri" w:eastAsia="Calibri" w:hint="default"/>
                <w:sz w:val="21"/>
                <w:szCs w:val="21"/>
              </w:rPr>
            </w:pPr>
            <w:r>
              <w:rPr>
                <w:rFonts w:ascii="Calibri"/>
                <w:sz w:val="21"/>
              </w:rPr>
              <w:t>52.64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Calibri" w:hAnsi="Calibri" w:cs="Calibri" w:eastAsia="Calibri" w:hint="default"/>
                <w:sz w:val="21"/>
                <w:szCs w:val="21"/>
              </w:rPr>
            </w:pPr>
            <w:r>
              <w:rPr>
                <w:rFonts w:ascii="Calibri"/>
                <w:spacing w:val="-1"/>
                <w:sz w:val="21"/>
              </w:rPr>
              <w:t>46,975.</w:t>
            </w:r>
          </w:p>
          <w:p>
            <w:pPr>
              <w:pStyle w:val="TableParagraph"/>
              <w:spacing w:line="240" w:lineRule="auto" w:before="55"/>
              <w:ind w:right="19"/>
              <w:jc w:val="right"/>
              <w:rPr>
                <w:rFonts w:ascii="Calibri" w:hAnsi="Calibri" w:cs="Calibri" w:eastAsia="Calibri" w:hint="default"/>
                <w:sz w:val="21"/>
                <w:szCs w:val="21"/>
              </w:rPr>
            </w:pPr>
            <w:r>
              <w:rPr>
                <w:rFonts w:ascii="Calibri"/>
                <w:sz w:val="21"/>
              </w:rPr>
              <w:t>44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center"/>
              <w:rPr>
                <w:rFonts w:ascii="Calibri" w:hAnsi="Calibri" w:cs="Calibri" w:eastAsia="Calibri" w:hint="default"/>
                <w:sz w:val="21"/>
                <w:szCs w:val="21"/>
              </w:rPr>
            </w:pPr>
            <w:r>
              <w:rPr>
                <w:rFonts w:ascii="Calibri"/>
                <w:sz w:val="21"/>
              </w:rPr>
              <w:t>1,394,5</w:t>
            </w:r>
          </w:p>
          <w:p>
            <w:pPr>
              <w:pStyle w:val="TableParagraph"/>
              <w:spacing w:line="240" w:lineRule="auto" w:before="55"/>
              <w:ind w:left="260" w:right="0"/>
              <w:jc w:val="center"/>
              <w:rPr>
                <w:rFonts w:ascii="Calibri" w:hAnsi="Calibri" w:cs="Calibri" w:eastAsia="Calibri" w:hint="default"/>
                <w:sz w:val="21"/>
                <w:szCs w:val="21"/>
              </w:rPr>
            </w:pPr>
            <w:r>
              <w:rPr>
                <w:rFonts w:ascii="Calibri"/>
                <w:sz w:val="21"/>
              </w:rPr>
              <w:t>28.08</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80" w:lineRule="exact"/>
        <w:ind w:right="2025"/>
        <w:jc w:val="left"/>
        <w:rPr>
          <w:b w:val="0"/>
          <w:bCs w:val="0"/>
        </w:rPr>
      </w:pP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126"/>
        <w:ind w:left="0" w:right="507"/>
        <w:jc w:val="right"/>
      </w:pPr>
      <w:r>
        <w:rPr/>
        <w:t>单位： 元</w:t>
      </w: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1995"/>
        <w:gridCol w:w="1836"/>
        <w:gridCol w:w="1913"/>
        <w:gridCol w:w="1913"/>
        <w:gridCol w:w="1913"/>
      </w:tblGrid>
      <w:tr>
        <w:trPr>
          <w:trHeight w:val="32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403,289,027.43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158,168,826.49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326,601,642.67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109,249,745.52</w:t>
            </w:r>
          </w:p>
        </w:tc>
      </w:tr>
      <w:tr>
        <w:trPr>
          <w:trHeight w:val="32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14,809,392.82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2,725,832.28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13,125,674.40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2,536,535.98</w:t>
            </w: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418,098,420.25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160,894,658.77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339,727,317.07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111,786,281.50</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480"/>
        </w:sectPr>
      </w:pPr>
    </w:p>
    <w:p>
      <w:pPr>
        <w:spacing w:line="240" w:lineRule="auto" w:before="7"/>
        <w:rPr>
          <w:rFonts w:ascii="宋体" w:hAnsi="宋体" w:cs="宋体" w:eastAsia="宋体" w:hint="default"/>
          <w:sz w:val="10"/>
          <w:szCs w:val="10"/>
        </w:rPr>
      </w:pPr>
    </w:p>
    <w:p>
      <w:pPr>
        <w:pStyle w:val="Heading2"/>
        <w:spacing w:line="367" w:lineRule="exact"/>
        <w:ind w:right="2025"/>
        <w:jc w:val="left"/>
        <w:rPr>
          <w:b w:val="0"/>
          <w:bCs w:val="0"/>
        </w:rPr>
      </w:pPr>
      <w:r>
        <w:rPr>
          <w:rFonts w:ascii="Times New Roman" w:hAnsi="Times New Roman" w:cs="Times New Roman" w:eastAsia="Times New Roman" w:hint="default"/>
        </w:rPr>
        <w:t>5</w:t>
      </w:r>
      <w:r>
        <w:rPr/>
        <w:t>、投资收益</w:t>
      </w:r>
      <w:r>
        <w:rPr>
          <w:b w:val="0"/>
          <w:bCs w:val="0"/>
        </w:rPr>
      </w:r>
    </w:p>
    <w:p>
      <w:pPr>
        <w:pStyle w:val="BodyText"/>
        <w:spacing w:line="240" w:lineRule="auto" w:before="126"/>
        <w:ind w:left="0" w:right="507"/>
        <w:jc w:val="right"/>
      </w:pPr>
      <w:r>
        <w:rPr/>
        <w:t>单位： 元</w:t>
      </w:r>
    </w:p>
    <w:p>
      <w:pPr>
        <w:spacing w:line="240" w:lineRule="auto" w:before="10"/>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3325"/>
        <w:gridCol w:w="3058"/>
        <w:gridCol w:w="3188"/>
      </w:tblGrid>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46,975.44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-419,987.66</w:t>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-218,240.00</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46,975.44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-638,227.66</w:t>
            </w:r>
          </w:p>
        </w:tc>
      </w:tr>
    </w:tbl>
    <w:p>
      <w:pPr>
        <w:spacing w:after="0" w:line="240" w:lineRule="auto"/>
        <w:jc w:val="right"/>
        <w:rPr>
          <w:rFonts w:ascii="Calibri" w:hAnsi="Calibri" w:cs="Calibri" w:eastAsia="Calibri" w:hint="default"/>
          <w:sz w:val="21"/>
          <w:szCs w:val="21"/>
        </w:rPr>
        <w:sectPr>
          <w:pgSz w:w="11910" w:h="16840"/>
          <w:pgMar w:header="884" w:footer="1085" w:top="1300" w:bottom="1280" w:left="1080" w:right="480"/>
        </w:sectPr>
      </w:pPr>
    </w:p>
    <w:p>
      <w:pPr>
        <w:pStyle w:val="Heading2"/>
        <w:spacing w:line="392" w:lineRule="exact" w:before="5"/>
        <w:ind w:right="1311"/>
        <w:jc w:val="left"/>
        <w:rPr>
          <w:b w:val="0"/>
          <w:bCs w:val="0"/>
        </w:rPr>
      </w:pPr>
      <w:r>
        <w:rPr>
          <w:rFonts w:ascii="Times New Roman" w:hAnsi="Times New Roman" w:cs="Times New Roman" w:eastAsia="Times New Roman" w:hint="default"/>
        </w:rPr>
        <w:t>6</w:t>
      </w:r>
      <w:r>
        <w:rPr/>
        <w:t>、其他 </w:t>
      </w:r>
      <w:bookmarkStart w:name="_bookmark85" w:id="86"/>
      <w:bookmarkEnd w:id="86"/>
      <w:r>
        <w:rPr/>
        <w:t>十</w:t>
      </w:r>
      <w:r>
        <w:rPr/>
        <w:t>七、补充资料</w:t>
      </w:r>
      <w:r>
        <w:rPr>
          <w:b w:val="0"/>
          <w:bCs w:val="0"/>
        </w:rPr>
      </w:r>
    </w:p>
    <w:p>
      <w:pPr>
        <w:spacing w:line="371" w:lineRule="exact" w:before="0"/>
        <w:ind w:left="1101" w:right="-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、当期非经常性损益明细表</w:t>
      </w:r>
      <w:r>
        <w:rPr>
          <w:rFonts w:ascii="Microsoft JhengHei" w:hAnsi="Microsoft JhengHei" w:cs="Microsoft JhengHei" w:eastAsia="Microsoft JhengHei" w:hint="default"/>
          <w:sz w:val="24"/>
          <w:szCs w:val="24"/>
        </w:rPr>
      </w:r>
    </w:p>
    <w:p>
      <w:pPr>
        <w:pStyle w:val="BodyText"/>
        <w:spacing w:line="240" w:lineRule="auto" w:before="127"/>
        <w:ind w:left="1101" w:right="-9"/>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5"/>
        <w:ind w:left="1102" w:right="0"/>
        <w:jc w:val="left"/>
      </w:pPr>
      <w:r>
        <w:rPr/>
        <w:t>单位： 元</w:t>
      </w:r>
    </w:p>
    <w:p>
      <w:pPr>
        <w:spacing w:after="0" w:line="240" w:lineRule="auto"/>
        <w:jc w:val="left"/>
        <w:sectPr>
          <w:type w:val="continuous"/>
          <w:pgSz w:w="11910" w:h="16840"/>
          <w:pgMar w:top="1100" w:bottom="1280" w:left="1080" w:right="480"/>
          <w:cols w:num="2" w:equalWidth="0">
            <w:col w:w="4113" w:space="3542"/>
            <w:col w:w="2695"/>
          </w:cols>
        </w:sectPr>
      </w:pPr>
    </w:p>
    <w:p>
      <w:pPr>
        <w:spacing w:line="240" w:lineRule="auto" w:before="12"/>
        <w:rPr>
          <w:rFonts w:ascii="宋体" w:hAnsi="宋体" w:cs="宋体" w:eastAsia="宋体" w:hint="default"/>
          <w:sz w:val="8"/>
          <w:szCs w:val="8"/>
        </w:rPr>
      </w:pPr>
    </w:p>
    <w:tbl>
      <w:tblPr>
        <w:tblW w:w="0" w:type="auto"/>
        <w:jc w:val="left"/>
        <w:tblInd w:w="650" w:type="dxa"/>
        <w:tblLayout w:type="fixed"/>
        <w:tblCellMar>
          <w:top w:w="0" w:type="dxa"/>
          <w:left w:w="0" w:type="dxa"/>
          <w:bottom w:w="0" w:type="dxa"/>
          <w:right w:w="0" w:type="dxa"/>
        </w:tblCellMar>
        <w:tblLook w:val="01E0"/>
      </w:tblPr>
      <w:tblGrid>
        <w:gridCol w:w="3325"/>
        <w:gridCol w:w="3058"/>
        <w:gridCol w:w="3188"/>
      </w:tblGrid>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-394,369.55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9" w:right="79"/>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6,165,396.68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39" w:right="79" w:hanging="126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383,923.88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929,280.44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-19,445.70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5,245,116.27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r>
    </w:tbl>
    <w:p>
      <w:pPr>
        <w:pStyle w:val="BodyText"/>
        <w:spacing w:line="240" w:lineRule="auto" w:before="39"/>
        <w:ind w:left="1101" w:right="585"/>
        <w:jc w:val="left"/>
      </w:pPr>
      <w:r>
        <w:rPr/>
        <w:t>对公司根据《公开发行证券的公司信息披露解释性公告第</w:t>
      </w:r>
      <w:r>
        <w:rPr>
          <w:spacing w:val="-60"/>
        </w:rPr>
        <w:t> </w:t>
      </w:r>
      <w:r>
        <w:rPr>
          <w:rFonts w:ascii="Calibri" w:hAnsi="Calibri" w:cs="Calibri" w:eastAsia="Calibri" w:hint="default"/>
        </w:rPr>
        <w:t>1</w:t>
      </w:r>
      <w:r>
        <w:rPr>
          <w:rFonts w:ascii="Calibri" w:hAnsi="Calibri" w:cs="Calibri" w:eastAsia="Calibri" w:hint="default"/>
          <w:spacing w:val="6"/>
        </w:rPr>
        <w:t> </w:t>
      </w:r>
      <w:r>
        <w:rPr/>
        <w:t>号</w:t>
      </w:r>
      <w:r>
        <w:rPr>
          <w:rFonts w:ascii="Calibri" w:hAnsi="Calibri" w:cs="Calibri" w:eastAsia="Calibri" w:hint="default"/>
        </w:rPr>
        <w:t>——</w:t>
      </w:r>
      <w:r>
        <w:rPr/>
        <w:t>非经常性损益》</w:t>
      </w:r>
    </w:p>
    <w:p>
      <w:pPr>
        <w:pStyle w:val="BodyText"/>
        <w:spacing w:line="326" w:lineRule="auto" w:before="123"/>
        <w:ind w:left="622" w:right="649"/>
        <w:jc w:val="both"/>
      </w:pPr>
      <w:r>
        <w:rPr/>
        <w:t>定义界定的非经常性损益项目，以及把《公开发行证券的公司信息披露解释性公告第</w:t>
      </w:r>
      <w:r>
        <w:rPr>
          <w:spacing w:val="-59"/>
        </w:rPr>
        <w:t> </w:t>
      </w:r>
      <w:r>
        <w:rPr>
          <w:rFonts w:ascii="Calibri" w:hAnsi="Calibri" w:cs="Calibri" w:eastAsia="Calibri" w:hint="default"/>
        </w:rPr>
        <w:t>1 </w:t>
      </w:r>
      <w:r>
        <w:rPr/>
        <w:t>号</w:t>
      </w:r>
      <w:r>
        <w:rPr>
          <w:rFonts w:ascii="Calibri" w:hAnsi="Calibri" w:cs="Calibri" w:eastAsia="Calibri" w:hint="default"/>
        </w:rPr>
        <w:t>——</w:t>
      </w:r>
      <w:r>
        <w:rPr/>
        <w:t>非经常性损益》中列举的非经常性损益项目界定为经常性损益的项目，应说明原 因。</w:t>
      </w:r>
    </w:p>
    <w:p>
      <w:pPr>
        <w:pStyle w:val="BodyText"/>
        <w:spacing w:line="240" w:lineRule="auto" w:before="67"/>
        <w:ind w:left="110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40" w:lineRule="auto" w:before="47"/>
        <w:ind w:right="2025"/>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650" w:type="dxa"/>
        <w:tblLayout w:type="fixed"/>
        <w:tblCellMar>
          <w:top w:w="0" w:type="dxa"/>
          <w:left w:w="0" w:type="dxa"/>
          <w:bottom w:w="0" w:type="dxa"/>
          <w:right w:w="0" w:type="dxa"/>
        </w:tblCellMar>
        <w:tblLook w:val="01E0"/>
      </w:tblPr>
      <w:tblGrid>
        <w:gridCol w:w="3118"/>
        <w:gridCol w:w="1702"/>
        <w:gridCol w:w="2410"/>
        <w:gridCol w:w="2338"/>
      </w:tblGrid>
      <w:tr>
        <w:trPr>
          <w:trHeight w:val="166" w:hRule="exact"/>
        </w:trPr>
        <w:tc>
          <w:tcPr>
            <w:tcW w:w="3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加权平均净</w:t>
            </w:r>
            <w:r>
              <w:rPr>
                <w:rFonts w:ascii="Microsoft JhengHei" w:hAnsi="Microsoft JhengHei" w:cs="Microsoft JhengHei" w:eastAsia="Microsoft JhengHei" w:hint="default"/>
                <w:sz w:val="21"/>
                <w:szCs w:val="21"/>
              </w:rPr>
            </w:r>
          </w:p>
          <w:p>
            <w:pPr>
              <w:pStyle w:val="TableParagraph"/>
              <w:spacing w:line="339" w:lineRule="exact"/>
              <w:ind w:left="3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资产收益率</w:t>
            </w:r>
            <w:r>
              <w:rPr>
                <w:rFonts w:ascii="Microsoft JhengHei" w:hAnsi="Microsoft JhengHei" w:cs="Microsoft JhengHei" w:eastAsia="Microsoft JhengHei" w:hint="default"/>
                <w:sz w:val="21"/>
                <w:szCs w:val="21"/>
              </w:rPr>
            </w:r>
          </w:p>
        </w:tc>
        <w:tc>
          <w:tcPr>
            <w:tcW w:w="4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7" w:lineRule="exact"/>
              <w:ind w:left="42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tc>
      </w:tr>
      <w:tr>
        <w:trPr>
          <w:trHeight w:val="156" w:hRule="exact"/>
        </w:trPr>
        <w:tc>
          <w:tcPr>
            <w:tcW w:w="3118" w:type="dxa"/>
            <w:vMerge w:val="restart"/>
            <w:tcBorders>
              <w:top w:val="nil" w:sz="6" w:space="0" w:color="auto"/>
              <w:left w:val="single" w:sz="4" w:space="0" w:color="000000"/>
              <w:right w:val="single" w:sz="4" w:space="0" w:color="000000"/>
            </w:tcBorders>
            <w:shd w:val="clear" w:color="auto" w:fill="D2D2D2"/>
          </w:tcPr>
          <w:p>
            <w:pPr>
              <w:pStyle w:val="TableParagraph"/>
              <w:spacing w:line="286" w:lineRule="exact"/>
              <w:ind w:left="10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报告期利润</w:t>
            </w:r>
            <w:r>
              <w:rPr>
                <w:rFonts w:ascii="Microsoft JhengHei" w:hAnsi="Microsoft JhengHei" w:cs="Microsoft JhengHei" w:eastAsia="Microsoft JhengHei" w:hint="default"/>
                <w:sz w:val="21"/>
                <w:szCs w:val="21"/>
              </w:rPr>
            </w:r>
          </w:p>
        </w:tc>
        <w:tc>
          <w:tcPr>
            <w:tcW w:w="1702" w:type="dxa"/>
            <w:vMerge/>
            <w:tcBorders>
              <w:left w:val="single" w:sz="4" w:space="0" w:color="000000"/>
              <w:right w:val="single" w:sz="4" w:space="0" w:color="000000"/>
            </w:tcBorders>
            <w:shd w:val="clear" w:color="auto" w:fill="D2D2D2"/>
          </w:tcPr>
          <w:p>
            <w:pPr/>
          </w:p>
        </w:tc>
        <w:tc>
          <w:tcPr>
            <w:tcW w:w="4748"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3118"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89"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基本每股收益（元</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2338" w:type="dxa"/>
            <w:vMerge w:val="restart"/>
            <w:tcBorders>
              <w:top w:val="single" w:sz="4" w:space="0" w:color="000000"/>
              <w:left w:val="single" w:sz="4" w:space="0" w:color="000000"/>
              <w:right w:val="single" w:sz="4" w:space="0" w:color="000000"/>
            </w:tcBorders>
            <w:shd w:val="clear" w:color="auto" w:fill="D2D2D2"/>
          </w:tcPr>
          <w:p>
            <w:pPr>
              <w:pStyle w:val="TableParagraph"/>
              <w:spacing w:line="289" w:lineRule="exact"/>
              <w:ind w:left="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稀释每股收益（元</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r>
      <w:tr>
        <w:trPr>
          <w:trHeight w:val="166" w:hRule="exact"/>
        </w:trPr>
        <w:tc>
          <w:tcPr>
            <w:tcW w:w="31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33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8.78%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0.3</w:t>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07" w:right="79" w:hanging="526"/>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1"/>
              <w:jc w:val="center"/>
              <w:rPr>
                <w:rFonts w:ascii="Calibri" w:hAnsi="Calibri" w:cs="Calibri" w:eastAsia="Calibri" w:hint="default"/>
                <w:sz w:val="21"/>
                <w:szCs w:val="21"/>
              </w:rPr>
            </w:pPr>
            <w:r>
              <w:rPr>
                <w:rFonts w:ascii="Calibri"/>
                <w:sz w:val="21"/>
              </w:rPr>
              <w:t>8.00%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Calibri" w:hAnsi="Calibri" w:cs="Calibri" w:eastAsia="Calibri" w:hint="default"/>
                <w:sz w:val="21"/>
                <w:szCs w:val="21"/>
              </w:rPr>
            </w:pPr>
            <w:r>
              <w:rPr>
                <w:rFonts w:ascii="Calibri"/>
                <w:sz w:val="21"/>
              </w:rPr>
              <w:t>0.28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0.27</w:t>
            </w:r>
          </w:p>
        </w:tc>
      </w:tr>
    </w:tbl>
    <w:p>
      <w:pPr>
        <w:spacing w:line="380" w:lineRule="exact" w:before="0"/>
        <w:ind w:left="1101" w:right="202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、境内外会计准则下会计数据差异</w:t>
      </w:r>
      <w:r>
        <w:rPr>
          <w:rFonts w:ascii="Microsoft JhengHei" w:hAnsi="Microsoft JhengHei" w:cs="Microsoft JhengHei" w:eastAsia="Microsoft JhengHei" w:hint="default"/>
          <w:sz w:val="24"/>
          <w:szCs w:val="24"/>
        </w:rPr>
      </w:r>
    </w:p>
    <w:p>
      <w:pPr>
        <w:spacing w:line="268" w:lineRule="auto" w:before="50"/>
        <w:ind w:left="622" w:right="502" w:firstLine="479"/>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
          <w:sz w:val="24"/>
          <w:szCs w:val="24"/>
        </w:rPr>
        <w:t>（</w:t>
      </w:r>
      <w:r>
        <w:rPr>
          <w:rFonts w:ascii="Times New Roman" w:hAnsi="Times New Roman" w:cs="Times New Roman" w:eastAsia="Times New Roman" w:hint="default"/>
          <w:b/>
          <w:bCs/>
          <w:spacing w:val="-1"/>
          <w:sz w:val="24"/>
          <w:szCs w:val="24"/>
        </w:rPr>
        <w:t>1</w:t>
      </w:r>
      <w:r>
        <w:rPr>
          <w:rFonts w:ascii="Microsoft JhengHei" w:hAnsi="Microsoft JhengHei" w:cs="Microsoft JhengHei" w:eastAsia="Microsoft JhengHei" w:hint="default"/>
          <w:b/>
          <w:bCs/>
          <w:spacing w:val="-1"/>
          <w:sz w:val="24"/>
          <w:szCs w:val="24"/>
        </w:rPr>
        <w:t>）同时按照国际会计准则与按中国会计准则披露的财务报告中净利润和净资产差</w:t>
      </w:r>
      <w:r>
        <w:rPr>
          <w:rFonts w:ascii="Microsoft JhengHei" w:hAnsi="Microsoft JhengHei" w:cs="Microsoft JhengHei" w:eastAsia="Microsoft JhengHei" w:hint="default"/>
          <w:b/>
          <w:bCs/>
          <w:sz w:val="24"/>
          <w:szCs w:val="24"/>
        </w:rPr>
        <w:t> 异情况</w:t>
      </w:r>
      <w:r>
        <w:rPr>
          <w:rFonts w:ascii="Microsoft JhengHei" w:hAnsi="Microsoft JhengHei" w:cs="Microsoft JhengHei" w:eastAsia="Microsoft JhengHei" w:hint="default"/>
          <w:sz w:val="24"/>
          <w:szCs w:val="24"/>
        </w:rPr>
      </w:r>
    </w:p>
    <w:p>
      <w:pPr>
        <w:pStyle w:val="BodyText"/>
        <w:spacing w:line="240" w:lineRule="auto" w:before="88"/>
        <w:ind w:left="1101" w:right="20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spacing w:after="0" w:line="240" w:lineRule="auto"/>
        <w:jc w:val="left"/>
        <w:sectPr>
          <w:type w:val="continuous"/>
          <w:pgSz w:w="11910" w:h="16840"/>
          <w:pgMar w:top="1100" w:bottom="1280" w:left="1080" w:right="480"/>
        </w:sectPr>
      </w:pPr>
    </w:p>
    <w:p>
      <w:pPr>
        <w:spacing w:line="240" w:lineRule="auto" w:before="7"/>
        <w:rPr>
          <w:rFonts w:ascii="宋体" w:hAnsi="宋体" w:cs="宋体" w:eastAsia="宋体" w:hint="default"/>
          <w:sz w:val="10"/>
          <w:szCs w:val="10"/>
        </w:rPr>
      </w:pPr>
    </w:p>
    <w:p>
      <w:pPr>
        <w:pStyle w:val="Heading2"/>
        <w:spacing w:line="367" w:lineRule="exact"/>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w:t>
      </w:r>
      <w:r>
        <w:rPr>
          <w:b w:val="0"/>
          <w:bCs w:val="0"/>
        </w:rPr>
      </w:r>
    </w:p>
    <w:p>
      <w:pPr>
        <w:spacing w:before="50"/>
        <w:ind w:left="622" w:right="22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异情况</w:t>
      </w:r>
      <w:r>
        <w:rPr>
          <w:rFonts w:ascii="Microsoft JhengHei" w:hAnsi="Microsoft JhengHei" w:cs="Microsoft JhengHei" w:eastAsia="Microsoft JhengHei" w:hint="default"/>
          <w:sz w:val="24"/>
          <w:szCs w:val="24"/>
        </w:rPr>
      </w:r>
    </w:p>
    <w:p>
      <w:pPr>
        <w:pStyle w:val="BodyText"/>
        <w:spacing w:line="240" w:lineRule="auto" w:before="126"/>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268" w:lineRule="auto" w:before="47"/>
        <w:ind w:left="622" w:right="142" w:firstLine="479"/>
        <w:jc w:val="left"/>
        <w:rPr>
          <w:b w:val="0"/>
          <w:bCs w:val="0"/>
        </w:rPr>
      </w:pPr>
      <w:r>
        <w:rPr>
          <w:spacing w:val="-1"/>
        </w:rPr>
        <w:t>（</w:t>
      </w:r>
      <w:r>
        <w:rPr>
          <w:rFonts w:ascii="Times New Roman" w:hAnsi="Times New Roman" w:cs="Times New Roman" w:eastAsia="Times New Roman" w:hint="default"/>
          <w:spacing w:val="-1"/>
        </w:rPr>
        <w:t>3</w:t>
      </w:r>
      <w:r>
        <w:rPr>
          <w:spacing w:val="-1"/>
        </w:rPr>
        <w:t>）境内外会计准则下会计数据差异原因说明，对已经境外审计机构审计的数据进</w:t>
      </w:r>
      <w:r>
        <w:rPr/>
        <w:t> 行差异调节的，应注明该境外机构的名称</w:t>
      </w:r>
      <w:r>
        <w:rPr>
          <w:b w:val="0"/>
          <w:bCs w:val="0"/>
        </w:rPr>
      </w:r>
    </w:p>
    <w:p>
      <w:pPr>
        <w:pStyle w:val="BodyText"/>
        <w:spacing w:line="240" w:lineRule="auto" w:before="88"/>
        <w:ind w:left="1101" w:right="225"/>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0"/>
        </w:rPr>
        <w:t> </w:t>
      </w:r>
      <w:r>
        <w:rPr/>
        <w:t>不适用</w:t>
      </w:r>
    </w:p>
    <w:p>
      <w:pPr>
        <w:pStyle w:val="Heading2"/>
        <w:spacing w:line="312" w:lineRule="auto" w:before="47"/>
        <w:ind w:right="8025"/>
        <w:jc w:val="left"/>
        <w:rPr>
          <w:rFonts w:ascii="宋体" w:hAnsi="宋体" w:cs="宋体" w:eastAsia="宋体" w:hint="default"/>
          <w:b w:val="0"/>
          <w:bCs w:val="0"/>
        </w:rPr>
      </w:pPr>
      <w:r>
        <w:rPr>
          <w:rFonts w:ascii="Times New Roman" w:hAnsi="Times New Roman" w:cs="Times New Roman" w:eastAsia="Times New Roman" w:hint="default"/>
        </w:rPr>
        <w:t>4</w:t>
      </w:r>
      <w:r>
        <w:rPr/>
        <w:t>、其他 </w:t>
      </w:r>
      <w:r>
        <w:rPr>
          <w:rFonts w:ascii="宋体" w:hAnsi="宋体" w:cs="宋体" w:eastAsia="宋体" w:hint="default"/>
          <w:b w:val="0"/>
          <w:bCs w:val="0"/>
        </w:rPr>
        <w:t>无</w:t>
      </w:r>
    </w:p>
    <w:p>
      <w:pPr>
        <w:spacing w:after="0" w:line="312" w:lineRule="auto"/>
        <w:jc w:val="left"/>
        <w:rPr>
          <w:rFonts w:ascii="宋体" w:hAnsi="宋体" w:cs="宋体" w:eastAsia="宋体" w:hint="default"/>
        </w:rPr>
        <w:sectPr>
          <w:pgSz w:w="11910" w:h="16840"/>
          <w:pgMar w:header="884" w:footer="1085" w:top="1300" w:bottom="1280" w:left="10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456" w:lineRule="exact"/>
        <w:ind w:left="3862" w:right="225"/>
        <w:jc w:val="left"/>
        <w:rPr>
          <w:b w:val="0"/>
          <w:bCs w:val="0"/>
        </w:rPr>
      </w:pPr>
      <w:bookmarkStart w:name="_bookmark86" w:id="87"/>
      <w:bookmarkEnd w:id="87"/>
      <w:r>
        <w:rPr>
          <w:b w:val="0"/>
          <w:bCs w:val="0"/>
        </w:rPr>
      </w:r>
      <w:r>
        <w:rPr/>
        <w:t>第十一节 </w:t>
      </w:r>
      <w:r>
        <w:rPr>
          <w:spacing w:val="8"/>
        </w:rPr>
        <w:t> </w:t>
      </w:r>
      <w:r>
        <w:rPr/>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357" w:lineRule="auto" w:before="0"/>
        <w:ind w:left="622" w:right="225" w:firstLine="479"/>
        <w:jc w:val="left"/>
      </w:pPr>
      <w:r>
        <w:rPr/>
        <w:t>一、载有法定代表人、主管会计工作负责人、会计机构负责人签名并盖章的财务报 告文本。</w:t>
      </w:r>
    </w:p>
    <w:p>
      <w:pPr>
        <w:pStyle w:val="BodyText"/>
        <w:spacing w:line="357" w:lineRule="auto"/>
        <w:ind w:left="1101" w:right="1425"/>
        <w:jc w:val="left"/>
      </w:pPr>
      <w:r>
        <w:rPr/>
        <w:t>二、载有会计师事务所盖章、注册会计师签名并盖章的审计报告原件。 三、报告期内在中国证监会指定报纸上公开披露过的所有公司文件。 四、其他相关资料。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BodyText"/>
        <w:spacing w:line="240" w:lineRule="auto" w:before="0"/>
        <w:ind w:left="0" w:right="147"/>
        <w:jc w:val="right"/>
      </w:pPr>
      <w:r>
        <w:rPr/>
        <w:t>北京超图软件股份有限公司董事会</w:t>
      </w:r>
    </w:p>
    <w:p>
      <w:pPr>
        <w:pStyle w:val="BodyText"/>
        <w:spacing w:line="240" w:lineRule="auto" w:before="154"/>
        <w:ind w:left="0" w:right="147"/>
        <w:jc w:val="right"/>
      </w:pPr>
      <w:r>
        <w:rPr>
          <w:rFonts w:ascii="Calibri" w:hAnsi="Calibri" w:cs="Calibri" w:eastAsia="Calibri" w:hint="default"/>
        </w:rPr>
        <w:t>2016</w:t>
      </w:r>
      <w:r>
        <w:rPr>
          <w:rFonts w:ascii="Calibri" w:hAnsi="Calibri" w:cs="Calibri" w:eastAsia="Calibri" w:hint="default"/>
          <w:spacing w:val="6"/>
        </w:rPr>
        <w:t> </w:t>
      </w:r>
      <w:r>
        <w:rPr/>
        <w:t>年</w:t>
      </w:r>
      <w:r>
        <w:rPr>
          <w:spacing w:val="-63"/>
        </w:rPr>
        <w:t> </w:t>
      </w:r>
      <w:r>
        <w:rPr>
          <w:rFonts w:ascii="Calibri" w:hAnsi="Calibri" w:cs="Calibri" w:eastAsia="Calibri" w:hint="default"/>
        </w:rPr>
        <w:t>3</w:t>
      </w:r>
      <w:r>
        <w:rPr>
          <w:rFonts w:ascii="Calibri" w:hAnsi="Calibri" w:cs="Calibri" w:eastAsia="Calibri" w:hint="default"/>
          <w:spacing w:val="6"/>
        </w:rPr>
        <w:t> </w:t>
      </w:r>
      <w:r>
        <w:rPr/>
        <w:t>月</w:t>
      </w:r>
      <w:r>
        <w:rPr>
          <w:spacing w:val="-60"/>
        </w:rPr>
        <w:t> </w:t>
      </w:r>
      <w:r>
        <w:rPr>
          <w:rFonts w:ascii="Calibri" w:hAnsi="Calibri" w:cs="Calibri" w:eastAsia="Calibri" w:hint="default"/>
        </w:rPr>
        <w:t>18</w:t>
      </w:r>
      <w:r>
        <w:rPr>
          <w:rFonts w:ascii="Calibri" w:hAnsi="Calibri" w:cs="Calibri" w:eastAsia="Calibri" w:hint="default"/>
          <w:spacing w:val="6"/>
        </w:rPr>
        <w:t> </w:t>
      </w:r>
      <w:r>
        <w:rPr/>
        <w:t>日</w:t>
      </w:r>
    </w:p>
    <w:sectPr>
      <w:pgSz w:w="11910" w:h="16840"/>
      <w:pgMar w:header="884" w:footer="1085" w:top="1300" w:bottom="12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303.470001pt;margin-top:774.200012pt;width:11.1pt;height:13.5pt;mso-position-horizontal-relative:page;mso-position-vertical-relative:page;z-index:-849448" type="#_x0000_t202" filled="false" stroked="false">
          <v:textbox inset="0,0,0,0">
            <w:txbxContent>
              <w:p>
                <w:pPr>
                  <w:spacing w:before="33"/>
                  <w:ind w:left="9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8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66</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8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67</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8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8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8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8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8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8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109985pt;margin-top:776.690002pt;width:16.75pt;height:11pt;mso-position-horizontal-relative:page;mso-position-vertical-relative:page;z-index:-848800" type="#_x0000_t202" filled="false" stroked="false">
          <v:textbox inset="0,0,0,0">
            <w:txbxContent>
              <w:p>
                <w:pPr>
                  <w:spacing w:line="203" w:lineRule="exact" w:before="0"/>
                  <w:ind w:left="111"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829987pt;margin-top:776.690002pt;width:15.7pt;height:11pt;mso-position-horizontal-relative:page;mso-position-vertical-relative:page;z-index:-848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829987pt;margin-top:776.690002pt;width:17.7pt;height:11pt;mso-position-horizontal-relative:page;mso-position-vertical-relative:page;z-index:-84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170013pt;margin-top:530.065979pt;width:17.7pt;height:11pt;mso-position-horizontal-relative:page;mso-position-vertical-relative:page;z-index:-848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106</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170013pt;margin-top:530.065979pt;width:15.7pt;height:11pt;mso-position-horizontal-relative:page;mso-position-vertical-relative:page;z-index:-848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1.170013pt;margin-top:530.065979pt;width:17.7pt;height:11pt;mso-position-horizontal-relative:page;mso-position-vertical-relative:page;z-index:-848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114</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w:t>
                </w:r>
                <w:r>
                  <w:rPr/>
                  <w:fldChar w:fldCharType="end"/>
                </w:r>
                <w:r>
                  <w:rPr>
                    <w:rFonts w:ascii="Calibri"/>
                    <w:spacing w:val="-1"/>
                    <w:sz w:val="18"/>
                  </w:rPr>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8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pacing w:val="-1"/>
                    <w:sz w:val="18"/>
                  </w:rPr>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6.7pt;height:11pt;mso-position-horizontal-relative:page;mso-position-vertical-relative:page;z-index:-848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w:t>
                </w:r>
                <w:r>
                  <w:rPr/>
                  <w:fldChar w:fldCharType="end"/>
                </w:r>
                <w:r>
                  <w:rPr>
                    <w:rFonts w:ascii="Calibri"/>
                    <w:sz w:val="18"/>
                  </w:rPr>
                  <w:t>9</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7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181</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182</w:t>
                </w:r>
                <w:r>
                  <w:rPr/>
                  <w:fldChar w:fldCharType="end"/>
                </w:r>
                <w:r>
                  <w:rPr>
                    <w:rFonts w:ascii="Calibri"/>
                    <w:spacing w:val="-1"/>
                    <w:sz w:val="18"/>
                  </w:rPr>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589996pt;margin-top:776.690002pt;width:15.7pt;height:11pt;mso-position-horizontal-relative:page;mso-position-vertical-relative:page;z-index:-847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190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5.589996pt;margin-top:776.690002pt;width:17.7pt;height:11pt;mso-position-horizontal-relative:page;mso-position-vertical-relative:page;z-index:-84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191</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09991pt;margin-top:776.690002pt;width:13.15pt;height:11pt;mso-position-horizontal-relative:page;mso-position-vertical-relative:page;z-index:-84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09991pt;margin-top:776.690002pt;width:11.15pt;height:11pt;mso-position-horizontal-relative:page;mso-position-vertical-relative:page;z-index:-849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24pt;margin-top:61.439983pt;width:477.85pt;height:.1pt;mso-position-horizontal-relative:page;mso-position-vertical-relative:page;z-index:-849424" coordorigin="1248,1229" coordsize="9557,2">
          <v:shape style="position:absolute;left:1248;top:1229;width:9557;height:2" coordorigin="1248,1229" coordsize="9557,0" path="m1248,1229l10805,1229e" filled="false" stroked="true" strokeweight=".72pt" strokecolor="#000000">
            <v:path arrowok="t"/>
          </v:shape>
          <w10:wrap type="none"/>
        </v:group>
      </w:pict>
    </w:r>
    <w:r>
      <w:rPr/>
      <w:pict>
        <v:shape style="position:absolute;margin-left:110.620003pt;margin-top:42.865608pt;width:110pt;height:11pt;mso-position-horizontal-relative:page;mso-position-vertical-relative:page;z-index:-849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p>
            </w:txbxContent>
          </v:textbox>
          <w10:wrap type="none"/>
        </v:shape>
      </w:pict>
    </w:r>
    <w:r>
      <w:rPr/>
      <w:pict>
        <v:shape style="position:absolute;margin-left:451.5pt;margin-top:42.865608pt;width:58.55pt;height:12pt;mso-position-horizontal-relative:page;mso-position-vertical-relative:page;z-index:-849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年度报告</w:t>
                </w:r>
              </w:p>
            </w:txbxContent>
          </v:textbox>
          <w10:wrap type="none"/>
        </v:shape>
      </w:pict>
    </w:r>
    <w:r>
      <w:rPr/>
      <w:pict>
        <v:shape style="position:absolute;margin-left:286.570007pt;margin-top:43.849983pt;width:29.4pt;height:11pt;mso-position-horizontal-relative:page;mso-position-vertical-relative:page;z-index:-849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300036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6.900002pt;margin-top:42.865608pt;width:110pt;height:11pt;mso-position-horizontal-relative:page;mso-position-vertical-relative:page;z-index:-848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p>
            </w:txbxContent>
          </v:textbox>
          <w10:wrap type="none"/>
        </v:shape>
      </w:pict>
    </w:r>
    <w:r>
      <w:rPr/>
      <w:pict>
        <v:shape style="position:absolute;margin-left:447.779999pt;margin-top:42.865608pt;width:58.55pt;height:12pt;mso-position-horizontal-relative:page;mso-position-vertical-relative:page;z-index:-848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年度报告</w:t>
                </w:r>
              </w:p>
            </w:txbxContent>
          </v:textbox>
          <w10:wrap type="none"/>
        </v:shape>
      </w:pict>
    </w:r>
    <w:r>
      <w:rPr/>
      <w:pict>
        <v:shape style="position:absolute;margin-left:282.850006pt;margin-top:43.849983pt;width:29.4pt;height:11pt;mso-position-horizontal-relative:page;mso-position-vertical-relative:page;z-index:-848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300036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61.439983pt;width:484.95pt;height:.1pt;mso-position-horizontal-relative:page;mso-position-vertical-relative:page;z-index:-848704" coordorigin="1104,1229" coordsize="9699,2">
          <v:shape style="position:absolute;left:1104;top:1229;width:9699;height:2" coordorigin="1104,1229" coordsize="9699,0" path="m1104,1229l10802,1229e" filled="false" stroked="true" strokeweight=".72pt" strokecolor="#000000">
            <v:path arrowok="t"/>
          </v:shape>
          <w10:wrap type="none"/>
        </v:group>
      </w:pict>
    </w:r>
    <w:r>
      <w:rPr/>
      <w:pict>
        <v:shape style="position:absolute;margin-left:106.900002pt;margin-top:42.865608pt;width:110pt;height:11pt;mso-position-horizontal-relative:page;mso-position-vertical-relative:page;z-index:-848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p>
            </w:txbxContent>
          </v:textbox>
          <w10:wrap type="none"/>
        </v:shape>
      </w:pict>
    </w:r>
    <w:r>
      <w:rPr/>
      <w:pict>
        <v:shape style="position:absolute;margin-left:447.779999pt;margin-top:42.865608pt;width:58.55pt;height:12pt;mso-position-horizontal-relative:page;mso-position-vertical-relative:page;z-index:-848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年度报告</w:t>
                </w:r>
              </w:p>
            </w:txbxContent>
          </v:textbox>
          <w10:wrap type="none"/>
        </v:shape>
      </w:pict>
    </w:r>
    <w:r>
      <w:rPr/>
      <w:pict>
        <v:shape style="position:absolute;margin-left:282.850006pt;margin-top:43.849983pt;width:29.4pt;height:11pt;mso-position-horizontal-relative:page;mso-position-vertical-relative:page;z-index:-848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300036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0.259995pt;margin-top:42.865631pt;width:110pt;height:11pt;mso-position-horizontal-relative:page;mso-position-vertical-relative:page;z-index:-848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p>
            </w:txbxContent>
          </v:textbox>
          <w10:wrap type="none"/>
        </v:shape>
      </w:pict>
    </w:r>
    <w:r>
      <w:rPr/>
      <w:pict>
        <v:shape style="position:absolute;margin-left:571.109985pt;margin-top:42.865631pt;width:58.55pt;height:12pt;mso-position-horizontal-relative:page;mso-position-vertical-relative:page;z-index:-848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年度报告</w:t>
                </w:r>
              </w:p>
            </w:txbxContent>
          </v:textbox>
          <w10:wrap type="none"/>
        </v:shape>
      </w:pict>
    </w:r>
    <w:r>
      <w:rPr/>
      <w:pict>
        <v:shape style="position:absolute;margin-left:406.209991pt;margin-top:43.850006pt;width:29.4pt;height:11pt;mso-position-horizontal-relative:page;mso-position-vertical-relative:page;z-index:-848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300036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664001pt;margin-top:65.399986pt;width:487.7pt;height:.1pt;mso-position-horizontal-relative:page;mso-position-vertical-relative:page;z-index:-848416" coordorigin="1193,1308" coordsize="9754,2">
          <v:shape style="position:absolute;left:1193;top:1308;width:9754;height:2" coordorigin="1193,1308" coordsize="9754,0" path="m1193,1308l10946,1308e" filled="false" stroked="true" strokeweight=".72pt" strokecolor="#000000">
            <v:path arrowok="t"/>
          </v:shape>
          <w10:wrap type="none"/>
        </v:group>
      </w:pict>
    </w:r>
    <w:r>
      <w:rPr/>
      <w:pict>
        <v:shape style="position:absolute;margin-left:81.103996pt;margin-top:43.204983pt;width:128.15pt;height:12.6pt;mso-position-horizontal-relative:page;mso-position-vertical-relative:page;z-index:-84839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3.619995pt;margin-top:43.204983pt;width:68.05pt;height:13.75pt;mso-position-horizontal-relative:page;mso-position-vertical-relative:page;z-index:-84836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75.769989pt;margin-top:44.359982pt;width:34pt;height:12.6pt;mso-position-horizontal-relative:page;mso-position-vertical-relative:page;z-index:-84834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7"/>
      <w:ind w:left="617"/>
    </w:pPr>
    <w:rPr>
      <w:rFonts w:ascii="宋体" w:hAnsi="宋体" w:eastAsia="宋体"/>
      <w:sz w:val="24"/>
      <w:szCs w:val="24"/>
    </w:rPr>
  </w:style>
  <w:style w:styleId="TOC2" w:type="paragraph">
    <w:name w:val="TOC 2"/>
    <w:basedOn w:val="Normal"/>
    <w:uiPriority w:val="1"/>
    <w:qFormat/>
    <w:pPr>
      <w:ind w:left="1097"/>
    </w:pPr>
    <w:rPr>
      <w:rFonts w:ascii="宋体" w:hAnsi="宋体" w:eastAsia="宋体"/>
      <w:sz w:val="24"/>
      <w:szCs w:val="24"/>
    </w:rPr>
  </w:style>
  <w:style w:styleId="BodyText" w:type="paragraph">
    <w:name w:val="Body Text"/>
    <w:basedOn w:val="Normal"/>
    <w:uiPriority w:val="1"/>
    <w:qFormat/>
    <w:pPr>
      <w:spacing w:before="36"/>
      <w:ind w:left="137"/>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101"/>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yperlink" Target="http://www.supermap.com.cn/" TargetMode="External"/><Relationship Id="rId9" Type="http://schemas.openxmlformats.org/officeDocument/2006/relationships/hyperlink" Target="http://www.supermap.com/" TargetMode="External"/><Relationship Id="rId10" Type="http://schemas.openxmlformats.org/officeDocument/2006/relationships/hyperlink" Target="mailto:public@supermap.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www.supermap.com.my/" TargetMode="Externa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header" Target="header2.xml"/><Relationship Id="rId37" Type="http://schemas.openxmlformats.org/officeDocument/2006/relationships/header" Target="header3.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header" Target="header4.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header" Target="header5.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footer" Target="footer43.xml"/><Relationship Id="rId59" Type="http://schemas.openxmlformats.org/officeDocument/2006/relationships/footer" Target="footer44.xml"/><Relationship Id="rId60" Type="http://schemas.openxmlformats.org/officeDocument/2006/relationships/footer" Target="footer45.xml"/><Relationship Id="rId61" Type="http://schemas.openxmlformats.org/officeDocument/2006/relationships/footer" Target="footer46.xml"/><Relationship Id="rId62" Type="http://schemas.openxmlformats.org/officeDocument/2006/relationships/footer" Target="foot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gongyajie</dc:creator>
  <dc:title>北京超图软件股份有限公司                   300036                           2009年度报告</dc:title>
  <dcterms:created xsi:type="dcterms:W3CDTF">2020-05-04T15:39:10Z</dcterms:created>
  <dcterms:modified xsi:type="dcterms:W3CDTF">2020-05-04T15:39:10Z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Microsoft® Word 2013</vt:lpwstr>
  </property>
  <property fmtid="{D5CDD505-2E9C-101B-9397-08002B2CF9AE}" pid="4" name="LastSaved">
    <vt:filetime>2020-05-04T00:00:00Z</vt:filetime>
  </property>
</Properties>
</file>